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434E" w14:textId="77777777" w:rsidR="00C26F2D" w:rsidRPr="00BF077B" w:rsidRDefault="00583BD8" w:rsidP="00BF077B">
      <w:pPr>
        <w:pStyle w:val="ATSNormal"/>
        <w:rPr>
          <w:rStyle w:val="Ttulodellibro"/>
        </w:rPr>
      </w:pPr>
    </w:p>
    <w:p w14:paraId="73F000CB" w14:textId="77777777" w:rsidR="002F0A13" w:rsidRDefault="00583BD8" w:rsidP="004B4A60">
      <w:pPr>
        <w:rPr>
          <w:b/>
          <w:u w:val="single"/>
          <w:lang w:val="es-ES_tradnl"/>
        </w:rPr>
      </w:pPr>
    </w:p>
    <w:p w14:paraId="595B5671" w14:textId="77777777" w:rsidR="002F0A13" w:rsidRDefault="00583BD8" w:rsidP="004B4A60">
      <w:pPr>
        <w:rPr>
          <w:b/>
          <w:u w:val="single"/>
          <w:lang w:val="es-ES_tradnl"/>
        </w:rPr>
      </w:pPr>
    </w:p>
    <w:p w14:paraId="20102011" w14:textId="77777777" w:rsidR="002F0A13" w:rsidRDefault="00583BD8" w:rsidP="004B4A60">
      <w:pPr>
        <w:rPr>
          <w:b/>
          <w:u w:val="single"/>
          <w:lang w:val="es-ES_tradnl"/>
        </w:rPr>
      </w:pPr>
    </w:p>
    <w:p w14:paraId="25AAFF0C" w14:textId="77777777" w:rsidR="002F0A13" w:rsidRDefault="00583BD8" w:rsidP="004B4A60">
      <w:pPr>
        <w:rPr>
          <w:b/>
          <w:u w:val="single"/>
          <w:lang w:val="es-ES_tradnl"/>
        </w:rPr>
      </w:pPr>
    </w:p>
    <w:p w14:paraId="2C074527" w14:textId="77777777" w:rsidR="00C26F2D" w:rsidRDefault="00583BD8" w:rsidP="004B4A60">
      <w:pPr>
        <w:rPr>
          <w:b/>
          <w:u w:val="single"/>
          <w:lang w:val="es-ES_tradnl"/>
        </w:rPr>
      </w:pPr>
    </w:p>
    <w:p w14:paraId="2DF4C22F" w14:textId="77777777" w:rsidR="004B4A60" w:rsidRPr="0057246E" w:rsidRDefault="00583BD8" w:rsidP="001B789F">
      <w:pPr>
        <w:pStyle w:val="ATSTitle"/>
      </w:pPr>
      <w:bookmarkStart w:id="0" w:name="name"/>
      <w:r>
        <w:t>Important Bird Areas and Antarctic Specially Protected Areas: Toward the development of selection criteria</w:t>
      </w:r>
    </w:p>
    <w:bookmarkEnd w:id="0"/>
    <w:p w14:paraId="21CA56D3" w14:textId="77777777" w:rsidR="009D2951" w:rsidRDefault="009D2951" w:rsidP="001B789F">
      <w:pPr>
        <w:pStyle w:val="ATSTitle"/>
      </w:pPr>
    </w:p>
    <w:p w14:paraId="6A7196A5" w14:textId="77777777" w:rsidR="004B4A60" w:rsidRPr="0057246E" w:rsidRDefault="00583BD8" w:rsidP="00F75424">
      <w:pPr>
        <w:jc w:val="center"/>
      </w:pPr>
    </w:p>
    <w:p w14:paraId="22AD2869" w14:textId="77777777" w:rsidR="004B4A60" w:rsidRPr="002F0A13" w:rsidRDefault="00583BD8" w:rsidP="002F0A13"/>
    <w:p w14:paraId="67F41045" w14:textId="77777777" w:rsidR="004B4A60" w:rsidRDefault="00583BD8" w:rsidP="00F75424">
      <w:pPr>
        <w:jc w:val="center"/>
      </w:pPr>
      <w:bookmarkStart w:id="1" w:name="memo"/>
      <w:bookmarkEnd w:id="1"/>
    </w:p>
    <w:p w14:paraId="192115E3" w14:textId="77777777" w:rsidR="0097629D" w:rsidRDefault="00583BD8" w:rsidP="00F75424">
      <w:pPr>
        <w:jc w:val="center"/>
      </w:pPr>
    </w:p>
    <w:p w14:paraId="255171BE" w14:textId="77777777" w:rsidR="0097629D" w:rsidRDefault="00583BD8" w:rsidP="00F75424">
      <w:pPr>
        <w:jc w:val="center"/>
      </w:pPr>
    </w:p>
    <w:p w14:paraId="40855C6B" w14:textId="77777777" w:rsidR="0097629D" w:rsidRDefault="00583BD8" w:rsidP="00F75424">
      <w:pPr>
        <w:jc w:val="center"/>
      </w:pPr>
    </w:p>
    <w:p w14:paraId="573738E8" w14:textId="77777777" w:rsidR="0097629D" w:rsidRPr="00C26F2D" w:rsidRDefault="00583BD8" w:rsidP="00F75424">
      <w:pPr>
        <w:jc w:val="center"/>
      </w:pPr>
    </w:p>
    <w:p w14:paraId="7C8EF36B" w14:textId="77777777" w:rsidR="004B4A60" w:rsidRPr="0057246E" w:rsidRDefault="00583BD8" w:rsidP="004B4A60"/>
    <w:p w14:paraId="131D5998" w14:textId="77777777" w:rsidR="00C26F2D" w:rsidRDefault="00583BD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F4E81B4" w14:textId="77777777" w:rsidR="00583BD8" w:rsidRDefault="00583BD8" w:rsidP="00583BD8">
      <w:pPr>
        <w:pStyle w:val="ATSHeading1"/>
      </w:pPr>
      <w:r>
        <w:lastRenderedPageBreak/>
        <w:t>Important Bird Areas and Antarctic Specially Protected Areas:  Towards the development of selection criteria</w:t>
      </w:r>
    </w:p>
    <w:p w14:paraId="21D290FD" w14:textId="77777777" w:rsidR="00583BD8" w:rsidRDefault="00583BD8" w:rsidP="00583BD8">
      <w:pPr>
        <w:pStyle w:val="ATSHeading2"/>
        <w:jc w:val="center"/>
      </w:pPr>
      <w:r>
        <w:t>Submitted by Australia, Germany, New Zealand, Norway, Spain, United Kingdom, United States</w:t>
      </w:r>
    </w:p>
    <w:p w14:paraId="2610EF09" w14:textId="77777777" w:rsidR="00583BD8" w:rsidRDefault="00583BD8" w:rsidP="00583BD8"/>
    <w:p w14:paraId="72AEFDCA" w14:textId="77777777" w:rsidR="00583BD8" w:rsidRDefault="00583BD8" w:rsidP="00583BD8">
      <w:pPr>
        <w:pStyle w:val="ATSHeading2"/>
      </w:pPr>
      <w:r>
        <w:t>Summary</w:t>
      </w:r>
    </w:p>
    <w:p w14:paraId="3E4B2033" w14:textId="77777777" w:rsidR="00583BD8" w:rsidRPr="009E5EC5" w:rsidRDefault="00583BD8" w:rsidP="00583BD8">
      <w:pPr>
        <w:pStyle w:val="ATSNormal"/>
      </w:pPr>
      <w:r w:rsidRPr="009E5EC5">
        <w:t>In 2015 the ATCM endorsed a report listing 204 Important Bird Areas (IBAs) across Antarctica</w:t>
      </w:r>
      <w:r>
        <w:t xml:space="preserve"> and offshore islands south of 60</w:t>
      </w:r>
      <w:r w:rsidRPr="00E96275">
        <w:rPr>
          <w:vertAlign w:val="superscript"/>
        </w:rPr>
        <w:t>o</w:t>
      </w:r>
      <w:r>
        <w:t xml:space="preserve"> South</w:t>
      </w:r>
      <w:r w:rsidRPr="009E5EC5">
        <w:t xml:space="preserve">. In doing so the ATCM adopted Resolution 5 (2015), which requested the CEP update the ATCM on which IBAs were or should be included in the </w:t>
      </w:r>
      <w:r>
        <w:t>series</w:t>
      </w:r>
      <w:r w:rsidRPr="009E5EC5">
        <w:t xml:space="preserve"> of Antarctic Specially Protected Areas (ASPAs).  </w:t>
      </w:r>
    </w:p>
    <w:p w14:paraId="631F1B11" w14:textId="77777777" w:rsidR="00583BD8" w:rsidRPr="001B79F8" w:rsidRDefault="00583BD8" w:rsidP="00583BD8">
      <w:pPr>
        <w:pStyle w:val="ATSNormal"/>
      </w:pPr>
      <w:r w:rsidRPr="009E5EC5">
        <w:rPr>
          <w:szCs w:val="22"/>
        </w:rPr>
        <w:t xml:space="preserve">This paper summarises </w:t>
      </w:r>
      <w:r>
        <w:rPr>
          <w:szCs w:val="22"/>
        </w:rPr>
        <w:t>intersessional discussions</w:t>
      </w:r>
      <w:r w:rsidRPr="009E5EC5">
        <w:rPr>
          <w:szCs w:val="22"/>
        </w:rPr>
        <w:t xml:space="preserve"> on selection criteria that might be applied to identified IBAs</w:t>
      </w:r>
      <w:r>
        <w:rPr>
          <w:szCs w:val="22"/>
        </w:rPr>
        <w:t xml:space="preserve"> or other bird areas </w:t>
      </w:r>
      <w:r w:rsidRPr="009E5EC5">
        <w:rPr>
          <w:szCs w:val="22"/>
        </w:rPr>
        <w:t>when considering ASPA designation.</w:t>
      </w:r>
      <w:r w:rsidRPr="001B79F8">
        <w:t xml:space="preserve"> </w:t>
      </w:r>
      <w:r>
        <w:t xml:space="preserve"> </w:t>
      </w:r>
    </w:p>
    <w:p w14:paraId="3B5E5383" w14:textId="77777777" w:rsidR="00583BD8" w:rsidRDefault="00583BD8" w:rsidP="00583BD8">
      <w:pPr>
        <w:pStyle w:val="ATSNormal"/>
      </w:pPr>
      <w:r w:rsidRPr="009E5EC5">
        <w:rPr>
          <w:szCs w:val="22"/>
        </w:rPr>
        <w:t>Further work is required to refine and test the criteria to ensure that they provide a scientifically defensible approach to selecting IBAs</w:t>
      </w:r>
      <w:r>
        <w:rPr>
          <w:szCs w:val="22"/>
        </w:rPr>
        <w:t xml:space="preserve"> </w:t>
      </w:r>
      <w:r w:rsidRPr="009E5EC5">
        <w:rPr>
          <w:szCs w:val="22"/>
        </w:rPr>
        <w:t>or other colonies or aggregations</w:t>
      </w:r>
      <w:r w:rsidRPr="009E5EC5">
        <w:rPr>
          <w:rStyle w:val="Refdenotaalpie"/>
          <w:szCs w:val="22"/>
        </w:rPr>
        <w:footnoteReference w:id="1"/>
      </w:r>
      <w:r w:rsidRPr="009E5EC5">
        <w:rPr>
          <w:szCs w:val="22"/>
        </w:rPr>
        <w:t xml:space="preserve"> that may merit consideration for ASPA designation.</w:t>
      </w:r>
      <w:r>
        <w:rPr>
          <w:szCs w:val="22"/>
        </w:rPr>
        <w:t xml:space="preserve"> To support this, </w:t>
      </w:r>
      <w:r w:rsidRPr="009E5EC5">
        <w:t>consultation with SCAR</w:t>
      </w:r>
      <w:r>
        <w:t xml:space="preserve"> a</w:t>
      </w:r>
      <w:r w:rsidRPr="009E5EC5">
        <w:t xml:space="preserve">nd other scientific experts </w:t>
      </w:r>
      <w:r>
        <w:t>is proposed. It is also recommended that c</w:t>
      </w:r>
      <w:r w:rsidRPr="009E5EC5">
        <w:t xml:space="preserve">onsideration </w:t>
      </w:r>
      <w:r>
        <w:t>is</w:t>
      </w:r>
      <w:r w:rsidRPr="009E5EC5">
        <w:t xml:space="preserve"> given as to how </w:t>
      </w:r>
      <w:r>
        <w:t xml:space="preserve">further </w:t>
      </w:r>
      <w:r w:rsidRPr="009E5EC5">
        <w:t xml:space="preserve">development of these criteria </w:t>
      </w:r>
      <w:r>
        <w:t>could support</w:t>
      </w:r>
      <w:r w:rsidRPr="009E5EC5">
        <w:t xml:space="preserve"> the CEP’s ongoing work to systematically develop the Antarctic protected area system.</w:t>
      </w:r>
      <w:r w:rsidRPr="004E5C6E">
        <w:t xml:space="preserve"> </w:t>
      </w:r>
    </w:p>
    <w:p w14:paraId="2CB6977E" w14:textId="6A5C77FC" w:rsidR="00583BD8" w:rsidRDefault="00583BD8" w:rsidP="00583BD8">
      <w:pPr>
        <w:pStyle w:val="ATSNormal"/>
      </w:pPr>
      <w:r>
        <w:t xml:space="preserve">The information presented in this Working Paper is supplemented by Information Paper </w:t>
      </w:r>
      <w:r>
        <w:t>23</w:t>
      </w:r>
      <w:r>
        <w:t>.</w:t>
      </w:r>
    </w:p>
    <w:p w14:paraId="73DE7A83" w14:textId="77777777" w:rsidR="00583BD8" w:rsidRDefault="00583BD8" w:rsidP="00583BD8">
      <w:pPr>
        <w:pStyle w:val="ATSHeading2"/>
      </w:pPr>
      <w:r>
        <w:t>Introduction</w:t>
      </w:r>
    </w:p>
    <w:p w14:paraId="390EE734" w14:textId="77777777" w:rsidR="00583BD8" w:rsidRDefault="00583BD8" w:rsidP="00583BD8">
      <w:pPr>
        <w:pStyle w:val="ATSHeading3"/>
      </w:pPr>
      <w:r>
        <w:t>Important Bird Areas and Antarctica</w:t>
      </w:r>
    </w:p>
    <w:p w14:paraId="0BC89A39" w14:textId="77777777" w:rsidR="00583BD8" w:rsidRPr="004E45A0" w:rsidRDefault="00583BD8" w:rsidP="00583BD8">
      <w:pPr>
        <w:pStyle w:val="ATSNormal"/>
      </w:pPr>
      <w:r w:rsidRPr="004E45A0">
        <w:t xml:space="preserve">The IBA programme was established by </w:t>
      </w:r>
      <w:proofErr w:type="spellStart"/>
      <w:r w:rsidRPr="004E45A0">
        <w:t>BirdLife</w:t>
      </w:r>
      <w:proofErr w:type="spellEnd"/>
      <w:r w:rsidRPr="004E45A0">
        <w:t xml:space="preserve"> International to </w:t>
      </w:r>
      <w:r>
        <w:t>identify</w:t>
      </w:r>
      <w:r w:rsidRPr="004E45A0">
        <w:t xml:space="preserve"> sites of international conservation significance for the world’s birds. </w:t>
      </w:r>
      <w:r>
        <w:t>M</w:t>
      </w:r>
      <w:r w:rsidRPr="004E45A0">
        <w:t xml:space="preserve">ore than 12,000 IBAs </w:t>
      </w:r>
      <w:r>
        <w:t>in</w:t>
      </w:r>
      <w:r w:rsidRPr="004E45A0">
        <w:t xml:space="preserve"> over 200 countries have been documented and delineated.</w:t>
      </w:r>
      <w:r w:rsidRPr="00C11BE5">
        <w:t xml:space="preserve"> </w:t>
      </w:r>
      <w:r w:rsidRPr="004E45A0">
        <w:t xml:space="preserve">The term ‘IBA’ is not a formal designation and does </w:t>
      </w:r>
      <w:r>
        <w:t>no</w:t>
      </w:r>
      <w:r w:rsidRPr="004E45A0">
        <w:t xml:space="preserve">t imply that the site should necessarily become a protected area. It is simply an indication of the significance of </w:t>
      </w:r>
      <w:r>
        <w:t>a</w:t>
      </w:r>
      <w:r w:rsidRPr="004E45A0">
        <w:t xml:space="preserve"> site for</w:t>
      </w:r>
      <w:r>
        <w:t xml:space="preserve"> a single bird species or colonies or aggregation of birds</w:t>
      </w:r>
      <w:r>
        <w:rPr>
          <w:rStyle w:val="Refdenotaalpie"/>
        </w:rPr>
        <w:footnoteReference w:id="2"/>
      </w:r>
      <w:r w:rsidRPr="004E45A0">
        <w:t>.</w:t>
      </w:r>
    </w:p>
    <w:p w14:paraId="29D13880" w14:textId="77777777" w:rsidR="00583BD8" w:rsidRDefault="00583BD8" w:rsidP="00583BD8">
      <w:pPr>
        <w:pStyle w:val="ATSNormal"/>
      </w:pPr>
      <w:r>
        <w:t>Between</w:t>
      </w:r>
      <w:r w:rsidRPr="004E45A0">
        <w:t xml:space="preserve"> 2013 </w:t>
      </w:r>
      <w:r>
        <w:t xml:space="preserve">and </w:t>
      </w:r>
      <w:r w:rsidRPr="004E45A0">
        <w:t>2015, with support from the Governments of Australia, New Zealand, Norway and the United States, and the Pew Charitable Trusts, work was undertaken to develop a list of IBAs for Antarctica</w:t>
      </w:r>
      <w:r w:rsidRPr="00EB4455">
        <w:t xml:space="preserve"> </w:t>
      </w:r>
      <w:r w:rsidRPr="004E45A0">
        <w:t>using a standardized set of data-driven criteria and thresholds. The analysis resulted in 204 IBAs being identified across Antarctica and offshore islands south of 60</w:t>
      </w:r>
      <w:r w:rsidRPr="004E45A0">
        <w:rPr>
          <w:vertAlign w:val="superscript"/>
        </w:rPr>
        <w:t>o</w:t>
      </w:r>
      <w:r w:rsidRPr="004E45A0">
        <w:t xml:space="preserve"> South.</w:t>
      </w:r>
    </w:p>
    <w:p w14:paraId="5A715E64" w14:textId="77777777" w:rsidR="00583BD8" w:rsidRPr="004E45A0" w:rsidRDefault="00583BD8" w:rsidP="00583BD8">
      <w:pPr>
        <w:pStyle w:val="ATSNormal"/>
      </w:pPr>
      <w:r>
        <w:t xml:space="preserve">The ‘Important Bird Areas in Antarctica’ report was presented </w:t>
      </w:r>
      <w:r w:rsidRPr="004E45A0">
        <w:t xml:space="preserve">to the 18th meeting of the </w:t>
      </w:r>
      <w:r>
        <w:t xml:space="preserve">CEP </w:t>
      </w:r>
      <w:r w:rsidRPr="004E45A0">
        <w:t>(</w:t>
      </w:r>
      <w:r>
        <w:t>ATCM XXXVII/WP 40</w:t>
      </w:r>
      <w:r w:rsidRPr="004E45A0">
        <w:t>)</w:t>
      </w:r>
      <w:r>
        <w:t xml:space="preserve"> with the recommendation that the identified IBAs be endorsed</w:t>
      </w:r>
      <w:r w:rsidRPr="004E45A0">
        <w:t xml:space="preserve">. On the </w:t>
      </w:r>
      <w:r>
        <w:t>advice</w:t>
      </w:r>
      <w:r w:rsidRPr="004E45A0">
        <w:t xml:space="preserve"> of the CEP, the ATCM welcomed the report and adopted Resolution 5 (2015)</w:t>
      </w:r>
      <w:r>
        <w:t xml:space="preserve"> which </w:t>
      </w:r>
      <w:r w:rsidRPr="004E45A0">
        <w:t>recommended that Governments:</w:t>
      </w:r>
    </w:p>
    <w:p w14:paraId="4A3EFEA4" w14:textId="77777777" w:rsidR="00583BD8" w:rsidRPr="00AB1E93" w:rsidRDefault="00583BD8" w:rsidP="00583BD8">
      <w:pPr>
        <w:pStyle w:val="ATSBullet1"/>
        <w:numPr>
          <w:ilvl w:val="0"/>
          <w:numId w:val="11"/>
        </w:numPr>
      </w:pPr>
      <w:r w:rsidRPr="00AB1E93">
        <w:t xml:space="preserve">welcome </w:t>
      </w:r>
      <w:r>
        <w:t xml:space="preserve">and acknowledge </w:t>
      </w:r>
      <w:r w:rsidRPr="00AB1E93">
        <w:t>the report on identified IBAs</w:t>
      </w:r>
      <w:r>
        <w:t xml:space="preserve"> in Antarctica, which covers breeding </w:t>
      </w:r>
      <w:proofErr w:type="gramStart"/>
      <w:r>
        <w:t>sites;</w:t>
      </w:r>
      <w:proofErr w:type="gramEnd"/>
    </w:p>
    <w:p w14:paraId="6DBBAB06" w14:textId="77777777" w:rsidR="00583BD8" w:rsidRPr="00AB1E93" w:rsidRDefault="00583BD8" w:rsidP="00583BD8">
      <w:pPr>
        <w:pStyle w:val="ATSBullet1"/>
        <w:numPr>
          <w:ilvl w:val="0"/>
          <w:numId w:val="11"/>
        </w:numPr>
      </w:pPr>
      <w:r w:rsidRPr="00AB1E93">
        <w:t>bring the report to the attention of the Secretariat of the Agreement on the Conservation of Albatrosses and Petrels</w:t>
      </w:r>
      <w:r>
        <w:t xml:space="preserve"> for its consideration including in the preparation of environmental impact </w:t>
      </w:r>
      <w:proofErr w:type="gramStart"/>
      <w:r>
        <w:t>assessments</w:t>
      </w:r>
      <w:r w:rsidRPr="00AB1E93">
        <w:t>;</w:t>
      </w:r>
      <w:proofErr w:type="gramEnd"/>
    </w:p>
    <w:p w14:paraId="539CF007" w14:textId="77777777" w:rsidR="00583BD8" w:rsidRPr="00AB1E93" w:rsidRDefault="00583BD8" w:rsidP="00583BD8">
      <w:pPr>
        <w:pStyle w:val="ATSBullet1"/>
        <w:numPr>
          <w:ilvl w:val="0"/>
          <w:numId w:val="11"/>
        </w:numPr>
      </w:pPr>
      <w:r w:rsidRPr="00AB1E93">
        <w:lastRenderedPageBreak/>
        <w:t xml:space="preserve">take account of the information in the report in the planning and conduct of their activities in </w:t>
      </w:r>
      <w:proofErr w:type="gramStart"/>
      <w:r w:rsidRPr="00AB1E93">
        <w:t>Antarctica;</w:t>
      </w:r>
      <w:proofErr w:type="gramEnd"/>
    </w:p>
    <w:p w14:paraId="46B11748" w14:textId="77777777" w:rsidR="00583BD8" w:rsidRPr="00AB1E93" w:rsidRDefault="00583BD8" w:rsidP="00583BD8">
      <w:pPr>
        <w:pStyle w:val="ATSBullet1"/>
        <w:numPr>
          <w:ilvl w:val="0"/>
          <w:numId w:val="11"/>
        </w:numPr>
      </w:pPr>
      <w:r w:rsidRPr="00AB1E93">
        <w:t xml:space="preserve">request the CEP to provide an update to the </w:t>
      </w:r>
      <w:r>
        <w:t>ATCM</w:t>
      </w:r>
      <w:r w:rsidRPr="00AB1E93">
        <w:t xml:space="preserve"> on the extent to which these </w:t>
      </w:r>
      <w:r>
        <w:t>IBAs</w:t>
      </w:r>
      <w:r w:rsidRPr="00AB1E93">
        <w:t xml:space="preserve"> are, or should be, represented within the series of </w:t>
      </w:r>
      <w:r>
        <w:t>ASPAs</w:t>
      </w:r>
      <w:r w:rsidRPr="00AB1E93">
        <w:t xml:space="preserve">, </w:t>
      </w:r>
      <w:proofErr w:type="gramStart"/>
      <w:r w:rsidRPr="00AB1E93">
        <w:t>in particular those</w:t>
      </w:r>
      <w:proofErr w:type="gramEnd"/>
      <w:r w:rsidRPr="00AB1E93">
        <w:t xml:space="preserve"> areas that might qualify as “major colonies of breeding native birds”; and</w:t>
      </w:r>
    </w:p>
    <w:p w14:paraId="12D6FDB9" w14:textId="77777777" w:rsidR="00583BD8" w:rsidRPr="00AB1E93" w:rsidRDefault="00583BD8" w:rsidP="00583BD8">
      <w:pPr>
        <w:pStyle w:val="ATSBullet1"/>
        <w:numPr>
          <w:ilvl w:val="0"/>
          <w:numId w:val="11"/>
        </w:numPr>
      </w:pPr>
      <w:r w:rsidRPr="00AB1E93">
        <w:t>undertake appropriate monitoring of bird populations to inform future management actions</w:t>
      </w:r>
      <w:r>
        <w:t xml:space="preserve"> that may be required</w:t>
      </w:r>
      <w:r w:rsidRPr="00AB1E93">
        <w:t>.</w:t>
      </w:r>
    </w:p>
    <w:p w14:paraId="5CD07081" w14:textId="77777777" w:rsidR="00583BD8" w:rsidRPr="00524796" w:rsidRDefault="00583BD8" w:rsidP="00583BD8">
      <w:pPr>
        <w:pStyle w:val="ATSNormal"/>
      </w:pPr>
      <w:r w:rsidRPr="00524796">
        <w:t xml:space="preserve">Further work was undertaken to assess the extent to which identified IBAs were included within the current </w:t>
      </w:r>
      <w:r>
        <w:t>series</w:t>
      </w:r>
      <w:r w:rsidRPr="00524796">
        <w:t xml:space="preserve"> of </w:t>
      </w:r>
      <w:r>
        <w:t>ASPAs,</w:t>
      </w:r>
      <w:r w:rsidRPr="00524796">
        <w:t xml:space="preserve"> and a report was submitted to CEP XX (</w:t>
      </w:r>
      <w:r>
        <w:t>ATCM XL/</w:t>
      </w:r>
      <w:r w:rsidRPr="00315D6B">
        <w:t xml:space="preserve"> </w:t>
      </w:r>
      <w:r>
        <w:t>WP 37</w:t>
      </w:r>
      <w:r w:rsidRPr="00524796">
        <w:t>)</w:t>
      </w:r>
      <w:r>
        <w:t xml:space="preserve">. This report </w:t>
      </w:r>
      <w:r w:rsidRPr="00524796">
        <w:t xml:space="preserve">identified three possible methods </w:t>
      </w:r>
      <w:r>
        <w:t xml:space="preserve">(based on population numbers, species diversity or a combination of both) </w:t>
      </w:r>
      <w:r w:rsidRPr="00524796">
        <w:t xml:space="preserve">for selecting </w:t>
      </w:r>
      <w:r>
        <w:t>IBAs</w:t>
      </w:r>
      <w:r w:rsidRPr="00524796">
        <w:t xml:space="preserve"> that may merit ASPA designation</w:t>
      </w:r>
      <w:r>
        <w:t>. The report also identified</w:t>
      </w:r>
      <w:r w:rsidRPr="00524796">
        <w:t xml:space="preserve"> a</w:t>
      </w:r>
      <w:r>
        <w:t>dditional</w:t>
      </w:r>
      <w:r w:rsidRPr="00524796">
        <w:t xml:space="preserve"> factors (such as scientific importance, locality, rarity, threat status and proximity to human activity) that may need to be </w:t>
      </w:r>
      <w:proofErr w:type="gramStart"/>
      <w:r w:rsidRPr="00524796">
        <w:t>taken into account</w:t>
      </w:r>
      <w:proofErr w:type="gramEnd"/>
      <w:r w:rsidRPr="00524796">
        <w:t>.</w:t>
      </w:r>
    </w:p>
    <w:p w14:paraId="4378FDF3" w14:textId="77777777" w:rsidR="00583BD8" w:rsidRDefault="00583BD8" w:rsidP="00583BD8">
      <w:pPr>
        <w:pStyle w:val="ATSNormal"/>
      </w:pPr>
      <w:r w:rsidRPr="00524796">
        <w:t xml:space="preserve">In response to this report </w:t>
      </w:r>
      <w:r w:rsidRPr="00160221">
        <w:rPr>
          <w:u w:val="single"/>
        </w:rPr>
        <w:t xml:space="preserve">the CEP encouraged interested Parties to work </w:t>
      </w:r>
      <w:proofErr w:type="spellStart"/>
      <w:r w:rsidRPr="00160221">
        <w:rPr>
          <w:u w:val="single"/>
        </w:rPr>
        <w:t>intersessionally</w:t>
      </w:r>
      <w:proofErr w:type="spellEnd"/>
      <w:r w:rsidRPr="00160221">
        <w:rPr>
          <w:u w:val="single"/>
        </w:rPr>
        <w:t xml:space="preserve"> to develop criteria for assessing the suitability of bird colonies for ASPA designation including to identify what constitutes 'major colonies of breeding birds' and to report back</w:t>
      </w:r>
      <w:r>
        <w:rPr>
          <w:u w:val="single"/>
        </w:rPr>
        <w:t xml:space="preserve"> </w:t>
      </w:r>
      <w:r w:rsidRPr="00A25E0F">
        <w:t>(Report of C</w:t>
      </w:r>
      <w:r>
        <w:t>EP XX, paragraphs 156-160)</w:t>
      </w:r>
      <w:r w:rsidRPr="00524796">
        <w:t>.</w:t>
      </w:r>
    </w:p>
    <w:p w14:paraId="13B31B23" w14:textId="77777777" w:rsidR="00583BD8" w:rsidRDefault="00583BD8" w:rsidP="00583BD8">
      <w:pPr>
        <w:pStyle w:val="ATSHeading2"/>
      </w:pPr>
      <w:r>
        <w:t xml:space="preserve">Current representation of IBAs in ASPAs </w:t>
      </w:r>
    </w:p>
    <w:p w14:paraId="5924C89B" w14:textId="77777777" w:rsidR="00583BD8" w:rsidRDefault="00583BD8" w:rsidP="00583BD8">
      <w:pPr>
        <w:pStyle w:val="ATSNormal"/>
        <w:rPr>
          <w:szCs w:val="22"/>
        </w:rPr>
      </w:pPr>
      <w:r>
        <w:rPr>
          <w:szCs w:val="22"/>
        </w:rPr>
        <w:t>Of the 72 ASPAs currently designated, 39 (54%) have listed avifauna as a primary or secondary value to be protected.  Birds may or may not be present within the remaining ASPAs, although their presence has not been included in the description of values to be protected in their respective management plans</w:t>
      </w:r>
      <w:r>
        <w:rPr>
          <w:rStyle w:val="Refdenotaalpie"/>
          <w:szCs w:val="22"/>
        </w:rPr>
        <w:footnoteReference w:id="3"/>
      </w:r>
      <w:r>
        <w:rPr>
          <w:szCs w:val="22"/>
        </w:rPr>
        <w:t>.</w:t>
      </w:r>
    </w:p>
    <w:p w14:paraId="7330D9AB" w14:textId="77777777" w:rsidR="00583BD8" w:rsidRDefault="00583BD8" w:rsidP="00583BD8">
      <w:pPr>
        <w:pStyle w:val="ATSNormal"/>
      </w:pPr>
      <w:r>
        <w:rPr>
          <w:szCs w:val="22"/>
        </w:rPr>
        <w:t>Of the 204 IBAs</w:t>
      </w:r>
      <w:r>
        <w:rPr>
          <w:rStyle w:val="Refdenotaalpie"/>
          <w:szCs w:val="22"/>
        </w:rPr>
        <w:footnoteReference w:id="4"/>
      </w:r>
      <w:r>
        <w:rPr>
          <w:szCs w:val="22"/>
        </w:rPr>
        <w:t xml:space="preserve"> identified in 2015, 27 (13%) are already designated as ASPAs, two encompass ASPAs and one partly encompasses an ASPA</w:t>
      </w:r>
      <w:r>
        <w:rPr>
          <w:rStyle w:val="Refdenotaalpie"/>
          <w:szCs w:val="22"/>
        </w:rPr>
        <w:footnoteReference w:id="5"/>
      </w:r>
      <w:r>
        <w:rPr>
          <w:szCs w:val="22"/>
        </w:rPr>
        <w:t>.</w:t>
      </w:r>
      <w:r>
        <w:t xml:space="preserve"> </w:t>
      </w:r>
    </w:p>
    <w:p w14:paraId="341B5C86" w14:textId="77777777" w:rsidR="00583BD8" w:rsidRDefault="00583BD8" w:rsidP="00583BD8">
      <w:pPr>
        <w:pStyle w:val="ATSNormal"/>
        <w:rPr>
          <w:szCs w:val="22"/>
        </w:rPr>
      </w:pPr>
      <w:r>
        <w:t xml:space="preserve">For </w:t>
      </w:r>
      <w:r>
        <w:rPr>
          <w:szCs w:val="22"/>
        </w:rPr>
        <w:t>24 of the 27 ASPAs, the IBA trigger species was a subset of the species listed as being an ASPA value (</w:t>
      </w:r>
      <w:proofErr w:type="gramStart"/>
      <w:r>
        <w:rPr>
          <w:szCs w:val="22"/>
        </w:rPr>
        <w:t>i.e.</w:t>
      </w:r>
      <w:proofErr w:type="gramEnd"/>
      <w:r>
        <w:rPr>
          <w:szCs w:val="22"/>
        </w:rPr>
        <w:t xml:space="preserve"> in many cases the diverse assemblage of bird species was listed as the ASPA value), whereas in the IBA it was only one or two of those species that functioned as the IBA trigger. In the remaining three cases, at least one of the IBA trigger species was not mentioned as an ASPA value.</w:t>
      </w:r>
    </w:p>
    <w:p w14:paraId="18B94DA2" w14:textId="77777777" w:rsidR="00583BD8" w:rsidRDefault="00583BD8" w:rsidP="00583BD8">
      <w:pPr>
        <w:pStyle w:val="ATSHeading2"/>
      </w:pPr>
      <w:r>
        <w:t xml:space="preserve">Draft criteria used to select seabird breeding colonies for </w:t>
      </w:r>
      <w:proofErr w:type="gramStart"/>
      <w:r>
        <w:t>protection</w:t>
      </w:r>
      <w:proofErr w:type="gramEnd"/>
    </w:p>
    <w:p w14:paraId="17E4083C" w14:textId="500A325C" w:rsidR="00583BD8" w:rsidRDefault="00583BD8" w:rsidP="00583BD8">
      <w:pPr>
        <w:pStyle w:val="ATSNormal"/>
      </w:pPr>
      <w:r>
        <w:t xml:space="preserve">A review of spatial protection criteria for breeding colonies of seabirds used in other parts of the globe was undertaken to inform the development of the draft criteria (see Information Paper </w:t>
      </w:r>
      <w:r w:rsidRPr="00583BD8">
        <w:t>23</w:t>
      </w:r>
      <w:r w:rsidRPr="00583BD8">
        <w:t>)</w:t>
      </w:r>
      <w:r>
        <w:t>.</w:t>
      </w:r>
    </w:p>
    <w:p w14:paraId="221CAB1C" w14:textId="52FF439D" w:rsidR="00583BD8" w:rsidRDefault="00583BD8" w:rsidP="00583BD8">
      <w:pPr>
        <w:pStyle w:val="ATSNormal"/>
      </w:pPr>
      <w:r w:rsidRPr="006E454B">
        <w:t xml:space="preserve">Having considered </w:t>
      </w:r>
      <w:r>
        <w:t>a</w:t>
      </w:r>
      <w:r w:rsidRPr="006E454B">
        <w:t xml:space="preserve"> range of issues, draft criteria in the form of a decision-making process that could be applied to the current list of 204 Antarctic IBAs</w:t>
      </w:r>
      <w:r>
        <w:t>,</w:t>
      </w:r>
      <w:r w:rsidRPr="00C44E8B">
        <w:t xml:space="preserve"> </w:t>
      </w:r>
      <w:r>
        <w:t>as well as other bird breeding sites across Antarctica, are</w:t>
      </w:r>
      <w:r w:rsidRPr="006E454B">
        <w:t xml:space="preserve"> </w:t>
      </w:r>
      <w:r>
        <w:t xml:space="preserve">set out in Information Paper </w:t>
      </w:r>
      <w:r>
        <w:t>23</w:t>
      </w:r>
      <w:r>
        <w:t xml:space="preserve"> with some examples, and include:</w:t>
      </w:r>
    </w:p>
    <w:p w14:paraId="40DD0552" w14:textId="77777777" w:rsidR="00583BD8" w:rsidRDefault="00583BD8" w:rsidP="00583BD8">
      <w:pPr>
        <w:pStyle w:val="ATSBullet1"/>
        <w:numPr>
          <w:ilvl w:val="0"/>
          <w:numId w:val="11"/>
        </w:numPr>
      </w:pPr>
      <w:r>
        <w:t>Criterion A. Percent global population present</w:t>
      </w:r>
    </w:p>
    <w:p w14:paraId="7A2204CF" w14:textId="77777777" w:rsidR="00583BD8" w:rsidRDefault="00583BD8" w:rsidP="00583BD8">
      <w:pPr>
        <w:pStyle w:val="ATSBullet1"/>
        <w:numPr>
          <w:ilvl w:val="0"/>
          <w:numId w:val="11"/>
        </w:numPr>
      </w:pPr>
      <w:r>
        <w:t>Criterion B. Percent of the Antarctic population present</w:t>
      </w:r>
    </w:p>
    <w:p w14:paraId="061F7A3B" w14:textId="77777777" w:rsidR="00583BD8" w:rsidRDefault="00583BD8" w:rsidP="00583BD8">
      <w:pPr>
        <w:pStyle w:val="ATSBullet1"/>
        <w:numPr>
          <w:ilvl w:val="0"/>
          <w:numId w:val="11"/>
        </w:numPr>
      </w:pPr>
      <w:r>
        <w:t>Criterion C. Threat status of the species</w:t>
      </w:r>
    </w:p>
    <w:p w14:paraId="00A0D4D2" w14:textId="77777777" w:rsidR="00583BD8" w:rsidRDefault="00583BD8" w:rsidP="00583BD8">
      <w:pPr>
        <w:pStyle w:val="ATSBullet1"/>
        <w:numPr>
          <w:ilvl w:val="0"/>
          <w:numId w:val="11"/>
        </w:numPr>
      </w:pPr>
      <w:r>
        <w:t xml:space="preserve">Criterion D. Direct, </w:t>
      </w:r>
      <w:proofErr w:type="gramStart"/>
      <w:r>
        <w:t>indirect</w:t>
      </w:r>
      <w:proofErr w:type="gramEnd"/>
      <w:r>
        <w:t xml:space="preserve"> or cumulative pressures</w:t>
      </w:r>
    </w:p>
    <w:p w14:paraId="35113649" w14:textId="77777777" w:rsidR="00583BD8" w:rsidRDefault="00583BD8" w:rsidP="00583BD8">
      <w:pPr>
        <w:pStyle w:val="ATSBullet1"/>
        <w:numPr>
          <w:ilvl w:val="0"/>
          <w:numId w:val="11"/>
        </w:numPr>
      </w:pPr>
      <w:r>
        <w:t>Criterion E. Unique or rare features</w:t>
      </w:r>
    </w:p>
    <w:p w14:paraId="705C589F" w14:textId="77777777" w:rsidR="00583BD8" w:rsidRDefault="00583BD8" w:rsidP="00583BD8">
      <w:pPr>
        <w:pStyle w:val="ATSHeading2"/>
      </w:pPr>
    </w:p>
    <w:p w14:paraId="21C0C9C1" w14:textId="77777777" w:rsidR="00583BD8" w:rsidRDefault="00583BD8" w:rsidP="00583BD8">
      <w:pPr>
        <w:pStyle w:val="ATSHeading2"/>
      </w:pPr>
      <w:r>
        <w:t xml:space="preserve">Limitations </w:t>
      </w:r>
    </w:p>
    <w:p w14:paraId="7C08C840" w14:textId="77777777" w:rsidR="00583BD8" w:rsidRDefault="00583BD8" w:rsidP="00583BD8">
      <w:pPr>
        <w:pStyle w:val="ATSNormal"/>
      </w:pPr>
      <w:r w:rsidRPr="002352BB">
        <w:t xml:space="preserve">Data on </w:t>
      </w:r>
      <w:r>
        <w:t xml:space="preserve">the population status and trends of </w:t>
      </w:r>
      <w:r w:rsidRPr="002352BB">
        <w:t xml:space="preserve">flying seabirds in Antarctica generally remain extremely </w:t>
      </w:r>
      <w:r>
        <w:t>sparse.  I</w:t>
      </w:r>
      <w:r w:rsidRPr="002352BB">
        <w:t xml:space="preserve">t is important to record the limitations in the population data that were used to identify the </w:t>
      </w:r>
      <w:r>
        <w:t xml:space="preserve">204 </w:t>
      </w:r>
      <w:r w:rsidRPr="002352BB">
        <w:t xml:space="preserve">Antarctic IBAs. There remains a lack of data for many bird </w:t>
      </w:r>
      <w:r>
        <w:t>areas</w:t>
      </w:r>
      <w:r w:rsidRPr="002352BB">
        <w:t xml:space="preserve"> in </w:t>
      </w:r>
      <w:r>
        <w:t xml:space="preserve">Antarctica, not least because so much potential breeding habitat has never been surveyed. </w:t>
      </w:r>
      <w:r w:rsidRPr="002352BB">
        <w:t>Recent satellite monitoring efforts have improved knowledge for some species</w:t>
      </w:r>
      <w:r w:rsidRPr="00AA7574">
        <w:rPr>
          <w:vertAlign w:val="superscript"/>
        </w:rPr>
        <w:footnoteReference w:id="6"/>
      </w:r>
      <w:r w:rsidRPr="002352BB">
        <w:t xml:space="preserve">, but </w:t>
      </w:r>
      <w:r>
        <w:t>satellite-based population estimates have low precision making trend estimation difficult, and</w:t>
      </w:r>
      <w:r w:rsidRPr="002352BB">
        <w:t xml:space="preserve"> for some colonies there has been </w:t>
      </w:r>
      <w:r>
        <w:t xml:space="preserve">little or </w:t>
      </w:r>
      <w:r w:rsidRPr="002352BB">
        <w:t xml:space="preserve">no ‘on-the-ground’ verification. Targeted </w:t>
      </w:r>
      <w:r>
        <w:t xml:space="preserve">and repeated </w:t>
      </w:r>
      <w:r w:rsidRPr="002352BB">
        <w:t xml:space="preserve">surveys are likely to be required to verify remotely derived population estimates </w:t>
      </w:r>
      <w:r>
        <w:t>and trends</w:t>
      </w:r>
      <w:r w:rsidRPr="002352BB">
        <w:t>.</w:t>
      </w:r>
    </w:p>
    <w:p w14:paraId="77F748F7" w14:textId="77777777" w:rsidR="00583BD8" w:rsidRDefault="00583BD8" w:rsidP="00583BD8">
      <w:pPr>
        <w:pStyle w:val="ATSNormal"/>
      </w:pPr>
      <w:r>
        <w:t>Further, the IBAs recognised in Antarctica by the ATCM (Resolution 5 (2015)), are only for breeding locations ashore. Elsewhere conservation actions for seabirds are developed on a species-by-species basis and encompass a range of actions that can be taken across the lifecycle and full ecological range of the species</w:t>
      </w:r>
      <w:r w:rsidRPr="00AA7574">
        <w:rPr>
          <w:vertAlign w:val="superscript"/>
        </w:rPr>
        <w:footnoteReference w:id="7"/>
      </w:r>
      <w:r w:rsidRPr="00AA7574">
        <w:rPr>
          <w:vertAlign w:val="superscript"/>
        </w:rPr>
        <w:t>,</w:t>
      </w:r>
      <w:r w:rsidRPr="00AA7574">
        <w:rPr>
          <w:vertAlign w:val="superscript"/>
        </w:rPr>
        <w:footnoteReference w:id="8"/>
      </w:r>
      <w:r w:rsidRPr="00AA7574">
        <w:rPr>
          <w:vertAlign w:val="superscript"/>
        </w:rPr>
        <w:t>.</w:t>
      </w:r>
      <w:r>
        <w:t xml:space="preserve">  </w:t>
      </w:r>
    </w:p>
    <w:p w14:paraId="64B72689" w14:textId="77777777" w:rsidR="00583BD8" w:rsidRDefault="00583BD8" w:rsidP="00583BD8">
      <w:pPr>
        <w:pStyle w:val="ATSNormal"/>
      </w:pPr>
      <w:r>
        <w:t>The designation of ASPAs to protect breeding colonies of birds in Antarctica should not detract from the need to consider such additional or optional protection measures, including designation as a specially protected species, as well as the need also to protect offshore foraging locations</w:t>
      </w:r>
      <w:r>
        <w:rPr>
          <w:rStyle w:val="Refdenotaalpie"/>
        </w:rPr>
        <w:footnoteReference w:id="9"/>
      </w:r>
      <w:r>
        <w:t>.</w:t>
      </w:r>
    </w:p>
    <w:p w14:paraId="614E4AE1" w14:textId="77777777" w:rsidR="00583BD8" w:rsidRDefault="00583BD8" w:rsidP="00583BD8">
      <w:pPr>
        <w:pStyle w:val="ATSHeading2"/>
      </w:pPr>
      <w:r>
        <w:t>Discussion</w:t>
      </w:r>
    </w:p>
    <w:p w14:paraId="139B9646" w14:textId="77777777" w:rsidR="00583BD8" w:rsidRDefault="00583BD8" w:rsidP="00583BD8">
      <w:pPr>
        <w:pStyle w:val="ATSNormal"/>
      </w:pPr>
      <w:r>
        <w:t>The intent of this current work is to respond to the ATCM’s request to the CEP (Resolution 5 (2015)). The intent is not to increase the number of ASPAs by a large number, nor to bias the series of ASPAs in favour of protecting bird areas.</w:t>
      </w:r>
    </w:p>
    <w:p w14:paraId="52E0AA8F" w14:textId="77777777" w:rsidR="00583BD8" w:rsidRDefault="00583BD8" w:rsidP="00583BD8">
      <w:pPr>
        <w:pStyle w:val="ATSNormal"/>
      </w:pPr>
      <w:r w:rsidRPr="001D2E57">
        <w:t xml:space="preserve">In some cases, existing ASPA designations could be modified to better account for identified IBAs, through for example, modifying the description of values being protected, amending management </w:t>
      </w:r>
      <w:proofErr w:type="gramStart"/>
      <w:r w:rsidRPr="001D2E57">
        <w:t>controls</w:t>
      </w:r>
      <w:proofErr w:type="gramEnd"/>
      <w:r w:rsidRPr="001D2E57">
        <w:t xml:space="preserve"> or adjusting ASPA boundaries to better accommodate the IBA. This might include consideration of including buffer zones or seaward extensions of ASPAs to account, for example, for transit routes or nearshore congregation areas adjacent to nesting sites.</w:t>
      </w:r>
    </w:p>
    <w:p w14:paraId="0FFC1375" w14:textId="77777777" w:rsidR="00583BD8" w:rsidRDefault="00583BD8" w:rsidP="00583BD8">
      <w:pPr>
        <w:pStyle w:val="ATSNormal"/>
      </w:pPr>
      <w:r w:rsidRPr="0020268D">
        <w:t xml:space="preserve">There may be good reasons to consider some non-IBA bird colonies for designation as ASPAs. There are </w:t>
      </w:r>
      <w:proofErr w:type="gramStart"/>
      <w:r w:rsidRPr="0020268D">
        <w:t>a number of</w:t>
      </w:r>
      <w:proofErr w:type="gramEnd"/>
      <w:r w:rsidRPr="0020268D">
        <w:t xml:space="preserve"> bird colonies that do not meet the global IBA criteria, but which are likely to be significant in the context of conserving Antarctic biodiversity, including as important / unusual / major / representative areas occurring beyond larger colonies. It will be important to ensure that developed criteria are sufficiently broad </w:t>
      </w:r>
      <w:proofErr w:type="gramStart"/>
      <w:r w:rsidRPr="0020268D">
        <w:t>so as to</w:t>
      </w:r>
      <w:proofErr w:type="gramEnd"/>
      <w:r w:rsidRPr="0020268D">
        <w:t xml:space="preserve"> be applicable to assessing the suitability of both IBA and non-IBA colonies for ASPA designation.</w:t>
      </w:r>
    </w:p>
    <w:p w14:paraId="54832B5F" w14:textId="77777777" w:rsidR="00583BD8" w:rsidRDefault="00583BD8" w:rsidP="00583BD8">
      <w:pPr>
        <w:pStyle w:val="ATSNormal"/>
      </w:pPr>
      <w:r>
        <w:t>Once developed, consideration could be given to incorporating the developed criteria into the CEP’s Guidelines for Implementation of the Framework for Protected Areas (Resolution 1 (2000).</w:t>
      </w:r>
    </w:p>
    <w:p w14:paraId="4723BA5F" w14:textId="77777777" w:rsidR="00583BD8" w:rsidRDefault="00583BD8" w:rsidP="00583BD8">
      <w:pPr>
        <w:pStyle w:val="ATSHeading2"/>
      </w:pPr>
      <w:r>
        <w:t>Recommendations</w:t>
      </w:r>
    </w:p>
    <w:p w14:paraId="40B1A6B4" w14:textId="77777777" w:rsidR="00583BD8" w:rsidRDefault="00583BD8" w:rsidP="00583BD8">
      <w:pPr>
        <w:pStyle w:val="ATSNormal"/>
      </w:pPr>
      <w:r w:rsidRPr="00C80B7A">
        <w:t xml:space="preserve">The criteria presented </w:t>
      </w:r>
      <w:r>
        <w:t xml:space="preserve">remain </w:t>
      </w:r>
      <w:r w:rsidRPr="00C80B7A">
        <w:t xml:space="preserve">in </w:t>
      </w:r>
      <w:r>
        <w:t>draft</w:t>
      </w:r>
      <w:r w:rsidRPr="00C80B7A">
        <w:t xml:space="preserve"> form and as a starting point for further consideration</w:t>
      </w:r>
      <w:r>
        <w:t>.</w:t>
      </w:r>
    </w:p>
    <w:p w14:paraId="7A551936" w14:textId="77777777" w:rsidR="00583BD8" w:rsidRDefault="00583BD8" w:rsidP="00583BD8">
      <w:pPr>
        <w:pStyle w:val="ATSNormal"/>
      </w:pPr>
      <w:r>
        <w:t>The CEP is invited to:</w:t>
      </w:r>
    </w:p>
    <w:p w14:paraId="2DB513F2" w14:textId="2EBC2D6B" w:rsidR="00583BD8" w:rsidRDefault="00583BD8" w:rsidP="00583BD8">
      <w:pPr>
        <w:pStyle w:val="ATSNormal"/>
        <w:numPr>
          <w:ilvl w:val="0"/>
          <w:numId w:val="21"/>
        </w:numPr>
      </w:pPr>
      <w:r>
        <w:lastRenderedPageBreak/>
        <w:t xml:space="preserve">review the draft criteria and their weighting presented in Information Paper </w:t>
      </w:r>
      <w:r>
        <w:t>23</w:t>
      </w:r>
      <w:r>
        <w:t xml:space="preserve"> and provide any additional comments or </w:t>
      </w:r>
      <w:proofErr w:type="gramStart"/>
      <w:r>
        <w:t>advice;</w:t>
      </w:r>
      <w:proofErr w:type="gramEnd"/>
    </w:p>
    <w:p w14:paraId="16CAF0FA" w14:textId="77777777" w:rsidR="00583BD8" w:rsidRPr="000F52D3" w:rsidRDefault="00583BD8" w:rsidP="00583BD8">
      <w:pPr>
        <w:pStyle w:val="ATSNormal"/>
        <w:numPr>
          <w:ilvl w:val="0"/>
          <w:numId w:val="21"/>
        </w:numPr>
      </w:pPr>
      <w:r w:rsidRPr="000F52D3">
        <w:t>request SCAR</w:t>
      </w:r>
      <w:r>
        <w:t xml:space="preserve">, in collaboration with ACAP and other seabird experts as appropriate, and with interested Parties, to consider the </w:t>
      </w:r>
      <w:r w:rsidRPr="000F52D3">
        <w:t xml:space="preserve">draft criteria </w:t>
      </w:r>
      <w:r>
        <w:t xml:space="preserve">and how they might be applied and report back to the CEP with any advice and suggested </w:t>
      </w:r>
      <w:proofErr w:type="gramStart"/>
      <w:r>
        <w:t>revisions;</w:t>
      </w:r>
      <w:proofErr w:type="gramEnd"/>
    </w:p>
    <w:p w14:paraId="028B53EE" w14:textId="77777777" w:rsidR="00583BD8" w:rsidRDefault="00583BD8" w:rsidP="00583BD8">
      <w:pPr>
        <w:pStyle w:val="ATSNormal"/>
        <w:numPr>
          <w:ilvl w:val="0"/>
          <w:numId w:val="21"/>
        </w:numPr>
      </w:pPr>
      <w:r>
        <w:t>c</w:t>
      </w:r>
      <w:r w:rsidRPr="000F52D3">
        <w:t xml:space="preserve">onsider how the draft criteria might be incorporated into the CEP’s work on further development of the Antarctic </w:t>
      </w:r>
      <w:r>
        <w:t>p</w:t>
      </w:r>
      <w:r w:rsidRPr="000F52D3">
        <w:t xml:space="preserve">rotected </w:t>
      </w:r>
      <w:r>
        <w:t>a</w:t>
      </w:r>
      <w:r w:rsidRPr="000F52D3">
        <w:t xml:space="preserve">rea </w:t>
      </w:r>
      <w:proofErr w:type="gramStart"/>
      <w:r>
        <w:t>system;</w:t>
      </w:r>
      <w:proofErr w:type="gramEnd"/>
    </w:p>
    <w:p w14:paraId="361F9246" w14:textId="77777777" w:rsidR="00583BD8" w:rsidRDefault="00583BD8" w:rsidP="00583BD8">
      <w:pPr>
        <w:pStyle w:val="ATSNormal"/>
        <w:numPr>
          <w:ilvl w:val="0"/>
          <w:numId w:val="21"/>
        </w:numPr>
      </w:pPr>
      <w:r>
        <w:t>provide a report to the ATCM XLIII on progress made in addressing the ATCM’s request set out in Resolution 5 (2015</w:t>
      </w:r>
      <w:proofErr w:type="gramStart"/>
      <w:r>
        <w:t>);</w:t>
      </w:r>
      <w:proofErr w:type="gramEnd"/>
    </w:p>
    <w:p w14:paraId="743B65D7" w14:textId="77777777" w:rsidR="00583BD8" w:rsidRPr="000F52D3" w:rsidRDefault="00583BD8" w:rsidP="00583BD8">
      <w:pPr>
        <w:pStyle w:val="ATSNormal"/>
        <w:numPr>
          <w:ilvl w:val="0"/>
          <w:numId w:val="21"/>
        </w:numPr>
      </w:pPr>
      <w:r>
        <w:t xml:space="preserve">encourage their research communities to continue to monitor and survey Antarctic bird colonies </w:t>
      </w:r>
      <w:proofErr w:type="gramStart"/>
      <w:r>
        <w:t>so as to</w:t>
      </w:r>
      <w:proofErr w:type="gramEnd"/>
      <w:r>
        <w:t xml:space="preserve"> fill gaps in population data and inform changes in population levels.</w:t>
      </w:r>
    </w:p>
    <w:p w14:paraId="25BED4DB" w14:textId="77777777" w:rsidR="00583BD8" w:rsidRDefault="00583BD8" w:rsidP="00583BD8">
      <w:pPr>
        <w:pStyle w:val="ATSNormal"/>
      </w:pPr>
    </w:p>
    <w:p w14:paraId="3E9E2779" w14:textId="77777777" w:rsidR="00583BD8" w:rsidRDefault="00583BD8" w:rsidP="00952E9F"/>
    <w:sectPr w:rsidR="00583BD8"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2388" w14:textId="77777777" w:rsidR="00000000" w:rsidRDefault="00583BD8">
      <w:r>
        <w:separator/>
      </w:r>
    </w:p>
  </w:endnote>
  <w:endnote w:type="continuationSeparator" w:id="0">
    <w:p w14:paraId="7EDA828A" w14:textId="77777777" w:rsidR="00000000" w:rsidRDefault="00583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B0D3" w14:textId="77777777" w:rsidR="00FA0B9F" w:rsidRDefault="00583BD8" w:rsidP="00CF5C82">
    <w:pPr>
      <w:framePr w:wrap="around" w:vAnchor="text" w:hAnchor="margin" w:xAlign="right" w:y="1"/>
    </w:pPr>
    <w:r>
      <w:fldChar w:fldCharType="begin"/>
    </w:r>
    <w:r>
      <w:instrText xml:space="preserve">PAGE  </w:instrText>
    </w:r>
    <w:r>
      <w:fldChar w:fldCharType="end"/>
    </w:r>
  </w:p>
  <w:p w14:paraId="2EFE420E" w14:textId="77777777" w:rsidR="00FA0B9F" w:rsidRDefault="00583BD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6BE4" w14:textId="77777777" w:rsidR="00FA0B9F" w:rsidRDefault="00583BD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EB4FE0A" w14:textId="35A8A79F" w:rsidR="00FA0B9F" w:rsidRDefault="00583BD8" w:rsidP="00583BD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7162" w14:textId="77777777" w:rsidR="00E311C9" w:rsidRDefault="00583BD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6967ACC" w14:textId="77777777" w:rsidR="00E311C9" w:rsidRDefault="00583BD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BAA6" w14:textId="77777777" w:rsidR="00000000" w:rsidRDefault="00583BD8">
      <w:r>
        <w:separator/>
      </w:r>
    </w:p>
  </w:footnote>
  <w:footnote w:type="continuationSeparator" w:id="0">
    <w:p w14:paraId="2ABDCB7B" w14:textId="77777777" w:rsidR="00000000" w:rsidRDefault="00583BD8">
      <w:r>
        <w:continuationSeparator/>
      </w:r>
    </w:p>
  </w:footnote>
  <w:footnote w:id="1">
    <w:p w14:paraId="24F890D4" w14:textId="77777777" w:rsidR="00583BD8" w:rsidRDefault="00583BD8" w:rsidP="00583BD8">
      <w:pPr>
        <w:pStyle w:val="Textonotapie"/>
      </w:pPr>
      <w:r w:rsidRPr="00E81753">
        <w:rPr>
          <w:rStyle w:val="Refdenotaalpie"/>
          <w:sz w:val="20"/>
          <w:szCs w:val="20"/>
        </w:rPr>
        <w:footnoteRef/>
      </w:r>
      <w:r w:rsidRPr="00E81753">
        <w:rPr>
          <w:sz w:val="20"/>
          <w:szCs w:val="20"/>
        </w:rPr>
        <w:t xml:space="preserve"> The term ‘</w:t>
      </w:r>
      <w:r>
        <w:rPr>
          <w:sz w:val="20"/>
          <w:szCs w:val="20"/>
        </w:rPr>
        <w:t>bird areas</w:t>
      </w:r>
      <w:r w:rsidRPr="00E81753">
        <w:rPr>
          <w:sz w:val="20"/>
          <w:szCs w:val="20"/>
        </w:rPr>
        <w:t xml:space="preserve">’ is used throughout this document, </w:t>
      </w:r>
      <w:r>
        <w:rPr>
          <w:sz w:val="20"/>
          <w:szCs w:val="20"/>
        </w:rPr>
        <w:t xml:space="preserve">which is intended to include ‘colonies’ of birds, which is </w:t>
      </w:r>
      <w:r w:rsidRPr="00E81753">
        <w:rPr>
          <w:sz w:val="20"/>
          <w:szCs w:val="20"/>
        </w:rPr>
        <w:t xml:space="preserve">appropriate for many Antarctic breeding species which aggregate very strongly when breeding, </w:t>
      </w:r>
      <w:r>
        <w:rPr>
          <w:sz w:val="20"/>
          <w:szCs w:val="20"/>
        </w:rPr>
        <w:t>as well as other locations where birds s</w:t>
      </w:r>
      <w:r w:rsidRPr="00E81753">
        <w:rPr>
          <w:sz w:val="20"/>
          <w:szCs w:val="20"/>
        </w:rPr>
        <w:t xml:space="preserve">uch as snow petrels and </w:t>
      </w:r>
      <w:proofErr w:type="gramStart"/>
      <w:r w:rsidRPr="00E81753">
        <w:rPr>
          <w:sz w:val="20"/>
          <w:szCs w:val="20"/>
        </w:rPr>
        <w:t>Wilsons</w:t>
      </w:r>
      <w:proofErr w:type="gramEnd"/>
      <w:r w:rsidRPr="00E81753">
        <w:rPr>
          <w:sz w:val="20"/>
          <w:szCs w:val="20"/>
        </w:rPr>
        <w:t xml:space="preserve"> storm petrels, </w:t>
      </w:r>
      <w:r>
        <w:rPr>
          <w:sz w:val="20"/>
          <w:szCs w:val="20"/>
        </w:rPr>
        <w:t xml:space="preserve">only </w:t>
      </w:r>
      <w:r w:rsidRPr="00E81753">
        <w:rPr>
          <w:sz w:val="20"/>
          <w:szCs w:val="20"/>
        </w:rPr>
        <w:t>loosely aggregate when breeding.</w:t>
      </w:r>
      <w:r>
        <w:rPr>
          <w:sz w:val="20"/>
          <w:szCs w:val="20"/>
        </w:rPr>
        <w:t xml:space="preserve">  The term ‘colony’ is used when it clearly applies to a certain species or when referring to Article 3(2)(c) of Annex V to the Protocol which uses this term.</w:t>
      </w:r>
    </w:p>
  </w:footnote>
  <w:footnote w:id="2">
    <w:p w14:paraId="6ED8E27D" w14:textId="77777777" w:rsidR="00583BD8" w:rsidRDefault="00583BD8" w:rsidP="00583BD8">
      <w:pPr>
        <w:pStyle w:val="Textonotapie"/>
      </w:pPr>
      <w:r w:rsidRPr="00E81753">
        <w:rPr>
          <w:rStyle w:val="Refdenotaalpie"/>
          <w:sz w:val="20"/>
          <w:szCs w:val="20"/>
        </w:rPr>
        <w:footnoteRef/>
      </w:r>
      <w:r w:rsidRPr="00E81753">
        <w:rPr>
          <w:sz w:val="20"/>
          <w:szCs w:val="20"/>
        </w:rPr>
        <w:t xml:space="preserve"> </w:t>
      </w:r>
      <w:proofErr w:type="spellStart"/>
      <w:r w:rsidRPr="00E81753">
        <w:rPr>
          <w:sz w:val="20"/>
          <w:szCs w:val="20"/>
        </w:rPr>
        <w:t>BirdLife</w:t>
      </w:r>
      <w:proofErr w:type="spellEnd"/>
      <w:r w:rsidRPr="00E81753">
        <w:rPr>
          <w:sz w:val="20"/>
          <w:szCs w:val="20"/>
        </w:rPr>
        <w:t xml:space="preserve"> International now refers to these sites as Important Bird and Biodiversity Areas.  See: https://www.birdlife.org/worldwide/programme-additional-info/important-bird-and-biodiversity-areas-ibas</w:t>
      </w:r>
    </w:p>
  </w:footnote>
  <w:footnote w:id="3">
    <w:p w14:paraId="1175CE93" w14:textId="77777777" w:rsidR="00583BD8" w:rsidRDefault="00583BD8" w:rsidP="00583BD8">
      <w:pPr>
        <w:pStyle w:val="Textonotapie"/>
      </w:pPr>
      <w:r w:rsidRPr="004D3BEC">
        <w:rPr>
          <w:rStyle w:val="Refdenotaalpie"/>
          <w:sz w:val="20"/>
          <w:szCs w:val="20"/>
        </w:rPr>
        <w:footnoteRef/>
      </w:r>
      <w:r w:rsidRPr="004D3BEC">
        <w:rPr>
          <w:sz w:val="20"/>
          <w:szCs w:val="20"/>
        </w:rPr>
        <w:t xml:space="preserve"> Harris, C.M., Lorenz, K. and </w:t>
      </w:r>
      <w:proofErr w:type="spellStart"/>
      <w:r w:rsidRPr="004D3BEC">
        <w:rPr>
          <w:sz w:val="20"/>
          <w:szCs w:val="20"/>
        </w:rPr>
        <w:t>Sypoz</w:t>
      </w:r>
      <w:proofErr w:type="spellEnd"/>
      <w:r w:rsidRPr="004D3BEC">
        <w:rPr>
          <w:sz w:val="20"/>
          <w:szCs w:val="20"/>
        </w:rPr>
        <w:t xml:space="preserve">, M. 2017. Representation of Important Bird Areas in the Series of Antarctic Specially Protected Areas.  Report to the Governments of New Zealand, </w:t>
      </w:r>
      <w:proofErr w:type="gramStart"/>
      <w:r w:rsidRPr="004D3BEC">
        <w:rPr>
          <w:sz w:val="20"/>
          <w:szCs w:val="20"/>
        </w:rPr>
        <w:t>Norway</w:t>
      </w:r>
      <w:proofErr w:type="gramEnd"/>
      <w:r w:rsidRPr="004D3BEC">
        <w:rPr>
          <w:sz w:val="20"/>
          <w:szCs w:val="20"/>
        </w:rPr>
        <w:t xml:space="preserve"> and the United Kingdom.</w:t>
      </w:r>
    </w:p>
  </w:footnote>
  <w:footnote w:id="4">
    <w:p w14:paraId="6F8285F0" w14:textId="77777777" w:rsidR="00583BD8" w:rsidRDefault="00583BD8" w:rsidP="00583BD8">
      <w:r w:rsidRPr="004D3BEC">
        <w:rPr>
          <w:rStyle w:val="Refdenotaalpie"/>
          <w:sz w:val="20"/>
          <w:szCs w:val="20"/>
        </w:rPr>
        <w:footnoteRef/>
      </w:r>
      <w:r w:rsidRPr="004D3BEC">
        <w:rPr>
          <w:sz w:val="20"/>
          <w:szCs w:val="20"/>
        </w:rPr>
        <w:t xml:space="preserve"> In 2018 </w:t>
      </w:r>
      <w:proofErr w:type="spellStart"/>
      <w:r w:rsidRPr="004D3BEC">
        <w:rPr>
          <w:sz w:val="20"/>
          <w:szCs w:val="20"/>
        </w:rPr>
        <w:t>BirdLife</w:t>
      </w:r>
      <w:proofErr w:type="spellEnd"/>
      <w:r w:rsidRPr="004D3BEC">
        <w:rPr>
          <w:sz w:val="20"/>
          <w:szCs w:val="20"/>
        </w:rPr>
        <w:t xml:space="preserve"> International recognised a further (205</w:t>
      </w:r>
      <w:r w:rsidRPr="004D3BEC">
        <w:rPr>
          <w:sz w:val="20"/>
          <w:szCs w:val="20"/>
          <w:vertAlign w:val="superscript"/>
        </w:rPr>
        <w:t>th</w:t>
      </w:r>
      <w:r w:rsidRPr="004D3BEC">
        <w:rPr>
          <w:sz w:val="20"/>
          <w:szCs w:val="20"/>
        </w:rPr>
        <w:t xml:space="preserve">) Antarctic IBA at </w:t>
      </w:r>
      <w:hyperlink r:id="rId1" w:history="1">
        <w:r w:rsidRPr="004D3BEC">
          <w:rPr>
            <w:rStyle w:val="Hipervnculo"/>
            <w:sz w:val="20"/>
            <w:szCs w:val="20"/>
          </w:rPr>
          <w:t>Ryder Bay Islands</w:t>
        </w:r>
      </w:hyperlink>
      <w:r>
        <w:rPr>
          <w:sz w:val="20"/>
          <w:szCs w:val="20"/>
        </w:rPr>
        <w:t>, which contains more than 10% of the global population of south polar skuas.</w:t>
      </w:r>
      <w:r w:rsidRPr="004D3BEC">
        <w:rPr>
          <w:sz w:val="20"/>
          <w:szCs w:val="20"/>
        </w:rPr>
        <w:t xml:space="preserve"> The islands in Ryder Bay are part of a proposed ASPA put forward by the UK and Netherlands to CEP XXIII. </w:t>
      </w:r>
      <w:r>
        <w:rPr>
          <w:sz w:val="20"/>
          <w:szCs w:val="20"/>
        </w:rPr>
        <w:t xml:space="preserve">The </w:t>
      </w:r>
      <w:r w:rsidRPr="004D3BEC">
        <w:rPr>
          <w:color w:val="000000"/>
          <w:sz w:val="20"/>
          <w:szCs w:val="20"/>
          <w:lang w:val="en-NZ" w:eastAsia="en-GB"/>
        </w:rPr>
        <w:t xml:space="preserve">USA </w:t>
      </w:r>
      <w:r>
        <w:rPr>
          <w:color w:val="000000"/>
          <w:sz w:val="20"/>
          <w:szCs w:val="20"/>
          <w:lang w:val="en-NZ" w:eastAsia="en-GB"/>
        </w:rPr>
        <w:t xml:space="preserve">has also </w:t>
      </w:r>
      <w:r w:rsidRPr="004D3BEC">
        <w:rPr>
          <w:color w:val="000000"/>
          <w:sz w:val="20"/>
          <w:szCs w:val="20"/>
          <w:lang w:val="en-NZ" w:eastAsia="en-GB"/>
        </w:rPr>
        <w:t>put forward a proposal for a "new" ASPA in the Rosenthal Islands, and if adopted, this ASPA would include IBA No. 88.</w:t>
      </w:r>
    </w:p>
  </w:footnote>
  <w:footnote w:id="5">
    <w:p w14:paraId="7D592C4A" w14:textId="77777777" w:rsidR="00583BD8" w:rsidRDefault="00583BD8" w:rsidP="00583BD8">
      <w:pPr>
        <w:pStyle w:val="Textonotapie"/>
      </w:pPr>
      <w:r w:rsidRPr="004D3BEC">
        <w:rPr>
          <w:rStyle w:val="Refdenotaalpie"/>
          <w:sz w:val="20"/>
          <w:szCs w:val="20"/>
        </w:rPr>
        <w:footnoteRef/>
      </w:r>
      <w:r w:rsidRPr="004D3BEC">
        <w:rPr>
          <w:sz w:val="20"/>
          <w:szCs w:val="20"/>
        </w:rPr>
        <w:t xml:space="preserve"> Harris, C.M., Lorenz, K. and </w:t>
      </w:r>
      <w:proofErr w:type="spellStart"/>
      <w:r w:rsidRPr="004D3BEC">
        <w:rPr>
          <w:sz w:val="20"/>
          <w:szCs w:val="20"/>
        </w:rPr>
        <w:t>Sypoz</w:t>
      </w:r>
      <w:proofErr w:type="spellEnd"/>
      <w:r w:rsidRPr="004D3BEC">
        <w:rPr>
          <w:sz w:val="20"/>
          <w:szCs w:val="20"/>
        </w:rPr>
        <w:t xml:space="preserve">, M. 2017. Representation of Important Bird Areas in the Series of Antarctic Specially Protected Areas. Report to the Governments of New Zealand, </w:t>
      </w:r>
      <w:proofErr w:type="gramStart"/>
      <w:r w:rsidRPr="004D3BEC">
        <w:rPr>
          <w:sz w:val="20"/>
          <w:szCs w:val="20"/>
        </w:rPr>
        <w:t>Norway</w:t>
      </w:r>
      <w:proofErr w:type="gramEnd"/>
      <w:r w:rsidRPr="004D3BEC">
        <w:rPr>
          <w:sz w:val="20"/>
          <w:szCs w:val="20"/>
        </w:rPr>
        <w:t xml:space="preserve"> and the United Kingdom</w:t>
      </w:r>
      <w:r w:rsidRPr="004D3BEC">
        <w:rPr>
          <w:i/>
          <w:iCs/>
          <w:sz w:val="20"/>
          <w:szCs w:val="20"/>
        </w:rPr>
        <w:t>.</w:t>
      </w:r>
    </w:p>
  </w:footnote>
  <w:footnote w:id="6">
    <w:p w14:paraId="6105067F" w14:textId="77777777" w:rsidR="00583BD8" w:rsidRDefault="00583BD8" w:rsidP="00583BD8">
      <w:pPr>
        <w:pStyle w:val="Textonotapie"/>
      </w:pPr>
      <w:r w:rsidRPr="002E25F2">
        <w:rPr>
          <w:rStyle w:val="Refdenotaalpie"/>
          <w:sz w:val="20"/>
          <w:szCs w:val="20"/>
        </w:rPr>
        <w:footnoteRef/>
      </w:r>
      <w:r w:rsidRPr="002E25F2">
        <w:rPr>
          <w:sz w:val="20"/>
          <w:szCs w:val="20"/>
        </w:rPr>
        <w:t xml:space="preserve"> See for example: </w:t>
      </w:r>
      <w:proofErr w:type="spellStart"/>
      <w:r w:rsidRPr="002E25F2">
        <w:rPr>
          <w:sz w:val="20"/>
          <w:szCs w:val="20"/>
        </w:rPr>
        <w:t>Schwaller</w:t>
      </w:r>
      <w:proofErr w:type="spellEnd"/>
      <w:r w:rsidRPr="002E25F2">
        <w:rPr>
          <w:sz w:val="20"/>
          <w:szCs w:val="20"/>
        </w:rPr>
        <w:t xml:space="preserve">, M.R., Lynch, H.J., </w:t>
      </w:r>
      <w:proofErr w:type="spellStart"/>
      <w:r w:rsidRPr="002E25F2">
        <w:rPr>
          <w:sz w:val="20"/>
          <w:szCs w:val="20"/>
        </w:rPr>
        <w:t>Tarroux</w:t>
      </w:r>
      <w:proofErr w:type="spellEnd"/>
      <w:r w:rsidRPr="002E25F2">
        <w:rPr>
          <w:sz w:val="20"/>
          <w:szCs w:val="20"/>
        </w:rPr>
        <w:t xml:space="preserve">, A. and </w:t>
      </w:r>
      <w:proofErr w:type="spellStart"/>
      <w:r w:rsidRPr="002E25F2">
        <w:rPr>
          <w:sz w:val="20"/>
          <w:szCs w:val="20"/>
        </w:rPr>
        <w:t>Prehn</w:t>
      </w:r>
      <w:proofErr w:type="spellEnd"/>
      <w:r w:rsidRPr="002E25F2">
        <w:rPr>
          <w:sz w:val="20"/>
          <w:szCs w:val="20"/>
        </w:rPr>
        <w:t>, B. 2018. A continent-wide search for Antarctic Petrel breeding sites with satellite remote sensing.  Remote Sensing of Environment, 210, pp444-451.</w:t>
      </w:r>
    </w:p>
  </w:footnote>
  <w:footnote w:id="7">
    <w:p w14:paraId="18D71A78" w14:textId="77777777" w:rsidR="00583BD8" w:rsidRDefault="00583BD8" w:rsidP="00583BD8">
      <w:pPr>
        <w:autoSpaceDE w:val="0"/>
        <w:autoSpaceDN w:val="0"/>
        <w:adjustRightInd w:val="0"/>
      </w:pPr>
      <w:r w:rsidRPr="002E25F2">
        <w:rPr>
          <w:rStyle w:val="Refdenotaalpie"/>
          <w:sz w:val="20"/>
          <w:szCs w:val="20"/>
        </w:rPr>
        <w:footnoteRef/>
      </w:r>
      <w:r w:rsidRPr="002E25F2">
        <w:rPr>
          <w:sz w:val="20"/>
          <w:szCs w:val="20"/>
        </w:rPr>
        <w:t xml:space="preserve"> Taylor, Graeme A. 2000. Action plan for seabird conservation in New Zealand. Wellington, N.Z. Dept. of Conservation, Biodiversity Recovery Unit, 2000. ISBN 0-478-21921-5</w:t>
      </w:r>
    </w:p>
  </w:footnote>
  <w:footnote w:id="8">
    <w:p w14:paraId="0F1F2964" w14:textId="77777777" w:rsidR="00583BD8" w:rsidRDefault="00583BD8" w:rsidP="00583BD8">
      <w:pPr>
        <w:pStyle w:val="Textonotapie"/>
      </w:pPr>
      <w:r w:rsidRPr="002E25F2">
        <w:rPr>
          <w:rStyle w:val="Refdenotaalpie"/>
          <w:sz w:val="20"/>
          <w:szCs w:val="20"/>
        </w:rPr>
        <w:footnoteRef/>
      </w:r>
      <w:r w:rsidRPr="002E25F2">
        <w:rPr>
          <w:sz w:val="20"/>
          <w:szCs w:val="20"/>
        </w:rPr>
        <w:t xml:space="preserve"> </w:t>
      </w:r>
      <w:proofErr w:type="spellStart"/>
      <w:r w:rsidRPr="002E25F2">
        <w:rPr>
          <w:sz w:val="20"/>
          <w:szCs w:val="20"/>
        </w:rPr>
        <w:t>Oppel</w:t>
      </w:r>
      <w:proofErr w:type="spellEnd"/>
      <w:r w:rsidRPr="002E25F2">
        <w:rPr>
          <w:sz w:val="20"/>
          <w:szCs w:val="20"/>
        </w:rPr>
        <w:t xml:space="preserve">, S., Bolton, M., Carneiro, A.P.B., Dias, M.P., Green, J.A. </w:t>
      </w:r>
      <w:r w:rsidRPr="002E25F2">
        <w:rPr>
          <w:i/>
          <w:iCs/>
          <w:sz w:val="20"/>
          <w:szCs w:val="20"/>
        </w:rPr>
        <w:t>et al</w:t>
      </w:r>
      <w:r w:rsidRPr="002E25F2">
        <w:rPr>
          <w:sz w:val="20"/>
          <w:szCs w:val="20"/>
        </w:rPr>
        <w:t>. 2018. Spatial scales of marine conservation management for breeding seabirds. Marine Policy, 98. pp37-46. https://doi.org/10.1016/j.marpol.2018.08.024.</w:t>
      </w:r>
    </w:p>
  </w:footnote>
  <w:footnote w:id="9">
    <w:p w14:paraId="398392DB" w14:textId="77777777" w:rsidR="00583BD8" w:rsidRDefault="00583BD8" w:rsidP="00583BD8">
      <w:pPr>
        <w:autoSpaceDE w:val="0"/>
        <w:autoSpaceDN w:val="0"/>
        <w:adjustRightInd w:val="0"/>
      </w:pPr>
      <w:r w:rsidRPr="002E25F2">
        <w:rPr>
          <w:rStyle w:val="Refdenotaalpie"/>
          <w:sz w:val="20"/>
          <w:szCs w:val="20"/>
        </w:rPr>
        <w:footnoteRef/>
      </w:r>
      <w:r w:rsidRPr="002E25F2">
        <w:rPr>
          <w:sz w:val="20"/>
          <w:szCs w:val="20"/>
        </w:rPr>
        <w:t xml:space="preserve"> </w:t>
      </w:r>
      <w:r>
        <w:rPr>
          <w:sz w:val="20"/>
          <w:szCs w:val="20"/>
        </w:rPr>
        <w:t xml:space="preserve">See for example: </w:t>
      </w:r>
      <w:r w:rsidRPr="002E25F2">
        <w:rPr>
          <w:sz w:val="20"/>
          <w:szCs w:val="20"/>
        </w:rPr>
        <w:t>Handley J</w:t>
      </w:r>
      <w:r>
        <w:rPr>
          <w:sz w:val="20"/>
          <w:szCs w:val="20"/>
        </w:rPr>
        <w:t>.</w:t>
      </w:r>
      <w:r w:rsidRPr="002E25F2">
        <w:rPr>
          <w:sz w:val="20"/>
          <w:szCs w:val="20"/>
        </w:rPr>
        <w:t xml:space="preserve">, </w:t>
      </w:r>
      <w:proofErr w:type="spellStart"/>
      <w:r w:rsidRPr="002E25F2">
        <w:rPr>
          <w:sz w:val="20"/>
          <w:szCs w:val="20"/>
        </w:rPr>
        <w:t>Rouyer</w:t>
      </w:r>
      <w:proofErr w:type="spellEnd"/>
      <w:r w:rsidRPr="002E25F2">
        <w:rPr>
          <w:sz w:val="20"/>
          <w:szCs w:val="20"/>
        </w:rPr>
        <w:t xml:space="preserve"> M-M</w:t>
      </w:r>
      <w:r>
        <w:rPr>
          <w:sz w:val="20"/>
          <w:szCs w:val="20"/>
        </w:rPr>
        <w:t>.</w:t>
      </w:r>
      <w:r w:rsidRPr="002E25F2">
        <w:rPr>
          <w:sz w:val="20"/>
          <w:szCs w:val="20"/>
        </w:rPr>
        <w:t xml:space="preserve">, </w:t>
      </w:r>
      <w:proofErr w:type="spellStart"/>
      <w:r w:rsidRPr="002E25F2">
        <w:rPr>
          <w:sz w:val="20"/>
          <w:szCs w:val="20"/>
        </w:rPr>
        <w:t>Pearmain</w:t>
      </w:r>
      <w:proofErr w:type="spellEnd"/>
      <w:r w:rsidRPr="002E25F2">
        <w:rPr>
          <w:sz w:val="20"/>
          <w:szCs w:val="20"/>
        </w:rPr>
        <w:t xml:space="preserve"> E</w:t>
      </w:r>
      <w:r>
        <w:rPr>
          <w:sz w:val="20"/>
          <w:szCs w:val="20"/>
        </w:rPr>
        <w:t>.</w:t>
      </w:r>
      <w:r w:rsidRPr="002E25F2">
        <w:rPr>
          <w:sz w:val="20"/>
          <w:szCs w:val="20"/>
        </w:rPr>
        <w:t>J</w:t>
      </w:r>
      <w:r>
        <w:rPr>
          <w:sz w:val="20"/>
          <w:szCs w:val="20"/>
        </w:rPr>
        <w:t>.</w:t>
      </w:r>
      <w:r w:rsidRPr="002E25F2">
        <w:rPr>
          <w:sz w:val="20"/>
          <w:szCs w:val="20"/>
        </w:rPr>
        <w:t>, Warwick-Evans V</w:t>
      </w:r>
      <w:r>
        <w:rPr>
          <w:sz w:val="20"/>
          <w:szCs w:val="20"/>
        </w:rPr>
        <w:t>.</w:t>
      </w:r>
      <w:r w:rsidRPr="002E25F2">
        <w:rPr>
          <w:sz w:val="20"/>
          <w:szCs w:val="20"/>
        </w:rPr>
        <w:t xml:space="preserve">, </w:t>
      </w:r>
      <w:proofErr w:type="spellStart"/>
      <w:r w:rsidRPr="002E25F2">
        <w:rPr>
          <w:sz w:val="20"/>
          <w:szCs w:val="20"/>
        </w:rPr>
        <w:t>Teschke</w:t>
      </w:r>
      <w:proofErr w:type="spellEnd"/>
      <w:r w:rsidRPr="002E25F2">
        <w:rPr>
          <w:sz w:val="20"/>
          <w:szCs w:val="20"/>
        </w:rPr>
        <w:t xml:space="preserve"> K</w:t>
      </w:r>
      <w:r>
        <w:rPr>
          <w:sz w:val="20"/>
          <w:szCs w:val="20"/>
        </w:rPr>
        <w:t>.</w:t>
      </w:r>
      <w:r w:rsidRPr="002E25F2">
        <w:rPr>
          <w:sz w:val="20"/>
          <w:szCs w:val="20"/>
        </w:rPr>
        <w:t xml:space="preserve">, </w:t>
      </w:r>
      <w:proofErr w:type="spellStart"/>
      <w:r w:rsidRPr="002E25F2">
        <w:rPr>
          <w:sz w:val="20"/>
          <w:szCs w:val="20"/>
        </w:rPr>
        <w:t>Hinke</w:t>
      </w:r>
      <w:proofErr w:type="spellEnd"/>
      <w:r w:rsidRPr="002E25F2">
        <w:rPr>
          <w:sz w:val="20"/>
          <w:szCs w:val="20"/>
        </w:rPr>
        <w:t xml:space="preserve"> J</w:t>
      </w:r>
      <w:r>
        <w:rPr>
          <w:sz w:val="20"/>
          <w:szCs w:val="20"/>
        </w:rPr>
        <w:t>.</w:t>
      </w:r>
      <w:r w:rsidRPr="002E25F2">
        <w:rPr>
          <w:sz w:val="20"/>
          <w:szCs w:val="20"/>
        </w:rPr>
        <w:t>T</w:t>
      </w:r>
      <w:r>
        <w:rPr>
          <w:sz w:val="20"/>
          <w:szCs w:val="20"/>
        </w:rPr>
        <w:t>.</w:t>
      </w:r>
      <w:r w:rsidRPr="002E25F2">
        <w:rPr>
          <w:sz w:val="20"/>
          <w:szCs w:val="20"/>
        </w:rPr>
        <w:t>, Lynch H</w:t>
      </w:r>
      <w:r>
        <w:rPr>
          <w:sz w:val="20"/>
          <w:szCs w:val="20"/>
        </w:rPr>
        <w:t>.</w:t>
      </w:r>
      <w:r w:rsidRPr="002E25F2">
        <w:rPr>
          <w:sz w:val="20"/>
          <w:szCs w:val="20"/>
        </w:rPr>
        <w:t>, Emmerson L</w:t>
      </w:r>
      <w:r>
        <w:rPr>
          <w:sz w:val="20"/>
          <w:szCs w:val="20"/>
        </w:rPr>
        <w:t>.</w:t>
      </w:r>
      <w:r w:rsidRPr="002E25F2">
        <w:rPr>
          <w:sz w:val="20"/>
          <w:szCs w:val="20"/>
        </w:rPr>
        <w:t>, Southwell C</w:t>
      </w:r>
      <w:r>
        <w:rPr>
          <w:sz w:val="20"/>
          <w:szCs w:val="20"/>
        </w:rPr>
        <w:t>.</w:t>
      </w:r>
      <w:r w:rsidRPr="002E25F2">
        <w:rPr>
          <w:sz w:val="20"/>
          <w:szCs w:val="20"/>
        </w:rPr>
        <w:t>, Griffith G</w:t>
      </w:r>
      <w:r>
        <w:rPr>
          <w:sz w:val="20"/>
          <w:szCs w:val="20"/>
        </w:rPr>
        <w:t>.</w:t>
      </w:r>
      <w:r w:rsidRPr="002E25F2">
        <w:rPr>
          <w:sz w:val="20"/>
          <w:szCs w:val="20"/>
        </w:rPr>
        <w:t>, Cárdenas C</w:t>
      </w:r>
      <w:r>
        <w:rPr>
          <w:sz w:val="20"/>
          <w:szCs w:val="20"/>
        </w:rPr>
        <w:t>.</w:t>
      </w:r>
      <w:r w:rsidRPr="002E25F2">
        <w:rPr>
          <w:sz w:val="20"/>
          <w:szCs w:val="20"/>
        </w:rPr>
        <w:t>A</w:t>
      </w:r>
      <w:r>
        <w:rPr>
          <w:sz w:val="20"/>
          <w:szCs w:val="20"/>
        </w:rPr>
        <w:t>.</w:t>
      </w:r>
      <w:r w:rsidRPr="002E25F2">
        <w:rPr>
          <w:sz w:val="20"/>
          <w:szCs w:val="20"/>
        </w:rPr>
        <w:t>, Franco A</w:t>
      </w:r>
      <w:r>
        <w:rPr>
          <w:sz w:val="20"/>
          <w:szCs w:val="20"/>
        </w:rPr>
        <w:t>.</w:t>
      </w:r>
      <w:r w:rsidRPr="002E25F2">
        <w:rPr>
          <w:sz w:val="20"/>
          <w:szCs w:val="20"/>
        </w:rPr>
        <w:t>M</w:t>
      </w:r>
      <w:r>
        <w:rPr>
          <w:sz w:val="20"/>
          <w:szCs w:val="20"/>
        </w:rPr>
        <w:t>.</w:t>
      </w:r>
      <w:r w:rsidRPr="002E25F2">
        <w:rPr>
          <w:sz w:val="20"/>
          <w:szCs w:val="20"/>
        </w:rPr>
        <w:t>A</w:t>
      </w:r>
      <w:r>
        <w:rPr>
          <w:sz w:val="20"/>
          <w:szCs w:val="20"/>
        </w:rPr>
        <w:t>.</w:t>
      </w:r>
      <w:r w:rsidRPr="002E25F2">
        <w:rPr>
          <w:sz w:val="20"/>
          <w:szCs w:val="20"/>
        </w:rPr>
        <w:t xml:space="preserve">, </w:t>
      </w:r>
      <w:proofErr w:type="spellStart"/>
      <w:r w:rsidRPr="002E25F2">
        <w:rPr>
          <w:sz w:val="20"/>
          <w:szCs w:val="20"/>
        </w:rPr>
        <w:t>Trathan</w:t>
      </w:r>
      <w:proofErr w:type="spellEnd"/>
      <w:r w:rsidRPr="002E25F2">
        <w:rPr>
          <w:sz w:val="20"/>
          <w:szCs w:val="20"/>
        </w:rPr>
        <w:t xml:space="preserve"> P</w:t>
      </w:r>
      <w:r>
        <w:rPr>
          <w:sz w:val="20"/>
          <w:szCs w:val="20"/>
        </w:rPr>
        <w:t>.</w:t>
      </w:r>
      <w:r w:rsidRPr="002E25F2">
        <w:rPr>
          <w:sz w:val="20"/>
          <w:szCs w:val="20"/>
        </w:rPr>
        <w:t xml:space="preserve"> and Dias M</w:t>
      </w:r>
      <w:r>
        <w:rPr>
          <w:sz w:val="20"/>
          <w:szCs w:val="20"/>
        </w:rPr>
        <w:t>.</w:t>
      </w:r>
      <w:r w:rsidRPr="002E25F2">
        <w:rPr>
          <w:sz w:val="20"/>
          <w:szCs w:val="20"/>
        </w:rPr>
        <w:t>P</w:t>
      </w:r>
      <w:r>
        <w:rPr>
          <w:sz w:val="20"/>
          <w:szCs w:val="20"/>
        </w:rPr>
        <w:t>.</w:t>
      </w:r>
      <w:r w:rsidRPr="002E25F2">
        <w:rPr>
          <w:sz w:val="20"/>
          <w:szCs w:val="20"/>
        </w:rPr>
        <w:t xml:space="preserve"> 2021</w:t>
      </w:r>
      <w:r>
        <w:rPr>
          <w:sz w:val="20"/>
          <w:szCs w:val="20"/>
        </w:rPr>
        <w:t>.</w:t>
      </w:r>
      <w:r w:rsidRPr="002E25F2">
        <w:rPr>
          <w:sz w:val="20"/>
          <w:szCs w:val="20"/>
        </w:rPr>
        <w:t xml:space="preserve"> Marine Important Bird and Biodiversity Areas for Penguins in Antarctica, Targets for Conservation Action. Front. Mar. Sci. 7:602972. </w:t>
      </w:r>
      <w:proofErr w:type="spellStart"/>
      <w:r w:rsidRPr="002E25F2">
        <w:rPr>
          <w:sz w:val="20"/>
          <w:szCs w:val="20"/>
        </w:rPr>
        <w:t>doi</w:t>
      </w:r>
      <w:proofErr w:type="spellEnd"/>
      <w:r w:rsidRPr="002E25F2">
        <w:rPr>
          <w:sz w:val="20"/>
          <w:szCs w:val="20"/>
        </w:rPr>
        <w:t>: 10.3389/fmars.2020.602972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D2951" w14:paraId="7341EF65" w14:textId="77777777" w:rsidTr="00490760">
      <w:trPr>
        <w:trHeight w:val="344"/>
        <w:jc w:val="center"/>
      </w:trPr>
      <w:tc>
        <w:tcPr>
          <w:tcW w:w="5495" w:type="dxa"/>
        </w:tcPr>
        <w:p w14:paraId="360B7920" w14:textId="77777777" w:rsidR="00DB7C09" w:rsidRDefault="00583BD8" w:rsidP="00F968D4"/>
      </w:tc>
      <w:tc>
        <w:tcPr>
          <w:tcW w:w="4253" w:type="dxa"/>
          <w:gridSpan w:val="2"/>
        </w:tcPr>
        <w:p w14:paraId="71329657" w14:textId="77777777" w:rsidR="00DB7C09" w:rsidRPr="00BD47E4" w:rsidRDefault="00583BD8" w:rsidP="002A07BC">
          <w:pPr>
            <w:jc w:val="right"/>
            <w:rPr>
              <w:b/>
              <w:sz w:val="32"/>
              <w:szCs w:val="32"/>
            </w:rPr>
          </w:pPr>
          <w:bookmarkStart w:id="2" w:name="type"/>
          <w:r w:rsidRPr="00BD47E4">
            <w:rPr>
              <w:b/>
              <w:sz w:val="32"/>
              <w:szCs w:val="32"/>
            </w:rPr>
            <w:t>WP</w:t>
          </w:r>
          <w:bookmarkEnd w:id="2"/>
        </w:p>
      </w:tc>
      <w:tc>
        <w:tcPr>
          <w:tcW w:w="1524" w:type="dxa"/>
          <w:gridSpan w:val="2"/>
        </w:tcPr>
        <w:p w14:paraId="3CBE8004" w14:textId="77777777" w:rsidR="00DB7C09" w:rsidRPr="00BD47E4" w:rsidRDefault="00583BD8" w:rsidP="00DB7C09">
          <w:pPr>
            <w:rPr>
              <w:b/>
              <w:sz w:val="32"/>
              <w:szCs w:val="32"/>
            </w:rPr>
          </w:pPr>
          <w:bookmarkStart w:id="3" w:name="number"/>
          <w:r w:rsidRPr="00BD47E4">
            <w:rPr>
              <w:b/>
              <w:sz w:val="32"/>
              <w:szCs w:val="32"/>
            </w:rPr>
            <w:t>43</w:t>
          </w:r>
          <w:bookmarkEnd w:id="3"/>
        </w:p>
      </w:tc>
    </w:tr>
    <w:tr w:rsidR="009D2951" w14:paraId="7BE00942" w14:textId="77777777" w:rsidTr="00490760">
      <w:trPr>
        <w:trHeight w:val="2165"/>
        <w:jc w:val="center"/>
      </w:trPr>
      <w:tc>
        <w:tcPr>
          <w:tcW w:w="5495" w:type="dxa"/>
        </w:tcPr>
        <w:p w14:paraId="4389DCA5" w14:textId="77777777" w:rsidR="00490760" w:rsidRPr="00EE4D48" w:rsidRDefault="00583BD8" w:rsidP="002A07BC">
          <w:pPr>
            <w:rPr>
              <w:b/>
              <w:sz w:val="28"/>
              <w:szCs w:val="28"/>
            </w:rPr>
          </w:pPr>
          <w:r>
            <w:rPr>
              <w:b/>
              <w:noProof/>
              <w:sz w:val="28"/>
              <w:szCs w:val="28"/>
            </w:rPr>
            <w:drawing>
              <wp:inline distT="0" distB="0" distL="0" distR="0" wp14:anchorId="26C9D8FD" wp14:editId="289628C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117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AE26F99" w14:textId="77777777" w:rsidR="00490760" w:rsidRPr="00FE5146" w:rsidRDefault="00583BD8" w:rsidP="00490760">
          <w:pPr>
            <w:jc w:val="right"/>
            <w:rPr>
              <w:sz w:val="144"/>
              <w:szCs w:val="144"/>
            </w:rPr>
          </w:pPr>
          <w:r w:rsidRPr="00FE5146">
            <w:rPr>
              <w:sz w:val="144"/>
              <w:szCs w:val="144"/>
            </w:rPr>
            <w:t>ENG</w:t>
          </w:r>
        </w:p>
      </w:tc>
    </w:tr>
    <w:tr w:rsidR="009D2951" w14:paraId="10D11743" w14:textId="77777777" w:rsidTr="00BD47E4">
      <w:trPr>
        <w:trHeight w:val="409"/>
        <w:jc w:val="center"/>
      </w:trPr>
      <w:tc>
        <w:tcPr>
          <w:tcW w:w="9039" w:type="dxa"/>
          <w:gridSpan w:val="2"/>
        </w:tcPr>
        <w:p w14:paraId="5CD03085" w14:textId="77777777" w:rsidR="00BD47E4" w:rsidRDefault="00583BD8" w:rsidP="002C30DA">
          <w:pPr>
            <w:jc w:val="right"/>
          </w:pPr>
          <w:r>
            <w:t>Agenda Item:</w:t>
          </w:r>
        </w:p>
      </w:tc>
      <w:tc>
        <w:tcPr>
          <w:tcW w:w="1843" w:type="dxa"/>
          <w:gridSpan w:val="2"/>
        </w:tcPr>
        <w:p w14:paraId="39E24EC9" w14:textId="77777777" w:rsidR="00BD47E4" w:rsidRDefault="00583BD8" w:rsidP="002C30DA">
          <w:pPr>
            <w:jc w:val="right"/>
          </w:pPr>
          <w:bookmarkStart w:id="4" w:name="agenda"/>
          <w:r>
            <w:t>CEP 9e</w:t>
          </w:r>
          <w:bookmarkEnd w:id="4"/>
        </w:p>
      </w:tc>
      <w:tc>
        <w:tcPr>
          <w:tcW w:w="390" w:type="dxa"/>
        </w:tcPr>
        <w:p w14:paraId="39F54126" w14:textId="77777777" w:rsidR="00BD47E4" w:rsidRDefault="00583BD8" w:rsidP="00387A65">
          <w:pPr>
            <w:jc w:val="right"/>
          </w:pPr>
        </w:p>
      </w:tc>
    </w:tr>
    <w:tr w:rsidR="009D2951" w14:paraId="5FCDB2CC" w14:textId="77777777" w:rsidTr="00BD47E4">
      <w:trPr>
        <w:trHeight w:val="397"/>
        <w:jc w:val="center"/>
      </w:trPr>
      <w:tc>
        <w:tcPr>
          <w:tcW w:w="9039" w:type="dxa"/>
          <w:gridSpan w:val="2"/>
        </w:tcPr>
        <w:p w14:paraId="4076319E" w14:textId="77777777" w:rsidR="00BD47E4" w:rsidRDefault="00583BD8" w:rsidP="002C30DA">
          <w:pPr>
            <w:jc w:val="right"/>
          </w:pPr>
          <w:r>
            <w:t>Presented by:</w:t>
          </w:r>
        </w:p>
      </w:tc>
      <w:tc>
        <w:tcPr>
          <w:tcW w:w="1843" w:type="dxa"/>
          <w:gridSpan w:val="2"/>
        </w:tcPr>
        <w:p w14:paraId="089240AF" w14:textId="77777777" w:rsidR="00A13541" w:rsidRDefault="00583BD8" w:rsidP="002C30DA">
          <w:pPr>
            <w:jc w:val="right"/>
          </w:pPr>
          <w:bookmarkStart w:id="5" w:name="party"/>
          <w:r>
            <w:t xml:space="preserve">Australia, Germany, </w:t>
          </w:r>
        </w:p>
        <w:p w14:paraId="115A50CB" w14:textId="13C50660" w:rsidR="00BD47E4" w:rsidRDefault="00583BD8" w:rsidP="002C30DA">
          <w:pPr>
            <w:jc w:val="right"/>
          </w:pPr>
          <w:r>
            <w:t xml:space="preserve">New Zealand, Norway, Spain, United </w:t>
          </w:r>
          <w:r>
            <w:t>Kingdom, United States</w:t>
          </w:r>
          <w:bookmarkEnd w:id="5"/>
        </w:p>
      </w:tc>
      <w:tc>
        <w:tcPr>
          <w:tcW w:w="390" w:type="dxa"/>
        </w:tcPr>
        <w:p w14:paraId="50DA3FC8" w14:textId="77777777" w:rsidR="00BD47E4" w:rsidRDefault="00583BD8" w:rsidP="00387A65">
          <w:pPr>
            <w:jc w:val="right"/>
          </w:pPr>
        </w:p>
      </w:tc>
    </w:tr>
    <w:tr w:rsidR="009D2951" w14:paraId="04102AF9" w14:textId="77777777" w:rsidTr="00BD47E4">
      <w:trPr>
        <w:trHeight w:val="409"/>
        <w:jc w:val="center"/>
      </w:trPr>
      <w:tc>
        <w:tcPr>
          <w:tcW w:w="9039" w:type="dxa"/>
          <w:gridSpan w:val="2"/>
        </w:tcPr>
        <w:p w14:paraId="71511F76" w14:textId="77777777" w:rsidR="00BD47E4" w:rsidRDefault="00583BD8" w:rsidP="002C30DA">
          <w:pPr>
            <w:jc w:val="right"/>
          </w:pPr>
          <w:r>
            <w:t>Original:</w:t>
          </w:r>
        </w:p>
      </w:tc>
      <w:tc>
        <w:tcPr>
          <w:tcW w:w="1843" w:type="dxa"/>
          <w:gridSpan w:val="2"/>
        </w:tcPr>
        <w:p w14:paraId="5030EC86" w14:textId="77777777" w:rsidR="00BD47E4" w:rsidRDefault="00583BD8" w:rsidP="002C30DA">
          <w:pPr>
            <w:jc w:val="right"/>
          </w:pPr>
          <w:bookmarkStart w:id="6" w:name="language"/>
          <w:r>
            <w:t>English</w:t>
          </w:r>
          <w:bookmarkEnd w:id="6"/>
        </w:p>
      </w:tc>
      <w:tc>
        <w:tcPr>
          <w:tcW w:w="390" w:type="dxa"/>
        </w:tcPr>
        <w:p w14:paraId="7FEEB7DA" w14:textId="77777777" w:rsidR="00BD47E4" w:rsidRDefault="00583BD8" w:rsidP="00387A65">
          <w:pPr>
            <w:jc w:val="right"/>
          </w:pPr>
        </w:p>
      </w:tc>
    </w:tr>
    <w:tr w:rsidR="009D2951" w14:paraId="150FC339" w14:textId="77777777" w:rsidTr="00BD47E4">
      <w:trPr>
        <w:trHeight w:val="409"/>
        <w:jc w:val="center"/>
      </w:trPr>
      <w:tc>
        <w:tcPr>
          <w:tcW w:w="9039" w:type="dxa"/>
          <w:gridSpan w:val="2"/>
        </w:tcPr>
        <w:p w14:paraId="7B4D40D6" w14:textId="77777777" w:rsidR="0097629D" w:rsidRDefault="00583BD8" w:rsidP="002C30DA">
          <w:pPr>
            <w:jc w:val="right"/>
          </w:pPr>
          <w:r>
            <w:t>Submitted:</w:t>
          </w:r>
        </w:p>
      </w:tc>
      <w:tc>
        <w:tcPr>
          <w:tcW w:w="1843" w:type="dxa"/>
          <w:gridSpan w:val="2"/>
        </w:tcPr>
        <w:p w14:paraId="5DBD3C4A" w14:textId="77777777" w:rsidR="0097629D" w:rsidRDefault="00583BD8" w:rsidP="0097629D">
          <w:pPr>
            <w:jc w:val="right"/>
          </w:pPr>
          <w:bookmarkStart w:id="7" w:name="date_submission"/>
          <w:r>
            <w:t>30/4/2021</w:t>
          </w:r>
          <w:bookmarkEnd w:id="7"/>
        </w:p>
      </w:tc>
      <w:tc>
        <w:tcPr>
          <w:tcW w:w="390" w:type="dxa"/>
        </w:tcPr>
        <w:p w14:paraId="3FBEC81C" w14:textId="77777777" w:rsidR="0097629D" w:rsidRDefault="00583BD8" w:rsidP="00387A65">
          <w:pPr>
            <w:jc w:val="right"/>
          </w:pPr>
        </w:p>
      </w:tc>
    </w:tr>
  </w:tbl>
  <w:p w14:paraId="18C12E83" w14:textId="77777777" w:rsidR="00AE5DD0" w:rsidRDefault="00583B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D2951" w14:paraId="5285F115" w14:textId="77777777">
      <w:trPr>
        <w:trHeight w:val="354"/>
        <w:jc w:val="center"/>
      </w:trPr>
      <w:tc>
        <w:tcPr>
          <w:tcW w:w="9694" w:type="dxa"/>
        </w:tcPr>
        <w:p w14:paraId="0BE16477" w14:textId="5B68385B" w:rsidR="00AE5DD0" w:rsidRPr="00BD47E4" w:rsidRDefault="00583BD8" w:rsidP="00C26F2D">
          <w:pPr>
            <w:jc w:val="right"/>
            <w:rPr>
              <w:b/>
              <w:sz w:val="32"/>
              <w:szCs w:val="32"/>
            </w:rPr>
          </w:pPr>
          <w:r>
            <w:rPr>
              <w:b/>
              <w:sz w:val="32"/>
              <w:szCs w:val="32"/>
            </w:rPr>
            <w:t>WP</w:t>
          </w:r>
        </w:p>
      </w:tc>
      <w:tc>
        <w:tcPr>
          <w:tcW w:w="1332" w:type="dxa"/>
        </w:tcPr>
        <w:p w14:paraId="60D7D151" w14:textId="62F0E9C8" w:rsidR="00AE5DD0" w:rsidRPr="00BD47E4" w:rsidRDefault="00583BD8" w:rsidP="00080F4C">
          <w:pPr>
            <w:rPr>
              <w:b/>
              <w:sz w:val="32"/>
              <w:szCs w:val="32"/>
            </w:rPr>
          </w:pPr>
          <w:r>
            <w:rPr>
              <w:b/>
              <w:sz w:val="32"/>
              <w:szCs w:val="32"/>
            </w:rPr>
            <w:t>43</w:t>
          </w:r>
        </w:p>
      </w:tc>
    </w:tr>
  </w:tbl>
  <w:p w14:paraId="777E989A" w14:textId="77777777" w:rsidR="00AE5DD0" w:rsidRDefault="00583B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0943AB2"/>
    <w:multiLevelType w:val="hybridMultilevel"/>
    <w:tmpl w:val="2DDEF94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0608AFC6">
      <w:start w:val="1"/>
      <w:numFmt w:val="bullet"/>
      <w:pStyle w:val="ATSBullet1"/>
      <w:lvlText w:val=""/>
      <w:lvlJc w:val="left"/>
      <w:pPr>
        <w:tabs>
          <w:tab w:val="num" w:pos="360"/>
        </w:tabs>
        <w:ind w:left="360" w:hanging="360"/>
      </w:pPr>
      <w:rPr>
        <w:rFonts w:ascii="Symbol" w:hAnsi="Symbol" w:hint="default"/>
        <w:color w:val="auto"/>
      </w:rPr>
    </w:lvl>
    <w:lvl w:ilvl="1" w:tplc="BD48E91C" w:tentative="1">
      <w:start w:val="1"/>
      <w:numFmt w:val="bullet"/>
      <w:lvlText w:val="o"/>
      <w:lvlJc w:val="left"/>
      <w:pPr>
        <w:tabs>
          <w:tab w:val="num" w:pos="1440"/>
        </w:tabs>
        <w:ind w:left="1440" w:hanging="360"/>
      </w:pPr>
      <w:rPr>
        <w:rFonts w:ascii="Courier New" w:hAnsi="Courier New" w:cs="Courier New" w:hint="default"/>
      </w:rPr>
    </w:lvl>
    <w:lvl w:ilvl="2" w:tplc="6478BCAA" w:tentative="1">
      <w:start w:val="1"/>
      <w:numFmt w:val="bullet"/>
      <w:lvlText w:val=""/>
      <w:lvlJc w:val="left"/>
      <w:pPr>
        <w:tabs>
          <w:tab w:val="num" w:pos="2160"/>
        </w:tabs>
        <w:ind w:left="2160" w:hanging="360"/>
      </w:pPr>
      <w:rPr>
        <w:rFonts w:ascii="Wingdings" w:hAnsi="Wingdings" w:hint="default"/>
      </w:rPr>
    </w:lvl>
    <w:lvl w:ilvl="3" w:tplc="5F0A614A" w:tentative="1">
      <w:start w:val="1"/>
      <w:numFmt w:val="bullet"/>
      <w:lvlText w:val=""/>
      <w:lvlJc w:val="left"/>
      <w:pPr>
        <w:tabs>
          <w:tab w:val="num" w:pos="2880"/>
        </w:tabs>
        <w:ind w:left="2880" w:hanging="360"/>
      </w:pPr>
      <w:rPr>
        <w:rFonts w:ascii="Symbol" w:hAnsi="Symbol" w:hint="default"/>
      </w:rPr>
    </w:lvl>
    <w:lvl w:ilvl="4" w:tplc="DBAE2F42" w:tentative="1">
      <w:start w:val="1"/>
      <w:numFmt w:val="bullet"/>
      <w:lvlText w:val="o"/>
      <w:lvlJc w:val="left"/>
      <w:pPr>
        <w:tabs>
          <w:tab w:val="num" w:pos="3600"/>
        </w:tabs>
        <w:ind w:left="3600" w:hanging="360"/>
      </w:pPr>
      <w:rPr>
        <w:rFonts w:ascii="Courier New" w:hAnsi="Courier New" w:cs="Courier New" w:hint="default"/>
      </w:rPr>
    </w:lvl>
    <w:lvl w:ilvl="5" w:tplc="573040FC" w:tentative="1">
      <w:start w:val="1"/>
      <w:numFmt w:val="bullet"/>
      <w:lvlText w:val=""/>
      <w:lvlJc w:val="left"/>
      <w:pPr>
        <w:tabs>
          <w:tab w:val="num" w:pos="4320"/>
        </w:tabs>
        <w:ind w:left="4320" w:hanging="360"/>
      </w:pPr>
      <w:rPr>
        <w:rFonts w:ascii="Wingdings" w:hAnsi="Wingdings" w:hint="default"/>
      </w:rPr>
    </w:lvl>
    <w:lvl w:ilvl="6" w:tplc="53FC6E80" w:tentative="1">
      <w:start w:val="1"/>
      <w:numFmt w:val="bullet"/>
      <w:lvlText w:val=""/>
      <w:lvlJc w:val="left"/>
      <w:pPr>
        <w:tabs>
          <w:tab w:val="num" w:pos="5040"/>
        </w:tabs>
        <w:ind w:left="5040" w:hanging="360"/>
      </w:pPr>
      <w:rPr>
        <w:rFonts w:ascii="Symbol" w:hAnsi="Symbol" w:hint="default"/>
      </w:rPr>
    </w:lvl>
    <w:lvl w:ilvl="7" w:tplc="835CD22C" w:tentative="1">
      <w:start w:val="1"/>
      <w:numFmt w:val="bullet"/>
      <w:lvlText w:val="o"/>
      <w:lvlJc w:val="left"/>
      <w:pPr>
        <w:tabs>
          <w:tab w:val="num" w:pos="5760"/>
        </w:tabs>
        <w:ind w:left="5760" w:hanging="360"/>
      </w:pPr>
      <w:rPr>
        <w:rFonts w:ascii="Courier New" w:hAnsi="Courier New" w:cs="Courier New" w:hint="default"/>
      </w:rPr>
    </w:lvl>
    <w:lvl w:ilvl="8" w:tplc="8B6A04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144E68BA">
      <w:start w:val="1"/>
      <w:numFmt w:val="decimal"/>
      <w:lvlText w:val="%1)"/>
      <w:lvlJc w:val="left"/>
      <w:pPr>
        <w:tabs>
          <w:tab w:val="num" w:pos="340"/>
        </w:tabs>
        <w:ind w:left="340" w:hanging="340"/>
      </w:pPr>
      <w:rPr>
        <w:rFonts w:hint="default"/>
      </w:rPr>
    </w:lvl>
    <w:lvl w:ilvl="1" w:tplc="492699BC" w:tentative="1">
      <w:start w:val="1"/>
      <w:numFmt w:val="lowerLetter"/>
      <w:lvlText w:val="%2."/>
      <w:lvlJc w:val="left"/>
      <w:pPr>
        <w:tabs>
          <w:tab w:val="num" w:pos="1440"/>
        </w:tabs>
        <w:ind w:left="1440" w:hanging="360"/>
      </w:pPr>
    </w:lvl>
    <w:lvl w:ilvl="2" w:tplc="678A8ED4" w:tentative="1">
      <w:start w:val="1"/>
      <w:numFmt w:val="lowerRoman"/>
      <w:lvlText w:val="%3."/>
      <w:lvlJc w:val="right"/>
      <w:pPr>
        <w:tabs>
          <w:tab w:val="num" w:pos="2160"/>
        </w:tabs>
        <w:ind w:left="2160" w:hanging="180"/>
      </w:pPr>
    </w:lvl>
    <w:lvl w:ilvl="3" w:tplc="FA3EE414" w:tentative="1">
      <w:start w:val="1"/>
      <w:numFmt w:val="decimal"/>
      <w:lvlText w:val="%4."/>
      <w:lvlJc w:val="left"/>
      <w:pPr>
        <w:tabs>
          <w:tab w:val="num" w:pos="2880"/>
        </w:tabs>
        <w:ind w:left="2880" w:hanging="360"/>
      </w:pPr>
    </w:lvl>
    <w:lvl w:ilvl="4" w:tplc="672C7FD2" w:tentative="1">
      <w:start w:val="1"/>
      <w:numFmt w:val="lowerLetter"/>
      <w:lvlText w:val="%5."/>
      <w:lvlJc w:val="left"/>
      <w:pPr>
        <w:tabs>
          <w:tab w:val="num" w:pos="3600"/>
        </w:tabs>
        <w:ind w:left="3600" w:hanging="360"/>
      </w:pPr>
    </w:lvl>
    <w:lvl w:ilvl="5" w:tplc="442A780C" w:tentative="1">
      <w:start w:val="1"/>
      <w:numFmt w:val="lowerRoman"/>
      <w:lvlText w:val="%6."/>
      <w:lvlJc w:val="right"/>
      <w:pPr>
        <w:tabs>
          <w:tab w:val="num" w:pos="4320"/>
        </w:tabs>
        <w:ind w:left="4320" w:hanging="180"/>
      </w:pPr>
    </w:lvl>
    <w:lvl w:ilvl="6" w:tplc="F1F26AA6" w:tentative="1">
      <w:start w:val="1"/>
      <w:numFmt w:val="decimal"/>
      <w:lvlText w:val="%7."/>
      <w:lvlJc w:val="left"/>
      <w:pPr>
        <w:tabs>
          <w:tab w:val="num" w:pos="5040"/>
        </w:tabs>
        <w:ind w:left="5040" w:hanging="360"/>
      </w:pPr>
    </w:lvl>
    <w:lvl w:ilvl="7" w:tplc="E9064242" w:tentative="1">
      <w:start w:val="1"/>
      <w:numFmt w:val="lowerLetter"/>
      <w:lvlText w:val="%8."/>
      <w:lvlJc w:val="left"/>
      <w:pPr>
        <w:tabs>
          <w:tab w:val="num" w:pos="5760"/>
        </w:tabs>
        <w:ind w:left="5760" w:hanging="360"/>
      </w:pPr>
    </w:lvl>
    <w:lvl w:ilvl="8" w:tplc="6D82856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D34EDC16">
      <w:start w:val="1"/>
      <w:numFmt w:val="decimal"/>
      <w:lvlText w:val="%1."/>
      <w:lvlJc w:val="left"/>
      <w:pPr>
        <w:tabs>
          <w:tab w:val="num" w:pos="1057"/>
        </w:tabs>
        <w:ind w:left="1057" w:hanging="360"/>
      </w:pPr>
      <w:rPr>
        <w:rFonts w:hint="default"/>
      </w:rPr>
    </w:lvl>
    <w:lvl w:ilvl="1" w:tplc="C37C1CAA" w:tentative="1">
      <w:start w:val="1"/>
      <w:numFmt w:val="lowerLetter"/>
      <w:lvlText w:val="%2."/>
      <w:lvlJc w:val="left"/>
      <w:pPr>
        <w:tabs>
          <w:tab w:val="num" w:pos="2137"/>
        </w:tabs>
        <w:ind w:left="2137" w:hanging="360"/>
      </w:pPr>
    </w:lvl>
    <w:lvl w:ilvl="2" w:tplc="1D56F54A" w:tentative="1">
      <w:start w:val="1"/>
      <w:numFmt w:val="lowerRoman"/>
      <w:lvlText w:val="%3."/>
      <w:lvlJc w:val="right"/>
      <w:pPr>
        <w:tabs>
          <w:tab w:val="num" w:pos="2857"/>
        </w:tabs>
        <w:ind w:left="2857" w:hanging="180"/>
      </w:pPr>
    </w:lvl>
    <w:lvl w:ilvl="3" w:tplc="D876C4F2" w:tentative="1">
      <w:start w:val="1"/>
      <w:numFmt w:val="decimal"/>
      <w:lvlText w:val="%4."/>
      <w:lvlJc w:val="left"/>
      <w:pPr>
        <w:tabs>
          <w:tab w:val="num" w:pos="3577"/>
        </w:tabs>
        <w:ind w:left="3577" w:hanging="360"/>
      </w:pPr>
    </w:lvl>
    <w:lvl w:ilvl="4" w:tplc="1806F750" w:tentative="1">
      <w:start w:val="1"/>
      <w:numFmt w:val="lowerLetter"/>
      <w:lvlText w:val="%5."/>
      <w:lvlJc w:val="left"/>
      <w:pPr>
        <w:tabs>
          <w:tab w:val="num" w:pos="4297"/>
        </w:tabs>
        <w:ind w:left="4297" w:hanging="360"/>
      </w:pPr>
    </w:lvl>
    <w:lvl w:ilvl="5" w:tplc="77D0D85E" w:tentative="1">
      <w:start w:val="1"/>
      <w:numFmt w:val="lowerRoman"/>
      <w:lvlText w:val="%6."/>
      <w:lvlJc w:val="right"/>
      <w:pPr>
        <w:tabs>
          <w:tab w:val="num" w:pos="5017"/>
        </w:tabs>
        <w:ind w:left="5017" w:hanging="180"/>
      </w:pPr>
    </w:lvl>
    <w:lvl w:ilvl="6" w:tplc="47528CB8" w:tentative="1">
      <w:start w:val="1"/>
      <w:numFmt w:val="decimal"/>
      <w:lvlText w:val="%7."/>
      <w:lvlJc w:val="left"/>
      <w:pPr>
        <w:tabs>
          <w:tab w:val="num" w:pos="5737"/>
        </w:tabs>
        <w:ind w:left="5737" w:hanging="360"/>
      </w:pPr>
    </w:lvl>
    <w:lvl w:ilvl="7" w:tplc="F064E33C" w:tentative="1">
      <w:start w:val="1"/>
      <w:numFmt w:val="lowerLetter"/>
      <w:lvlText w:val="%8."/>
      <w:lvlJc w:val="left"/>
      <w:pPr>
        <w:tabs>
          <w:tab w:val="num" w:pos="6457"/>
        </w:tabs>
        <w:ind w:left="6457" w:hanging="360"/>
      </w:pPr>
    </w:lvl>
    <w:lvl w:ilvl="8" w:tplc="1692382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AF64996">
      <w:start w:val="1"/>
      <w:numFmt w:val="decimal"/>
      <w:pStyle w:val="ATSNumber1"/>
      <w:lvlText w:val="%1)"/>
      <w:lvlJc w:val="left"/>
      <w:pPr>
        <w:tabs>
          <w:tab w:val="num" w:pos="720"/>
        </w:tabs>
        <w:ind w:left="720" w:hanging="360"/>
      </w:pPr>
    </w:lvl>
    <w:lvl w:ilvl="1" w:tplc="889A0E68" w:tentative="1">
      <w:start w:val="1"/>
      <w:numFmt w:val="lowerLetter"/>
      <w:lvlText w:val="%2."/>
      <w:lvlJc w:val="left"/>
      <w:pPr>
        <w:tabs>
          <w:tab w:val="num" w:pos="1440"/>
        </w:tabs>
        <w:ind w:left="1440" w:hanging="360"/>
      </w:pPr>
    </w:lvl>
    <w:lvl w:ilvl="2" w:tplc="1858518C" w:tentative="1">
      <w:start w:val="1"/>
      <w:numFmt w:val="lowerRoman"/>
      <w:lvlText w:val="%3."/>
      <w:lvlJc w:val="right"/>
      <w:pPr>
        <w:tabs>
          <w:tab w:val="num" w:pos="2160"/>
        </w:tabs>
        <w:ind w:left="2160" w:hanging="180"/>
      </w:pPr>
    </w:lvl>
    <w:lvl w:ilvl="3" w:tplc="F7704154" w:tentative="1">
      <w:start w:val="1"/>
      <w:numFmt w:val="decimal"/>
      <w:lvlText w:val="%4."/>
      <w:lvlJc w:val="left"/>
      <w:pPr>
        <w:tabs>
          <w:tab w:val="num" w:pos="2880"/>
        </w:tabs>
        <w:ind w:left="2880" w:hanging="360"/>
      </w:pPr>
    </w:lvl>
    <w:lvl w:ilvl="4" w:tplc="BF1C101A" w:tentative="1">
      <w:start w:val="1"/>
      <w:numFmt w:val="lowerLetter"/>
      <w:lvlText w:val="%5."/>
      <w:lvlJc w:val="left"/>
      <w:pPr>
        <w:tabs>
          <w:tab w:val="num" w:pos="3600"/>
        </w:tabs>
        <w:ind w:left="3600" w:hanging="360"/>
      </w:pPr>
    </w:lvl>
    <w:lvl w:ilvl="5" w:tplc="11BCAB04" w:tentative="1">
      <w:start w:val="1"/>
      <w:numFmt w:val="lowerRoman"/>
      <w:lvlText w:val="%6."/>
      <w:lvlJc w:val="right"/>
      <w:pPr>
        <w:tabs>
          <w:tab w:val="num" w:pos="4320"/>
        </w:tabs>
        <w:ind w:left="4320" w:hanging="180"/>
      </w:pPr>
    </w:lvl>
    <w:lvl w:ilvl="6" w:tplc="412223F8" w:tentative="1">
      <w:start w:val="1"/>
      <w:numFmt w:val="decimal"/>
      <w:lvlText w:val="%7."/>
      <w:lvlJc w:val="left"/>
      <w:pPr>
        <w:tabs>
          <w:tab w:val="num" w:pos="5040"/>
        </w:tabs>
        <w:ind w:left="5040" w:hanging="360"/>
      </w:pPr>
    </w:lvl>
    <w:lvl w:ilvl="7" w:tplc="695A278C" w:tentative="1">
      <w:start w:val="1"/>
      <w:numFmt w:val="lowerLetter"/>
      <w:lvlText w:val="%8."/>
      <w:lvlJc w:val="left"/>
      <w:pPr>
        <w:tabs>
          <w:tab w:val="num" w:pos="5760"/>
        </w:tabs>
        <w:ind w:left="5760" w:hanging="360"/>
      </w:pPr>
    </w:lvl>
    <w:lvl w:ilvl="8" w:tplc="827AEB2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550D6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D203E74" w:tentative="1">
      <w:start w:val="1"/>
      <w:numFmt w:val="bullet"/>
      <w:lvlText w:val="o"/>
      <w:lvlJc w:val="left"/>
      <w:pPr>
        <w:tabs>
          <w:tab w:val="num" w:pos="2517"/>
        </w:tabs>
        <w:ind w:left="2517" w:hanging="360"/>
      </w:pPr>
      <w:rPr>
        <w:rFonts w:ascii="Courier New" w:hAnsi="Courier New" w:cs="Courier New" w:hint="default"/>
      </w:rPr>
    </w:lvl>
    <w:lvl w:ilvl="2" w:tplc="4AB201F8" w:tentative="1">
      <w:start w:val="1"/>
      <w:numFmt w:val="bullet"/>
      <w:lvlText w:val=""/>
      <w:lvlJc w:val="left"/>
      <w:pPr>
        <w:tabs>
          <w:tab w:val="num" w:pos="3237"/>
        </w:tabs>
        <w:ind w:left="3237" w:hanging="360"/>
      </w:pPr>
      <w:rPr>
        <w:rFonts w:ascii="Wingdings" w:hAnsi="Wingdings" w:hint="default"/>
      </w:rPr>
    </w:lvl>
    <w:lvl w:ilvl="3" w:tplc="05E69422" w:tentative="1">
      <w:start w:val="1"/>
      <w:numFmt w:val="bullet"/>
      <w:lvlText w:val=""/>
      <w:lvlJc w:val="left"/>
      <w:pPr>
        <w:tabs>
          <w:tab w:val="num" w:pos="3957"/>
        </w:tabs>
        <w:ind w:left="3957" w:hanging="360"/>
      </w:pPr>
      <w:rPr>
        <w:rFonts w:ascii="Symbol" w:hAnsi="Symbol" w:hint="default"/>
      </w:rPr>
    </w:lvl>
    <w:lvl w:ilvl="4" w:tplc="7D42CF54" w:tentative="1">
      <w:start w:val="1"/>
      <w:numFmt w:val="bullet"/>
      <w:lvlText w:val="o"/>
      <w:lvlJc w:val="left"/>
      <w:pPr>
        <w:tabs>
          <w:tab w:val="num" w:pos="4677"/>
        </w:tabs>
        <w:ind w:left="4677" w:hanging="360"/>
      </w:pPr>
      <w:rPr>
        <w:rFonts w:ascii="Courier New" w:hAnsi="Courier New" w:cs="Courier New" w:hint="default"/>
      </w:rPr>
    </w:lvl>
    <w:lvl w:ilvl="5" w:tplc="58DC73F6" w:tentative="1">
      <w:start w:val="1"/>
      <w:numFmt w:val="bullet"/>
      <w:lvlText w:val=""/>
      <w:lvlJc w:val="left"/>
      <w:pPr>
        <w:tabs>
          <w:tab w:val="num" w:pos="5397"/>
        </w:tabs>
        <w:ind w:left="5397" w:hanging="360"/>
      </w:pPr>
      <w:rPr>
        <w:rFonts w:ascii="Wingdings" w:hAnsi="Wingdings" w:hint="default"/>
      </w:rPr>
    </w:lvl>
    <w:lvl w:ilvl="6" w:tplc="2C2C200E" w:tentative="1">
      <w:start w:val="1"/>
      <w:numFmt w:val="bullet"/>
      <w:lvlText w:val=""/>
      <w:lvlJc w:val="left"/>
      <w:pPr>
        <w:tabs>
          <w:tab w:val="num" w:pos="6117"/>
        </w:tabs>
        <w:ind w:left="6117" w:hanging="360"/>
      </w:pPr>
      <w:rPr>
        <w:rFonts w:ascii="Symbol" w:hAnsi="Symbol" w:hint="default"/>
      </w:rPr>
    </w:lvl>
    <w:lvl w:ilvl="7" w:tplc="00109C5A" w:tentative="1">
      <w:start w:val="1"/>
      <w:numFmt w:val="bullet"/>
      <w:lvlText w:val="o"/>
      <w:lvlJc w:val="left"/>
      <w:pPr>
        <w:tabs>
          <w:tab w:val="num" w:pos="6837"/>
        </w:tabs>
        <w:ind w:left="6837" w:hanging="360"/>
      </w:pPr>
      <w:rPr>
        <w:rFonts w:ascii="Courier New" w:hAnsi="Courier New" w:cs="Courier New" w:hint="default"/>
      </w:rPr>
    </w:lvl>
    <w:lvl w:ilvl="8" w:tplc="BB16D17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3BEB5A4">
      <w:start w:val="1"/>
      <w:numFmt w:val="decimal"/>
      <w:pStyle w:val="ATSNumber2"/>
      <w:lvlText w:val="%1."/>
      <w:lvlJc w:val="left"/>
      <w:pPr>
        <w:tabs>
          <w:tab w:val="num" w:pos="720"/>
        </w:tabs>
        <w:ind w:left="720" w:hanging="360"/>
      </w:pPr>
      <w:rPr>
        <w:rFonts w:hint="default"/>
      </w:rPr>
    </w:lvl>
    <w:lvl w:ilvl="1" w:tplc="DDBE75B6" w:tentative="1">
      <w:start w:val="1"/>
      <w:numFmt w:val="lowerLetter"/>
      <w:lvlText w:val="%2."/>
      <w:lvlJc w:val="left"/>
      <w:pPr>
        <w:tabs>
          <w:tab w:val="num" w:pos="1440"/>
        </w:tabs>
        <w:ind w:left="1440" w:hanging="360"/>
      </w:pPr>
    </w:lvl>
    <w:lvl w:ilvl="2" w:tplc="671E8808" w:tentative="1">
      <w:start w:val="1"/>
      <w:numFmt w:val="lowerRoman"/>
      <w:lvlText w:val="%3."/>
      <w:lvlJc w:val="right"/>
      <w:pPr>
        <w:tabs>
          <w:tab w:val="num" w:pos="2160"/>
        </w:tabs>
        <w:ind w:left="2160" w:hanging="180"/>
      </w:pPr>
    </w:lvl>
    <w:lvl w:ilvl="3" w:tplc="3CE0B696" w:tentative="1">
      <w:start w:val="1"/>
      <w:numFmt w:val="decimal"/>
      <w:lvlText w:val="%4."/>
      <w:lvlJc w:val="left"/>
      <w:pPr>
        <w:tabs>
          <w:tab w:val="num" w:pos="2880"/>
        </w:tabs>
        <w:ind w:left="2880" w:hanging="360"/>
      </w:pPr>
    </w:lvl>
    <w:lvl w:ilvl="4" w:tplc="089203CC" w:tentative="1">
      <w:start w:val="1"/>
      <w:numFmt w:val="lowerLetter"/>
      <w:lvlText w:val="%5."/>
      <w:lvlJc w:val="left"/>
      <w:pPr>
        <w:tabs>
          <w:tab w:val="num" w:pos="3600"/>
        </w:tabs>
        <w:ind w:left="3600" w:hanging="360"/>
      </w:pPr>
    </w:lvl>
    <w:lvl w:ilvl="5" w:tplc="FDA667BA" w:tentative="1">
      <w:start w:val="1"/>
      <w:numFmt w:val="lowerRoman"/>
      <w:lvlText w:val="%6."/>
      <w:lvlJc w:val="right"/>
      <w:pPr>
        <w:tabs>
          <w:tab w:val="num" w:pos="4320"/>
        </w:tabs>
        <w:ind w:left="4320" w:hanging="180"/>
      </w:pPr>
    </w:lvl>
    <w:lvl w:ilvl="6" w:tplc="D0528864" w:tentative="1">
      <w:start w:val="1"/>
      <w:numFmt w:val="decimal"/>
      <w:lvlText w:val="%7."/>
      <w:lvlJc w:val="left"/>
      <w:pPr>
        <w:tabs>
          <w:tab w:val="num" w:pos="5040"/>
        </w:tabs>
        <w:ind w:left="5040" w:hanging="360"/>
      </w:pPr>
    </w:lvl>
    <w:lvl w:ilvl="7" w:tplc="DDEC4D70" w:tentative="1">
      <w:start w:val="1"/>
      <w:numFmt w:val="lowerLetter"/>
      <w:lvlText w:val="%8."/>
      <w:lvlJc w:val="left"/>
      <w:pPr>
        <w:tabs>
          <w:tab w:val="num" w:pos="5760"/>
        </w:tabs>
        <w:ind w:left="5760" w:hanging="360"/>
      </w:pPr>
    </w:lvl>
    <w:lvl w:ilvl="8" w:tplc="1ACA34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51"/>
    <w:rsid w:val="00583BD8"/>
    <w:rsid w:val="009D2951"/>
    <w:rsid w:val="00A13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F9048"/>
  <w15:chartTrackingRefBased/>
  <w15:docId w15:val="{683877FC-B113-482A-A02A-642F3AE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583BD8"/>
    <w:rPr>
      <w:sz w:val="22"/>
      <w:szCs w:val="22"/>
      <w:lang w:val="en-GB" w:eastAsia="en-US"/>
    </w:rPr>
  </w:style>
  <w:style w:type="character" w:customStyle="1" w:styleId="ATSNormalChar">
    <w:name w:val="ATS Normal Char"/>
    <w:link w:val="ATSNormal"/>
    <w:locked/>
    <w:rsid w:val="00583BD8"/>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zone.birdlife.org/site/factsheet/ryder-bay-islands-iba-antarct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1517</Words>
  <Characters>8121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2021-04-30T13:41:00Z</dcterms:modified>
</cp:coreProperties>
</file>