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2497" w14:textId="77777777" w:rsidR="00C26F2D" w:rsidRPr="00BF077B" w:rsidRDefault="002E7B03" w:rsidP="00BF077B">
      <w:pPr>
        <w:pStyle w:val="ATSNormal"/>
        <w:rPr>
          <w:rStyle w:val="Ttulodellibro"/>
        </w:rPr>
      </w:pPr>
    </w:p>
    <w:p w14:paraId="4EE96E06" w14:textId="77777777" w:rsidR="002F0A13" w:rsidRDefault="002E7B03" w:rsidP="004B4A60">
      <w:pPr>
        <w:rPr>
          <w:b/>
          <w:u w:val="single"/>
          <w:lang w:val="es-ES_tradnl"/>
        </w:rPr>
      </w:pPr>
    </w:p>
    <w:p w14:paraId="6C2ECCB8" w14:textId="77777777" w:rsidR="002F0A13" w:rsidRDefault="002E7B03" w:rsidP="004B4A60">
      <w:pPr>
        <w:rPr>
          <w:b/>
          <w:u w:val="single"/>
          <w:lang w:val="es-ES_tradnl"/>
        </w:rPr>
      </w:pPr>
    </w:p>
    <w:p w14:paraId="5A70A84D" w14:textId="77777777" w:rsidR="002F0A13" w:rsidRDefault="002E7B03" w:rsidP="004B4A60">
      <w:pPr>
        <w:rPr>
          <w:b/>
          <w:u w:val="single"/>
          <w:lang w:val="es-ES_tradnl"/>
        </w:rPr>
      </w:pPr>
    </w:p>
    <w:p w14:paraId="2EF57CBF" w14:textId="77777777" w:rsidR="002F0A13" w:rsidRDefault="002E7B03" w:rsidP="004B4A60">
      <w:pPr>
        <w:rPr>
          <w:b/>
          <w:u w:val="single"/>
          <w:lang w:val="es-ES_tradnl"/>
        </w:rPr>
      </w:pPr>
    </w:p>
    <w:p w14:paraId="1ABF7F02" w14:textId="77777777" w:rsidR="00C26F2D" w:rsidRDefault="002E7B03" w:rsidP="004B4A60">
      <w:pPr>
        <w:rPr>
          <w:b/>
          <w:u w:val="single"/>
          <w:lang w:val="es-ES_tradnl"/>
        </w:rPr>
      </w:pPr>
    </w:p>
    <w:p w14:paraId="3F783E7A" w14:textId="77777777" w:rsidR="004B4A60" w:rsidRPr="0057246E" w:rsidRDefault="002E7B03" w:rsidP="001B789F">
      <w:pPr>
        <w:pStyle w:val="ATSTitle"/>
      </w:pPr>
      <w:bookmarkStart w:id="0" w:name="name"/>
      <w:r>
        <w:t>Revision of the Management Plan for Antarctic Specially Protected Area (ASPA) 131: Canada Glacier, Lake Fryxell, Taylor Valley, Victoria Land</w:t>
      </w:r>
      <w:bookmarkEnd w:id="0"/>
    </w:p>
    <w:p w14:paraId="0301A47E" w14:textId="77777777" w:rsidR="004B4A60" w:rsidRPr="0057246E" w:rsidRDefault="002E7B03" w:rsidP="00F75424">
      <w:pPr>
        <w:jc w:val="center"/>
      </w:pPr>
    </w:p>
    <w:p w14:paraId="711024E7" w14:textId="77777777" w:rsidR="004B4A60" w:rsidRPr="002F0A13" w:rsidRDefault="002E7B03" w:rsidP="002F0A13"/>
    <w:p w14:paraId="1364956E" w14:textId="77777777" w:rsidR="004B4A60" w:rsidRDefault="002E7B03" w:rsidP="00F75424">
      <w:pPr>
        <w:jc w:val="center"/>
      </w:pPr>
      <w:bookmarkStart w:id="1" w:name="memo"/>
      <w:bookmarkEnd w:id="1"/>
    </w:p>
    <w:p w14:paraId="14C5498C" w14:textId="77777777" w:rsidR="0097629D" w:rsidRDefault="002E7B03" w:rsidP="00F75424">
      <w:pPr>
        <w:jc w:val="center"/>
      </w:pPr>
    </w:p>
    <w:p w14:paraId="6FA33641" w14:textId="77777777" w:rsidR="0097629D" w:rsidRDefault="002E7B03" w:rsidP="00F75424">
      <w:pPr>
        <w:jc w:val="center"/>
      </w:pPr>
    </w:p>
    <w:p w14:paraId="636556DE" w14:textId="77777777" w:rsidR="0097629D" w:rsidRDefault="002E7B03" w:rsidP="00F75424">
      <w:pPr>
        <w:jc w:val="center"/>
      </w:pPr>
    </w:p>
    <w:p w14:paraId="41C27B35" w14:textId="77777777" w:rsidR="0097629D" w:rsidRPr="00C26F2D" w:rsidRDefault="002E7B03" w:rsidP="00F75424">
      <w:pPr>
        <w:jc w:val="center"/>
      </w:pPr>
    </w:p>
    <w:p w14:paraId="5CFD840F" w14:textId="77777777" w:rsidR="004B4A60" w:rsidRPr="0057246E" w:rsidRDefault="002E7B03" w:rsidP="004B4A60"/>
    <w:p w14:paraId="04C00B32" w14:textId="77777777" w:rsidR="00C26F2D" w:rsidRDefault="002E7B0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4144561" w14:textId="77777777" w:rsidR="002E7B03" w:rsidRPr="00D25BA6" w:rsidRDefault="002E7B03" w:rsidP="002E7B03">
      <w:pPr>
        <w:pStyle w:val="ATSHeading1"/>
      </w:pPr>
      <w:r w:rsidRPr="00D25BA6">
        <w:lastRenderedPageBreak/>
        <w:t xml:space="preserve">Revision of the Management Plan for Antarctic Specially Protected Area No. </w:t>
      </w:r>
      <w:r w:rsidRPr="009A0028">
        <w:t>131: Canada Glacier, Lake Fryxell, Taylor Valley, Victoria Land</w:t>
      </w:r>
    </w:p>
    <w:p w14:paraId="18B65236" w14:textId="77777777" w:rsidR="002E7B03" w:rsidRDefault="002E7B03" w:rsidP="002E7B03">
      <w:pPr>
        <w:pStyle w:val="ATSNormal"/>
        <w:jc w:val="center"/>
        <w:rPr>
          <w:b/>
          <w:lang w:val="en-AU"/>
        </w:rPr>
      </w:pPr>
      <w:r>
        <w:rPr>
          <w:b/>
          <w:lang w:val="en-AU"/>
        </w:rPr>
        <w:t xml:space="preserve">Working Paper submitted by New </w:t>
      </w:r>
      <w:proofErr w:type="gramStart"/>
      <w:r>
        <w:rPr>
          <w:b/>
          <w:lang w:val="en-AU"/>
        </w:rPr>
        <w:t>Zealand</w:t>
      </w:r>
      <w:proofErr w:type="gramEnd"/>
    </w:p>
    <w:p w14:paraId="257CAF65" w14:textId="77777777" w:rsidR="002E7B03" w:rsidRDefault="002E7B03" w:rsidP="002E7B03">
      <w:pPr>
        <w:pStyle w:val="ATSHeading2"/>
        <w:rPr>
          <w:lang w:val="en-AU"/>
        </w:rPr>
      </w:pPr>
      <w:r>
        <w:rPr>
          <w:lang w:val="en-AU"/>
        </w:rPr>
        <w:t>Summary</w:t>
      </w:r>
    </w:p>
    <w:p w14:paraId="3B617DFF" w14:textId="77777777" w:rsidR="002E7B03" w:rsidRDefault="002E7B03" w:rsidP="002E7B03">
      <w:pPr>
        <w:pStyle w:val="ATSNormal"/>
        <w:rPr>
          <w:lang w:val="en-AU"/>
        </w:rPr>
      </w:pPr>
      <w:r>
        <w:rPr>
          <w:lang w:val="en-AU"/>
        </w:rPr>
        <w:t xml:space="preserve">In accordance with the Article 6.3 of Annex V to the Protocol on Environmental Protection to the Antarctic Treaty, New Zealand has conducted a review of the Management Plan for ASPA </w:t>
      </w:r>
      <w:r w:rsidRPr="009A0028">
        <w:rPr>
          <w:lang w:val="en-AU"/>
        </w:rPr>
        <w:t>131: Canada Glacier, Lake Fryxell, Taylor Valley, Victoria Land</w:t>
      </w:r>
      <w:r w:rsidRPr="003163D6">
        <w:rPr>
          <w:lang w:val="en-AU"/>
        </w:rPr>
        <w:t xml:space="preserve">. </w:t>
      </w:r>
    </w:p>
    <w:p w14:paraId="262B8458" w14:textId="77777777" w:rsidR="002E7B03" w:rsidRDefault="002E7B03" w:rsidP="002E7B03">
      <w:pPr>
        <w:pStyle w:val="ATSNormal"/>
        <w:rPr>
          <w:lang w:val="en-AU"/>
        </w:rPr>
      </w:pPr>
      <w:r w:rsidRPr="003163D6">
        <w:rPr>
          <w:lang w:val="en-AU"/>
        </w:rPr>
        <w:t xml:space="preserve">The review was conducted </w:t>
      </w:r>
      <w:r>
        <w:rPr>
          <w:lang w:val="en-AU"/>
        </w:rPr>
        <w:t xml:space="preserve">through a field campaign to capture vegetation data and a </w:t>
      </w:r>
      <w:r w:rsidRPr="003163D6">
        <w:rPr>
          <w:lang w:val="en-AU"/>
        </w:rPr>
        <w:t>desktop exercise</w:t>
      </w:r>
      <w:r>
        <w:rPr>
          <w:lang w:val="en-AU"/>
        </w:rPr>
        <w:t>,</w:t>
      </w:r>
      <w:r w:rsidRPr="003163D6">
        <w:rPr>
          <w:lang w:val="en-AU"/>
        </w:rPr>
        <w:t xml:space="preserve"> with reference to Annex V of the Protocol and the </w:t>
      </w:r>
      <w:r w:rsidRPr="003163D6">
        <w:rPr>
          <w:i/>
          <w:lang w:val="en-AU"/>
        </w:rPr>
        <w:t>Revised</w:t>
      </w:r>
      <w:r w:rsidRPr="003163D6">
        <w:rPr>
          <w:lang w:val="en-AU"/>
        </w:rPr>
        <w:t xml:space="preserve"> </w:t>
      </w:r>
      <w:r w:rsidRPr="003163D6">
        <w:rPr>
          <w:i/>
          <w:lang w:val="en-AU"/>
        </w:rPr>
        <w:t xml:space="preserve">Guide to the Preparation of Management Plans for Antarctic Specially Protected Areas </w:t>
      </w:r>
      <w:r w:rsidRPr="003163D6">
        <w:rPr>
          <w:lang w:val="en-AU"/>
        </w:rPr>
        <w:t>appended to Resolution 2 (2011).</w:t>
      </w:r>
      <w:r>
        <w:rPr>
          <w:lang w:val="en-AU"/>
        </w:rPr>
        <w:t xml:space="preserve"> </w:t>
      </w:r>
    </w:p>
    <w:p w14:paraId="6E80DC3D" w14:textId="77777777" w:rsidR="002E7B03" w:rsidRDefault="002E7B03" w:rsidP="002E7B03">
      <w:pPr>
        <w:pStyle w:val="ATSNormal"/>
      </w:pPr>
      <w:r>
        <w:rPr>
          <w:lang w:val="en-AU"/>
        </w:rPr>
        <w:t xml:space="preserve">The management plan was </w:t>
      </w:r>
      <w:r>
        <w:t>circulated for comment to scientists and environmental managers of National Antarctic Programmes working within the Ross Sea region, who conduct research activities in the Area.</w:t>
      </w:r>
    </w:p>
    <w:p w14:paraId="608DF9CF" w14:textId="77777777" w:rsidR="002E7B03" w:rsidRDefault="002E7B03" w:rsidP="002E7B03">
      <w:pPr>
        <w:pStyle w:val="ATSNormal"/>
      </w:pPr>
      <w:r w:rsidRPr="00E07009">
        <w:t xml:space="preserve">The revisions are </w:t>
      </w:r>
      <w:r w:rsidRPr="00163EBA">
        <w:t>minor a</w:t>
      </w:r>
      <w:r w:rsidRPr="00E07009">
        <w:t>nd outlined in the table below.</w:t>
      </w:r>
    </w:p>
    <w:p w14:paraId="41B55889" w14:textId="77777777" w:rsidR="002E7B03" w:rsidRDefault="002E7B03" w:rsidP="002E7B03">
      <w:pPr>
        <w:pStyle w:val="ATSHeading2"/>
        <w:rPr>
          <w:lang w:val="en-AU"/>
        </w:rPr>
      </w:pPr>
      <w:r>
        <w:rPr>
          <w:lang w:val="en-AU"/>
        </w:rPr>
        <w:t>Recommendations</w:t>
      </w:r>
    </w:p>
    <w:p w14:paraId="65124D8B" w14:textId="77777777" w:rsidR="002E7B03" w:rsidRDefault="002E7B03" w:rsidP="002E7B03">
      <w:pPr>
        <w:pStyle w:val="ATSNormal"/>
      </w:pPr>
      <w:r>
        <w:rPr>
          <w:lang w:val="en-AU"/>
        </w:rPr>
        <w:t xml:space="preserve">New Zealand recommends that the CEP approves the attached revised Management Plan for ASPA </w:t>
      </w:r>
      <w:r w:rsidRPr="009A0028">
        <w:rPr>
          <w:lang w:val="en-AU"/>
        </w:rPr>
        <w:t>131: Canada Glacier, Lake Fryxell, Taylor Valley, Victoria Land</w:t>
      </w:r>
      <w:r>
        <w:rPr>
          <w:lang w:val="en-AU"/>
        </w:rPr>
        <w:t>.</w:t>
      </w:r>
      <w:r>
        <w:br w:type="page"/>
      </w:r>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0"/>
        <w:gridCol w:w="5109"/>
      </w:tblGrid>
      <w:tr w:rsidR="002E7B03" w:rsidRPr="00AA5A0B" w14:paraId="4A807BF6" w14:textId="77777777" w:rsidTr="00A71824">
        <w:trPr>
          <w:jc w:val="center"/>
        </w:trPr>
        <w:tc>
          <w:tcPr>
            <w:tcW w:w="10219" w:type="dxa"/>
            <w:gridSpan w:val="2"/>
            <w:hideMark/>
          </w:tcPr>
          <w:p w14:paraId="0A35BC2B" w14:textId="77777777" w:rsidR="002E7B03" w:rsidRPr="00AA5A0B" w:rsidRDefault="002E7B03" w:rsidP="00A71824">
            <w:pPr>
              <w:pStyle w:val="ATSHeading1"/>
              <w:rPr>
                <w:lang w:val="es-AR"/>
              </w:rPr>
            </w:pPr>
            <w:r w:rsidRPr="002E7B03">
              <w:rPr>
                <w:lang w:val="es-AR"/>
              </w:rPr>
              <w:lastRenderedPageBreak/>
              <w:br w:type="page"/>
            </w:r>
            <w:r w:rsidRPr="00AA5A0B">
              <w:rPr>
                <w:lang w:val="es-AR"/>
              </w:rPr>
              <w:t xml:space="preserve">ASPA 131: </w:t>
            </w:r>
            <w:proofErr w:type="spellStart"/>
            <w:r w:rsidRPr="00AA5A0B">
              <w:rPr>
                <w:lang w:val="es-AR"/>
              </w:rPr>
              <w:t>Canada</w:t>
            </w:r>
            <w:proofErr w:type="spellEnd"/>
            <w:r w:rsidRPr="00AA5A0B">
              <w:rPr>
                <w:lang w:val="es-AR"/>
              </w:rPr>
              <w:t xml:space="preserve"> Glacier, Lake </w:t>
            </w:r>
            <w:proofErr w:type="spellStart"/>
            <w:r w:rsidRPr="00AA5A0B">
              <w:rPr>
                <w:lang w:val="es-AR"/>
              </w:rPr>
              <w:t>Fryxell</w:t>
            </w:r>
            <w:proofErr w:type="spellEnd"/>
            <w:r w:rsidRPr="00AA5A0B">
              <w:rPr>
                <w:lang w:val="es-AR"/>
              </w:rPr>
              <w:t xml:space="preserve">, Taylor Valley, Victoria </w:t>
            </w:r>
            <w:proofErr w:type="spellStart"/>
            <w:r w:rsidRPr="00AA5A0B">
              <w:rPr>
                <w:lang w:val="es-AR"/>
              </w:rPr>
              <w:t>Land</w:t>
            </w:r>
            <w:proofErr w:type="spellEnd"/>
          </w:p>
        </w:tc>
      </w:tr>
      <w:tr w:rsidR="002E7B03" w14:paraId="64DF667D" w14:textId="77777777" w:rsidTr="00A71824">
        <w:trPr>
          <w:jc w:val="center"/>
        </w:trPr>
        <w:tc>
          <w:tcPr>
            <w:tcW w:w="5110" w:type="dxa"/>
            <w:vAlign w:val="center"/>
            <w:hideMark/>
          </w:tcPr>
          <w:p w14:paraId="3E206B01" w14:textId="77777777" w:rsidR="002E7B03" w:rsidRPr="00C074D4" w:rsidRDefault="002E7B03" w:rsidP="00A71824">
            <w:pPr>
              <w:pStyle w:val="ATSNormal"/>
              <w:spacing w:before="60" w:after="60"/>
              <w:rPr>
                <w:b/>
                <w:snapToGrid w:val="0"/>
                <w:sz w:val="20"/>
                <w:lang w:eastAsia="en-US"/>
              </w:rPr>
            </w:pPr>
            <w:r w:rsidRPr="00C074D4">
              <w:rPr>
                <w:b/>
                <w:snapToGrid w:val="0"/>
                <w:sz w:val="20"/>
                <w:lang w:eastAsia="en-US"/>
              </w:rPr>
              <w:t>1. Is a new ASPA proposed?</w:t>
            </w:r>
          </w:p>
        </w:tc>
        <w:tc>
          <w:tcPr>
            <w:tcW w:w="5109" w:type="dxa"/>
            <w:vAlign w:val="center"/>
            <w:hideMark/>
          </w:tcPr>
          <w:p w14:paraId="7CB5C8A5" w14:textId="77777777" w:rsidR="002E7B03" w:rsidRPr="00C074D4" w:rsidRDefault="002E7B03" w:rsidP="00A71824">
            <w:pPr>
              <w:spacing w:before="60" w:after="60"/>
              <w:rPr>
                <w:sz w:val="20"/>
              </w:rPr>
            </w:pPr>
            <w:r w:rsidRPr="00C074D4">
              <w:rPr>
                <w:sz w:val="20"/>
              </w:rPr>
              <w:t>No</w:t>
            </w:r>
          </w:p>
        </w:tc>
      </w:tr>
      <w:tr w:rsidR="002E7B03" w14:paraId="2146A3FA" w14:textId="77777777" w:rsidTr="00A71824">
        <w:trPr>
          <w:jc w:val="center"/>
        </w:trPr>
        <w:tc>
          <w:tcPr>
            <w:tcW w:w="5110" w:type="dxa"/>
            <w:vAlign w:val="center"/>
            <w:hideMark/>
          </w:tcPr>
          <w:p w14:paraId="696BAFAF" w14:textId="77777777" w:rsidR="002E7B03" w:rsidRPr="00C074D4" w:rsidRDefault="002E7B03" w:rsidP="00A71824">
            <w:pPr>
              <w:pStyle w:val="ATSNormal"/>
              <w:spacing w:before="60" w:after="60"/>
              <w:rPr>
                <w:b/>
                <w:snapToGrid w:val="0"/>
                <w:sz w:val="20"/>
                <w:lang w:eastAsia="en-US"/>
              </w:rPr>
            </w:pPr>
            <w:r w:rsidRPr="00C074D4">
              <w:rPr>
                <w:b/>
                <w:snapToGrid w:val="0"/>
                <w:sz w:val="20"/>
                <w:lang w:eastAsia="en-US"/>
              </w:rPr>
              <w:t>2. Is a new ASMA proposed?</w:t>
            </w:r>
          </w:p>
        </w:tc>
        <w:tc>
          <w:tcPr>
            <w:tcW w:w="5109" w:type="dxa"/>
            <w:vAlign w:val="center"/>
            <w:hideMark/>
          </w:tcPr>
          <w:p w14:paraId="633FCA74" w14:textId="77777777" w:rsidR="002E7B03" w:rsidRPr="00C074D4" w:rsidRDefault="002E7B03" w:rsidP="00A71824">
            <w:pPr>
              <w:spacing w:before="60" w:after="60"/>
              <w:rPr>
                <w:sz w:val="20"/>
              </w:rPr>
            </w:pPr>
            <w:r w:rsidRPr="00C074D4">
              <w:rPr>
                <w:sz w:val="20"/>
              </w:rPr>
              <w:t>No</w:t>
            </w:r>
          </w:p>
        </w:tc>
      </w:tr>
      <w:tr w:rsidR="002E7B03" w14:paraId="29B479BA" w14:textId="77777777" w:rsidTr="00A71824">
        <w:trPr>
          <w:jc w:val="center"/>
        </w:trPr>
        <w:tc>
          <w:tcPr>
            <w:tcW w:w="5110" w:type="dxa"/>
            <w:vAlign w:val="center"/>
            <w:hideMark/>
          </w:tcPr>
          <w:p w14:paraId="2E0D6D83" w14:textId="77777777" w:rsidR="002E7B03" w:rsidRPr="00C074D4" w:rsidRDefault="002E7B03" w:rsidP="00A71824">
            <w:pPr>
              <w:pStyle w:val="ATSNormal"/>
              <w:spacing w:before="60" w:after="60"/>
              <w:rPr>
                <w:b/>
                <w:snapToGrid w:val="0"/>
                <w:sz w:val="20"/>
                <w:lang w:eastAsia="en-US"/>
              </w:rPr>
            </w:pPr>
            <w:r w:rsidRPr="00C074D4">
              <w:rPr>
                <w:b/>
                <w:snapToGrid w:val="0"/>
                <w:sz w:val="20"/>
                <w:lang w:eastAsia="en-US"/>
              </w:rPr>
              <w:t>3. Does the proposal relate to an existing ASPA or ASMA?</w:t>
            </w:r>
          </w:p>
        </w:tc>
        <w:tc>
          <w:tcPr>
            <w:tcW w:w="5109" w:type="dxa"/>
            <w:vAlign w:val="center"/>
            <w:hideMark/>
          </w:tcPr>
          <w:p w14:paraId="542EFD33" w14:textId="77777777" w:rsidR="002E7B03" w:rsidRPr="00C074D4" w:rsidRDefault="002E7B03" w:rsidP="00A71824">
            <w:pPr>
              <w:spacing w:before="60" w:after="60"/>
              <w:rPr>
                <w:sz w:val="20"/>
              </w:rPr>
            </w:pPr>
            <w:r w:rsidRPr="00C074D4">
              <w:rPr>
                <w:sz w:val="20"/>
              </w:rPr>
              <w:t>ASPA</w:t>
            </w:r>
          </w:p>
        </w:tc>
      </w:tr>
      <w:tr w:rsidR="002E7B03" w:rsidRPr="0096712D" w14:paraId="59F7721D" w14:textId="77777777" w:rsidTr="00A71824">
        <w:trPr>
          <w:jc w:val="center"/>
        </w:trPr>
        <w:tc>
          <w:tcPr>
            <w:tcW w:w="5110" w:type="dxa"/>
            <w:hideMark/>
          </w:tcPr>
          <w:p w14:paraId="0BAE9324" w14:textId="77777777" w:rsidR="002E7B03" w:rsidRPr="00C074D4" w:rsidRDefault="002E7B03" w:rsidP="00A71824">
            <w:pPr>
              <w:pStyle w:val="ATSNormal"/>
              <w:spacing w:before="60" w:after="60"/>
              <w:jc w:val="right"/>
              <w:rPr>
                <w:i/>
                <w:sz w:val="20"/>
              </w:rPr>
            </w:pPr>
            <w:r w:rsidRPr="00C074D4">
              <w:rPr>
                <w:i/>
                <w:sz w:val="20"/>
              </w:rPr>
              <w:t>First designation:</w:t>
            </w:r>
          </w:p>
        </w:tc>
        <w:tc>
          <w:tcPr>
            <w:tcW w:w="5109" w:type="dxa"/>
            <w:vAlign w:val="center"/>
            <w:hideMark/>
          </w:tcPr>
          <w:p w14:paraId="434F72E4" w14:textId="77777777" w:rsidR="002E7B03" w:rsidRPr="0011180C" w:rsidRDefault="002E7B03" w:rsidP="00A71824">
            <w:pPr>
              <w:spacing w:before="60" w:after="60"/>
              <w:rPr>
                <w:color w:val="000000"/>
                <w:sz w:val="20"/>
                <w:szCs w:val="22"/>
              </w:rPr>
            </w:pPr>
            <w:r w:rsidRPr="0011180C">
              <w:rPr>
                <w:color w:val="011833"/>
                <w:sz w:val="20"/>
              </w:rPr>
              <w:t> Site of Special Scientific Interest 12</w:t>
            </w:r>
            <w:r>
              <w:rPr>
                <w:color w:val="011833"/>
                <w:sz w:val="20"/>
              </w:rPr>
              <w:t xml:space="preserve"> by </w:t>
            </w:r>
            <w:r w:rsidRPr="00E07009">
              <w:rPr>
                <w:color w:val="011833"/>
                <w:sz w:val="20"/>
              </w:rPr>
              <w:t>Rec</w:t>
            </w:r>
            <w:r>
              <w:rPr>
                <w:color w:val="011833"/>
                <w:sz w:val="20"/>
              </w:rPr>
              <w:t>ommendation</w:t>
            </w:r>
            <w:r w:rsidRPr="00E07009">
              <w:rPr>
                <w:color w:val="011833"/>
                <w:sz w:val="20"/>
              </w:rPr>
              <w:t xml:space="preserve"> XIII-8 (1985)</w:t>
            </w:r>
          </w:p>
        </w:tc>
      </w:tr>
      <w:tr w:rsidR="002E7B03" w14:paraId="391F6645" w14:textId="77777777" w:rsidTr="00A71824">
        <w:trPr>
          <w:jc w:val="center"/>
        </w:trPr>
        <w:tc>
          <w:tcPr>
            <w:tcW w:w="5110" w:type="dxa"/>
            <w:hideMark/>
          </w:tcPr>
          <w:p w14:paraId="04E1A1D9" w14:textId="77777777" w:rsidR="002E7B03" w:rsidRPr="00C074D4" w:rsidRDefault="002E7B03" w:rsidP="00A71824">
            <w:pPr>
              <w:pStyle w:val="ATSNormal"/>
              <w:spacing w:before="60" w:after="60"/>
              <w:jc w:val="right"/>
              <w:rPr>
                <w:i/>
                <w:sz w:val="20"/>
              </w:rPr>
            </w:pPr>
            <w:r w:rsidRPr="00C074D4">
              <w:rPr>
                <w:i/>
                <w:sz w:val="20"/>
              </w:rPr>
              <w:t xml:space="preserve">First adoption of management plan: </w:t>
            </w:r>
          </w:p>
        </w:tc>
        <w:tc>
          <w:tcPr>
            <w:tcW w:w="5109" w:type="dxa"/>
            <w:vAlign w:val="center"/>
            <w:hideMark/>
          </w:tcPr>
          <w:p w14:paraId="5F0AB71B" w14:textId="77777777" w:rsidR="002E7B03" w:rsidRPr="00C074D4" w:rsidRDefault="002E7B03" w:rsidP="00A71824">
            <w:pPr>
              <w:spacing w:before="60" w:after="60"/>
              <w:rPr>
                <w:color w:val="000000"/>
                <w:sz w:val="20"/>
              </w:rPr>
            </w:pPr>
            <w:r w:rsidRPr="0011180C">
              <w:rPr>
                <w:color w:val="011833"/>
                <w:sz w:val="20"/>
              </w:rPr>
              <w:t>Recommendation XIII-8 (1985)</w:t>
            </w:r>
          </w:p>
        </w:tc>
      </w:tr>
      <w:tr w:rsidR="002E7B03" w14:paraId="5F794E0C" w14:textId="77777777" w:rsidTr="00A71824">
        <w:trPr>
          <w:jc w:val="center"/>
        </w:trPr>
        <w:tc>
          <w:tcPr>
            <w:tcW w:w="5110" w:type="dxa"/>
            <w:hideMark/>
          </w:tcPr>
          <w:p w14:paraId="04A32848" w14:textId="77777777" w:rsidR="002E7B03" w:rsidRPr="00C074D4" w:rsidRDefault="002E7B03" w:rsidP="00A71824">
            <w:pPr>
              <w:pStyle w:val="ATSNormal"/>
              <w:spacing w:before="60" w:after="60"/>
              <w:jc w:val="right"/>
              <w:rPr>
                <w:i/>
                <w:sz w:val="20"/>
              </w:rPr>
            </w:pPr>
            <w:r w:rsidRPr="00C074D4">
              <w:rPr>
                <w:i/>
                <w:sz w:val="20"/>
              </w:rPr>
              <w:t>Any revisions to management plan:</w:t>
            </w:r>
          </w:p>
        </w:tc>
        <w:tc>
          <w:tcPr>
            <w:tcW w:w="5109" w:type="dxa"/>
            <w:vAlign w:val="center"/>
            <w:hideMark/>
          </w:tcPr>
          <w:p w14:paraId="024D0303" w14:textId="77777777" w:rsidR="002E7B03" w:rsidRPr="00C074D4" w:rsidRDefault="002E7B03" w:rsidP="00A71824">
            <w:pPr>
              <w:spacing w:before="60" w:after="60"/>
              <w:rPr>
                <w:color w:val="000000"/>
                <w:sz w:val="20"/>
              </w:rPr>
            </w:pPr>
            <w:r w:rsidRPr="00C074D4">
              <w:rPr>
                <w:color w:val="000000"/>
                <w:sz w:val="20"/>
              </w:rPr>
              <w:t xml:space="preserve">Measure </w:t>
            </w:r>
            <w:r>
              <w:rPr>
                <w:color w:val="000000"/>
                <w:sz w:val="20"/>
              </w:rPr>
              <w:t>3 (1997), Measure 1 (2006), Measure 6 (2011)</w:t>
            </w:r>
          </w:p>
        </w:tc>
      </w:tr>
      <w:tr w:rsidR="002E7B03" w14:paraId="4F2F1C56" w14:textId="77777777" w:rsidTr="00A71824">
        <w:trPr>
          <w:jc w:val="center"/>
        </w:trPr>
        <w:tc>
          <w:tcPr>
            <w:tcW w:w="5110" w:type="dxa"/>
            <w:hideMark/>
          </w:tcPr>
          <w:p w14:paraId="4BB418E6" w14:textId="77777777" w:rsidR="002E7B03" w:rsidRPr="00C074D4" w:rsidRDefault="002E7B03" w:rsidP="00A71824">
            <w:pPr>
              <w:pStyle w:val="ATSNormal"/>
              <w:spacing w:before="60" w:after="60"/>
              <w:jc w:val="right"/>
              <w:rPr>
                <w:i/>
                <w:sz w:val="20"/>
              </w:rPr>
            </w:pPr>
            <w:r w:rsidRPr="00C074D4">
              <w:rPr>
                <w:i/>
                <w:sz w:val="20"/>
              </w:rPr>
              <w:t xml:space="preserve">Current management plan: </w:t>
            </w:r>
          </w:p>
        </w:tc>
        <w:tc>
          <w:tcPr>
            <w:tcW w:w="5109" w:type="dxa"/>
            <w:vAlign w:val="center"/>
            <w:hideMark/>
          </w:tcPr>
          <w:p w14:paraId="572C07AB" w14:textId="77777777" w:rsidR="002E7B03" w:rsidRPr="00C074D4" w:rsidRDefault="002E7B03" w:rsidP="00A71824">
            <w:pPr>
              <w:spacing w:before="60" w:after="60"/>
              <w:rPr>
                <w:sz w:val="20"/>
              </w:rPr>
            </w:pPr>
            <w:r w:rsidRPr="00C074D4">
              <w:rPr>
                <w:color w:val="000000"/>
                <w:sz w:val="20"/>
              </w:rPr>
              <w:t xml:space="preserve">Measure </w:t>
            </w:r>
            <w:r>
              <w:rPr>
                <w:color w:val="000000"/>
                <w:sz w:val="20"/>
              </w:rPr>
              <w:t>6</w:t>
            </w:r>
            <w:r w:rsidRPr="00C074D4">
              <w:rPr>
                <w:color w:val="000000"/>
                <w:sz w:val="20"/>
              </w:rPr>
              <w:t xml:space="preserve"> (201</w:t>
            </w:r>
            <w:r>
              <w:rPr>
                <w:color w:val="000000"/>
                <w:sz w:val="20"/>
              </w:rPr>
              <w:t>6</w:t>
            </w:r>
            <w:r w:rsidRPr="00C074D4">
              <w:rPr>
                <w:color w:val="000000"/>
                <w:sz w:val="20"/>
              </w:rPr>
              <w:t>)</w:t>
            </w:r>
          </w:p>
        </w:tc>
      </w:tr>
      <w:tr w:rsidR="002E7B03" w14:paraId="41BC43AB" w14:textId="77777777" w:rsidTr="00A71824">
        <w:trPr>
          <w:jc w:val="center"/>
        </w:trPr>
        <w:tc>
          <w:tcPr>
            <w:tcW w:w="5110" w:type="dxa"/>
            <w:hideMark/>
          </w:tcPr>
          <w:p w14:paraId="5D5EFAB0" w14:textId="77777777" w:rsidR="002E7B03" w:rsidRPr="00C074D4" w:rsidRDefault="002E7B03" w:rsidP="00A71824">
            <w:pPr>
              <w:pStyle w:val="ATSNormal"/>
              <w:spacing w:before="60" w:after="60"/>
              <w:jc w:val="right"/>
              <w:rPr>
                <w:i/>
                <w:sz w:val="20"/>
              </w:rPr>
            </w:pPr>
            <w:r w:rsidRPr="00C074D4">
              <w:rPr>
                <w:i/>
                <w:sz w:val="20"/>
              </w:rPr>
              <w:t>Any extensions of expiry dates of management plan:</w:t>
            </w:r>
          </w:p>
        </w:tc>
        <w:tc>
          <w:tcPr>
            <w:tcW w:w="5109" w:type="dxa"/>
            <w:vAlign w:val="center"/>
            <w:hideMark/>
          </w:tcPr>
          <w:p w14:paraId="1FC41DE9" w14:textId="77777777" w:rsidR="002E7B03" w:rsidRPr="00C074D4" w:rsidRDefault="002E7B03" w:rsidP="00A71824">
            <w:pPr>
              <w:spacing w:before="60" w:after="60"/>
              <w:rPr>
                <w:sz w:val="20"/>
              </w:rPr>
            </w:pPr>
            <w:r w:rsidRPr="00C074D4">
              <w:rPr>
                <w:sz w:val="20"/>
              </w:rPr>
              <w:t>No</w:t>
            </w:r>
          </w:p>
        </w:tc>
      </w:tr>
      <w:tr w:rsidR="002E7B03" w:rsidRPr="00AA5A0B" w14:paraId="388A949C" w14:textId="77777777" w:rsidTr="00A71824">
        <w:trPr>
          <w:jc w:val="center"/>
        </w:trPr>
        <w:tc>
          <w:tcPr>
            <w:tcW w:w="5110" w:type="dxa"/>
            <w:hideMark/>
          </w:tcPr>
          <w:p w14:paraId="6E7CD0A8" w14:textId="77777777" w:rsidR="002E7B03" w:rsidRPr="00C074D4" w:rsidRDefault="002E7B03" w:rsidP="00A71824">
            <w:pPr>
              <w:pStyle w:val="ATSNormal"/>
              <w:spacing w:before="60" w:after="60"/>
              <w:jc w:val="right"/>
              <w:rPr>
                <w:i/>
                <w:sz w:val="20"/>
              </w:rPr>
            </w:pPr>
            <w:r w:rsidRPr="00C074D4">
              <w:rPr>
                <w:i/>
                <w:sz w:val="20"/>
              </w:rPr>
              <w:t>Renamed and renumbered by Decision 1 (2002) as:</w:t>
            </w:r>
          </w:p>
        </w:tc>
        <w:tc>
          <w:tcPr>
            <w:tcW w:w="5109" w:type="dxa"/>
            <w:vAlign w:val="center"/>
            <w:hideMark/>
          </w:tcPr>
          <w:p w14:paraId="455DBF8E" w14:textId="77777777" w:rsidR="002E7B03" w:rsidRPr="00AA5A0B" w:rsidRDefault="002E7B03" w:rsidP="00A71824">
            <w:pPr>
              <w:spacing w:before="60" w:after="60"/>
              <w:rPr>
                <w:sz w:val="20"/>
                <w:lang w:val="es-AR"/>
              </w:rPr>
            </w:pPr>
            <w:r w:rsidRPr="00AA5A0B">
              <w:rPr>
                <w:sz w:val="20"/>
                <w:lang w:val="es-AR"/>
              </w:rPr>
              <w:t xml:space="preserve">ASPA 131: </w:t>
            </w:r>
            <w:proofErr w:type="spellStart"/>
            <w:r w:rsidRPr="00AA5A0B">
              <w:rPr>
                <w:sz w:val="20"/>
                <w:lang w:val="es-AR"/>
              </w:rPr>
              <w:t>Canada</w:t>
            </w:r>
            <w:proofErr w:type="spellEnd"/>
            <w:r w:rsidRPr="00AA5A0B">
              <w:rPr>
                <w:sz w:val="20"/>
                <w:lang w:val="es-AR"/>
              </w:rPr>
              <w:t xml:space="preserve"> Glacier, Lake </w:t>
            </w:r>
            <w:proofErr w:type="spellStart"/>
            <w:r w:rsidRPr="00AA5A0B">
              <w:rPr>
                <w:sz w:val="20"/>
                <w:lang w:val="es-AR"/>
              </w:rPr>
              <w:t>Fryxell</w:t>
            </w:r>
            <w:proofErr w:type="spellEnd"/>
            <w:r w:rsidRPr="00AA5A0B">
              <w:rPr>
                <w:sz w:val="20"/>
                <w:lang w:val="es-AR"/>
              </w:rPr>
              <w:t xml:space="preserve">, Taylor Valley, Victoria </w:t>
            </w:r>
            <w:proofErr w:type="spellStart"/>
            <w:r w:rsidRPr="00AA5A0B">
              <w:rPr>
                <w:sz w:val="20"/>
                <w:lang w:val="es-AR"/>
              </w:rPr>
              <w:t>Land</w:t>
            </w:r>
            <w:proofErr w:type="spellEnd"/>
          </w:p>
        </w:tc>
      </w:tr>
      <w:tr w:rsidR="002E7B03" w14:paraId="3291A587" w14:textId="77777777" w:rsidTr="00A71824">
        <w:trPr>
          <w:jc w:val="center"/>
        </w:trPr>
        <w:tc>
          <w:tcPr>
            <w:tcW w:w="5110" w:type="dxa"/>
            <w:hideMark/>
          </w:tcPr>
          <w:p w14:paraId="3773FF56" w14:textId="77777777" w:rsidR="002E7B03" w:rsidRPr="00C074D4" w:rsidRDefault="002E7B03" w:rsidP="00A71824">
            <w:pPr>
              <w:pStyle w:val="ATSNormal"/>
              <w:spacing w:before="60" w:after="60"/>
              <w:jc w:val="right"/>
              <w:rPr>
                <w:i/>
                <w:sz w:val="20"/>
              </w:rPr>
            </w:pPr>
            <w:r w:rsidRPr="00C074D4">
              <w:rPr>
                <w:i/>
                <w:sz w:val="20"/>
              </w:rPr>
              <w:t>Other relevant measures:</w:t>
            </w:r>
          </w:p>
        </w:tc>
        <w:tc>
          <w:tcPr>
            <w:tcW w:w="5109" w:type="dxa"/>
            <w:vAlign w:val="center"/>
            <w:hideMark/>
          </w:tcPr>
          <w:p w14:paraId="781757D6" w14:textId="77777777" w:rsidR="002E7B03" w:rsidRPr="00C074D4" w:rsidRDefault="002E7B03" w:rsidP="00A71824">
            <w:pPr>
              <w:pStyle w:val="ATSNormal"/>
              <w:spacing w:before="60" w:after="60"/>
              <w:rPr>
                <w:sz w:val="20"/>
                <w:szCs w:val="22"/>
                <w:lang w:eastAsia="en-US"/>
              </w:rPr>
            </w:pPr>
            <w:r w:rsidRPr="00C074D4">
              <w:rPr>
                <w:sz w:val="20"/>
                <w:szCs w:val="22"/>
                <w:lang w:eastAsia="en-US"/>
              </w:rPr>
              <w:t>No</w:t>
            </w:r>
          </w:p>
        </w:tc>
      </w:tr>
      <w:tr w:rsidR="002E7B03" w:rsidRPr="0096712D" w14:paraId="34370DB5" w14:textId="77777777" w:rsidTr="00A71824">
        <w:trPr>
          <w:jc w:val="center"/>
        </w:trPr>
        <w:tc>
          <w:tcPr>
            <w:tcW w:w="10219" w:type="dxa"/>
            <w:gridSpan w:val="2"/>
            <w:vAlign w:val="center"/>
            <w:hideMark/>
          </w:tcPr>
          <w:p w14:paraId="1887FE64" w14:textId="77777777" w:rsidR="002E7B03" w:rsidRPr="00C074D4" w:rsidRDefault="002E7B03" w:rsidP="00A71824">
            <w:pPr>
              <w:spacing w:before="60" w:after="60"/>
              <w:rPr>
                <w:sz w:val="20"/>
              </w:rPr>
            </w:pPr>
            <w:r w:rsidRPr="00C074D4">
              <w:rPr>
                <w:b/>
                <w:snapToGrid w:val="0"/>
                <w:sz w:val="20"/>
              </w:rPr>
              <w:t>4. If the proposal contains a revision of an existing management plan, please indicate the types of amendment:</w:t>
            </w:r>
          </w:p>
        </w:tc>
      </w:tr>
      <w:tr w:rsidR="002E7B03" w14:paraId="282AE94F" w14:textId="77777777" w:rsidTr="00A71824">
        <w:trPr>
          <w:jc w:val="center"/>
        </w:trPr>
        <w:tc>
          <w:tcPr>
            <w:tcW w:w="5110" w:type="dxa"/>
            <w:hideMark/>
          </w:tcPr>
          <w:p w14:paraId="3F15A841" w14:textId="77777777" w:rsidR="002E7B03" w:rsidRPr="00C074D4" w:rsidRDefault="002E7B03" w:rsidP="00A71824">
            <w:pPr>
              <w:pStyle w:val="ATSNormal"/>
              <w:spacing w:before="60" w:after="60"/>
              <w:jc w:val="right"/>
              <w:rPr>
                <w:i/>
                <w:sz w:val="20"/>
              </w:rPr>
            </w:pPr>
            <w:r w:rsidRPr="00C074D4">
              <w:rPr>
                <w:i/>
                <w:sz w:val="20"/>
              </w:rPr>
              <w:t>(</w:t>
            </w:r>
            <w:proofErr w:type="spellStart"/>
            <w:r w:rsidRPr="00C074D4">
              <w:rPr>
                <w:i/>
                <w:sz w:val="20"/>
              </w:rPr>
              <w:t>i</w:t>
            </w:r>
            <w:proofErr w:type="spellEnd"/>
            <w:r w:rsidRPr="00C074D4">
              <w:rPr>
                <w:i/>
                <w:sz w:val="20"/>
              </w:rPr>
              <w:t>) major or minor?</w:t>
            </w:r>
          </w:p>
        </w:tc>
        <w:tc>
          <w:tcPr>
            <w:tcW w:w="5109" w:type="dxa"/>
            <w:vAlign w:val="center"/>
            <w:hideMark/>
          </w:tcPr>
          <w:p w14:paraId="3CE494BD" w14:textId="77777777" w:rsidR="002E7B03" w:rsidRPr="00C074D4" w:rsidRDefault="002E7B03" w:rsidP="00A71824">
            <w:pPr>
              <w:spacing w:before="60" w:after="60"/>
              <w:rPr>
                <w:sz w:val="20"/>
              </w:rPr>
            </w:pPr>
            <w:r>
              <w:rPr>
                <w:sz w:val="20"/>
              </w:rPr>
              <w:t>Minor</w:t>
            </w:r>
          </w:p>
        </w:tc>
      </w:tr>
      <w:tr w:rsidR="002E7B03" w14:paraId="27C9DAA3" w14:textId="77777777" w:rsidTr="00A71824">
        <w:trPr>
          <w:trHeight w:val="424"/>
          <w:jc w:val="center"/>
        </w:trPr>
        <w:tc>
          <w:tcPr>
            <w:tcW w:w="5110" w:type="dxa"/>
            <w:hideMark/>
          </w:tcPr>
          <w:p w14:paraId="11453C97" w14:textId="77777777" w:rsidR="002E7B03" w:rsidRPr="00C074D4" w:rsidRDefault="002E7B03" w:rsidP="00A71824">
            <w:pPr>
              <w:pStyle w:val="ATSNormal"/>
              <w:spacing w:before="60" w:after="60"/>
              <w:jc w:val="right"/>
              <w:rPr>
                <w:i/>
                <w:sz w:val="20"/>
              </w:rPr>
            </w:pPr>
            <w:r w:rsidRPr="00C074D4">
              <w:rPr>
                <w:i/>
                <w:sz w:val="20"/>
              </w:rPr>
              <w:t>(ii) any changes to the boundaries or co-ordinates?</w:t>
            </w:r>
          </w:p>
        </w:tc>
        <w:tc>
          <w:tcPr>
            <w:tcW w:w="5109" w:type="dxa"/>
            <w:vAlign w:val="center"/>
            <w:hideMark/>
          </w:tcPr>
          <w:p w14:paraId="28322BDF" w14:textId="77777777" w:rsidR="002E7B03" w:rsidRPr="00C074D4" w:rsidRDefault="002E7B03" w:rsidP="00A71824">
            <w:pPr>
              <w:pStyle w:val="ATSNumber1"/>
              <w:numPr>
                <w:ilvl w:val="0"/>
                <w:numId w:val="0"/>
              </w:numPr>
              <w:tabs>
                <w:tab w:val="left" w:pos="708"/>
              </w:tabs>
              <w:spacing w:before="0"/>
              <w:rPr>
                <w:sz w:val="20"/>
              </w:rPr>
            </w:pPr>
            <w:r w:rsidRPr="00C074D4">
              <w:rPr>
                <w:sz w:val="20"/>
              </w:rPr>
              <w:t>No</w:t>
            </w:r>
          </w:p>
        </w:tc>
      </w:tr>
      <w:tr w:rsidR="002E7B03" w14:paraId="314AEE9E" w14:textId="77777777" w:rsidTr="00A71824">
        <w:trPr>
          <w:trHeight w:val="558"/>
          <w:jc w:val="center"/>
        </w:trPr>
        <w:tc>
          <w:tcPr>
            <w:tcW w:w="5110" w:type="dxa"/>
            <w:hideMark/>
          </w:tcPr>
          <w:p w14:paraId="05D563C7" w14:textId="77777777" w:rsidR="002E7B03" w:rsidRPr="00C074D4" w:rsidRDefault="002E7B03" w:rsidP="00A71824">
            <w:pPr>
              <w:pStyle w:val="ATSNormal"/>
              <w:spacing w:before="60" w:after="60"/>
              <w:jc w:val="right"/>
              <w:rPr>
                <w:i/>
                <w:sz w:val="20"/>
              </w:rPr>
            </w:pPr>
            <w:r w:rsidRPr="00C074D4">
              <w:rPr>
                <w:i/>
                <w:sz w:val="20"/>
              </w:rPr>
              <w:t>(iii) any changes to the maps? If yes, are the changes in the captions only or also in the graphics?</w:t>
            </w:r>
          </w:p>
        </w:tc>
        <w:tc>
          <w:tcPr>
            <w:tcW w:w="5109" w:type="dxa"/>
            <w:vAlign w:val="center"/>
            <w:hideMark/>
          </w:tcPr>
          <w:p w14:paraId="6661847C" w14:textId="77777777" w:rsidR="002E7B03" w:rsidRDefault="002E7B03" w:rsidP="00A71824">
            <w:pPr>
              <w:pStyle w:val="ATSNumber1"/>
              <w:numPr>
                <w:ilvl w:val="0"/>
                <w:numId w:val="0"/>
              </w:numPr>
              <w:tabs>
                <w:tab w:val="left" w:pos="708"/>
              </w:tabs>
              <w:spacing w:before="0"/>
              <w:rPr>
                <w:sz w:val="20"/>
                <w:lang w:eastAsia="en-US"/>
              </w:rPr>
            </w:pPr>
            <w:r>
              <w:rPr>
                <w:sz w:val="20"/>
                <w:lang w:eastAsia="en-US"/>
              </w:rPr>
              <w:t>Yes</w:t>
            </w:r>
          </w:p>
          <w:p w14:paraId="462475EB" w14:textId="77777777" w:rsidR="002E7B03" w:rsidRDefault="002E7B03" w:rsidP="00A71824">
            <w:pPr>
              <w:pStyle w:val="ATSNumber1"/>
              <w:numPr>
                <w:ilvl w:val="0"/>
                <w:numId w:val="0"/>
              </w:numPr>
              <w:tabs>
                <w:tab w:val="left" w:pos="708"/>
              </w:tabs>
              <w:spacing w:before="0"/>
              <w:rPr>
                <w:sz w:val="20"/>
                <w:lang w:eastAsia="en-US"/>
              </w:rPr>
            </w:pPr>
            <w:r>
              <w:rPr>
                <w:sz w:val="20"/>
                <w:lang w:eastAsia="en-US"/>
              </w:rPr>
              <w:t>The two previous maps are replaced with three new maps, numbered 1 to 3 (previously A and B). There are no changes to the map specifications. The main changes for each map are:</w:t>
            </w:r>
          </w:p>
          <w:p w14:paraId="7FCC8F49" w14:textId="77777777" w:rsidR="002E7B03" w:rsidRDefault="002E7B03" w:rsidP="00A71824">
            <w:pPr>
              <w:pStyle w:val="ATSNumber1"/>
              <w:numPr>
                <w:ilvl w:val="0"/>
                <w:numId w:val="0"/>
              </w:numPr>
              <w:tabs>
                <w:tab w:val="left" w:pos="708"/>
              </w:tabs>
              <w:spacing w:before="0"/>
              <w:rPr>
                <w:sz w:val="20"/>
                <w:lang w:eastAsia="en-US"/>
              </w:rPr>
            </w:pPr>
            <w:r>
              <w:rPr>
                <w:sz w:val="20"/>
                <w:lang w:eastAsia="en-US"/>
              </w:rPr>
              <w:t>Map 1: Data sources are updated, including the lake shoreline, showing water level rise.</w:t>
            </w:r>
          </w:p>
          <w:p w14:paraId="65A1D855" w14:textId="77777777" w:rsidR="002E7B03" w:rsidRDefault="002E7B03" w:rsidP="00A71824">
            <w:pPr>
              <w:pStyle w:val="ATSNumber1"/>
              <w:numPr>
                <w:ilvl w:val="0"/>
                <w:numId w:val="0"/>
              </w:numPr>
              <w:tabs>
                <w:tab w:val="left" w:pos="708"/>
              </w:tabs>
              <w:spacing w:before="0"/>
              <w:rPr>
                <w:sz w:val="20"/>
                <w:lang w:eastAsia="en-US"/>
              </w:rPr>
            </w:pPr>
            <w:r>
              <w:rPr>
                <w:sz w:val="20"/>
                <w:lang w:eastAsia="en-US"/>
              </w:rPr>
              <w:t>Map 2: New map showing the Helicopter access zone, using the same base map as Map 3.</w:t>
            </w:r>
          </w:p>
          <w:p w14:paraId="0CF5159D" w14:textId="77777777" w:rsidR="002E7B03" w:rsidRPr="00C074D4" w:rsidRDefault="002E7B03" w:rsidP="00A71824">
            <w:pPr>
              <w:pStyle w:val="ATSNumber1"/>
              <w:numPr>
                <w:ilvl w:val="0"/>
                <w:numId w:val="0"/>
              </w:numPr>
              <w:tabs>
                <w:tab w:val="left" w:pos="708"/>
              </w:tabs>
              <w:spacing w:before="0"/>
              <w:rPr>
                <w:sz w:val="20"/>
                <w:lang w:eastAsia="en-US"/>
              </w:rPr>
            </w:pPr>
            <w:r>
              <w:rPr>
                <w:sz w:val="20"/>
                <w:lang w:eastAsia="en-US"/>
              </w:rPr>
              <w:t xml:space="preserve">Map 3: Updated vegetation density data, showing finer resolution than the previous map. Updated data for the locations and numbers of mummified seals. The campsite is </w:t>
            </w:r>
            <w:proofErr w:type="gramStart"/>
            <w:r>
              <w:rPr>
                <w:sz w:val="20"/>
                <w:lang w:eastAsia="en-US"/>
              </w:rPr>
              <w:t>removed</w:t>
            </w:r>
            <w:proofErr w:type="gramEnd"/>
            <w:r>
              <w:rPr>
                <w:sz w:val="20"/>
                <w:lang w:eastAsia="en-US"/>
              </w:rPr>
              <w:t xml:space="preserve"> and the location labelled “former hut/camp site”. Updated lake shoreline data is used. Removal of the “overflight” line. </w:t>
            </w:r>
          </w:p>
        </w:tc>
      </w:tr>
      <w:tr w:rsidR="002E7B03" w14:paraId="10D9C0D2" w14:textId="77777777" w:rsidTr="00A71824">
        <w:trPr>
          <w:jc w:val="center"/>
        </w:trPr>
        <w:tc>
          <w:tcPr>
            <w:tcW w:w="5110" w:type="dxa"/>
            <w:hideMark/>
          </w:tcPr>
          <w:p w14:paraId="22B10149" w14:textId="77777777" w:rsidR="002E7B03" w:rsidRPr="00C074D4" w:rsidRDefault="002E7B03" w:rsidP="00A71824">
            <w:pPr>
              <w:pStyle w:val="ATSNormal"/>
              <w:spacing w:before="60" w:after="60"/>
              <w:jc w:val="right"/>
              <w:rPr>
                <w:i/>
                <w:sz w:val="20"/>
              </w:rPr>
            </w:pPr>
            <w:r w:rsidRPr="00C074D4">
              <w:rPr>
                <w:i/>
                <w:sz w:val="20"/>
              </w:rPr>
              <w:t>(iv) any change to the description of the area that is relevant to identifying its location or its boundaries?</w:t>
            </w:r>
          </w:p>
        </w:tc>
        <w:tc>
          <w:tcPr>
            <w:tcW w:w="5109" w:type="dxa"/>
            <w:vAlign w:val="center"/>
            <w:hideMark/>
          </w:tcPr>
          <w:p w14:paraId="7B8B17D8" w14:textId="77777777" w:rsidR="002E7B03" w:rsidRPr="00C074D4" w:rsidRDefault="002E7B03" w:rsidP="00A71824">
            <w:pPr>
              <w:spacing w:before="120" w:after="120"/>
              <w:rPr>
                <w:sz w:val="20"/>
              </w:rPr>
            </w:pPr>
            <w:r w:rsidRPr="00C074D4">
              <w:rPr>
                <w:sz w:val="20"/>
              </w:rPr>
              <w:t>No</w:t>
            </w:r>
          </w:p>
          <w:p w14:paraId="221EC0DE" w14:textId="77777777" w:rsidR="002E7B03" w:rsidRPr="00C074D4" w:rsidRDefault="002E7B03" w:rsidP="00A71824">
            <w:pPr>
              <w:spacing w:before="120" w:after="120"/>
              <w:rPr>
                <w:sz w:val="20"/>
              </w:rPr>
            </w:pPr>
            <w:r w:rsidRPr="00C074D4">
              <w:rPr>
                <w:sz w:val="20"/>
              </w:rPr>
              <w:t>The description of the area has minor information and editorial updates that do not relate to identifying the location or boundary of the Area.</w:t>
            </w:r>
          </w:p>
        </w:tc>
      </w:tr>
      <w:tr w:rsidR="002E7B03" w14:paraId="033B2BC0" w14:textId="77777777" w:rsidTr="00A71824">
        <w:trPr>
          <w:trHeight w:val="1129"/>
          <w:jc w:val="center"/>
        </w:trPr>
        <w:tc>
          <w:tcPr>
            <w:tcW w:w="5110" w:type="dxa"/>
            <w:hideMark/>
          </w:tcPr>
          <w:p w14:paraId="0CC6E64C" w14:textId="77777777" w:rsidR="002E7B03" w:rsidRPr="00C074D4" w:rsidRDefault="002E7B03" w:rsidP="00A71824">
            <w:pPr>
              <w:pStyle w:val="ATSNormal"/>
              <w:spacing w:before="60" w:after="60"/>
              <w:jc w:val="right"/>
              <w:rPr>
                <w:i/>
                <w:sz w:val="20"/>
              </w:rPr>
            </w:pPr>
            <w:r w:rsidRPr="00C074D4">
              <w:rPr>
                <w:i/>
                <w:sz w:val="20"/>
              </w:rPr>
              <w:t xml:space="preserve">(v) any changes that affect any other ASPA, ASMA or HSM within this area or adjacent to it? In particular, please explain any merger </w:t>
            </w:r>
            <w:proofErr w:type="gramStart"/>
            <w:r w:rsidRPr="00C074D4">
              <w:rPr>
                <w:i/>
                <w:sz w:val="20"/>
              </w:rPr>
              <w:t>with,</w:t>
            </w:r>
            <w:proofErr w:type="gramEnd"/>
            <w:r w:rsidRPr="00C074D4">
              <w:rPr>
                <w:i/>
                <w:sz w:val="20"/>
              </w:rPr>
              <w:t xml:space="preserve"> incorporation of or abolition of any existing area or site.</w:t>
            </w:r>
          </w:p>
        </w:tc>
        <w:tc>
          <w:tcPr>
            <w:tcW w:w="5109" w:type="dxa"/>
            <w:vAlign w:val="center"/>
            <w:hideMark/>
          </w:tcPr>
          <w:p w14:paraId="457DB951" w14:textId="77777777" w:rsidR="002E7B03" w:rsidRPr="00C074D4" w:rsidRDefault="002E7B03" w:rsidP="00A71824">
            <w:pPr>
              <w:pStyle w:val="ATSNumber1"/>
              <w:numPr>
                <w:ilvl w:val="0"/>
                <w:numId w:val="0"/>
              </w:numPr>
              <w:tabs>
                <w:tab w:val="left" w:pos="708"/>
              </w:tabs>
              <w:spacing w:before="0"/>
              <w:rPr>
                <w:sz w:val="20"/>
                <w:lang w:eastAsia="en-US"/>
              </w:rPr>
            </w:pPr>
            <w:r w:rsidRPr="00C074D4">
              <w:rPr>
                <w:sz w:val="20"/>
                <w:lang w:eastAsia="en-US"/>
              </w:rPr>
              <w:t>No</w:t>
            </w:r>
          </w:p>
        </w:tc>
      </w:tr>
      <w:tr w:rsidR="002E7B03" w14:paraId="76915CBF" w14:textId="77777777" w:rsidTr="00A71824">
        <w:trPr>
          <w:trHeight w:val="1670"/>
          <w:jc w:val="center"/>
        </w:trPr>
        <w:tc>
          <w:tcPr>
            <w:tcW w:w="5110" w:type="dxa"/>
            <w:hideMark/>
          </w:tcPr>
          <w:p w14:paraId="100A17A1" w14:textId="77777777" w:rsidR="002E7B03" w:rsidRPr="00C074D4" w:rsidRDefault="002E7B03" w:rsidP="00A71824">
            <w:pPr>
              <w:pStyle w:val="ATSNormal"/>
              <w:keepNext/>
              <w:spacing w:before="60" w:after="60"/>
              <w:jc w:val="right"/>
              <w:rPr>
                <w:i/>
                <w:sz w:val="20"/>
              </w:rPr>
            </w:pPr>
            <w:r w:rsidRPr="00C074D4">
              <w:rPr>
                <w:i/>
                <w:sz w:val="20"/>
              </w:rPr>
              <w:lastRenderedPageBreak/>
              <w:t xml:space="preserve">(vi) Other - </w:t>
            </w:r>
            <w:proofErr w:type="gramStart"/>
            <w:r w:rsidRPr="00C074D4">
              <w:rPr>
                <w:i/>
                <w:sz w:val="20"/>
              </w:rPr>
              <w:t>brief summary</w:t>
            </w:r>
            <w:proofErr w:type="gramEnd"/>
            <w:r w:rsidRPr="00C074D4">
              <w:rPr>
                <w:i/>
                <w:sz w:val="20"/>
              </w:rPr>
              <w:t xml:space="preserve"> of other types of changes, indicating the paragraphs of the management plan in which these are located (especially helpful if the plan is long).</w:t>
            </w:r>
          </w:p>
        </w:tc>
        <w:tc>
          <w:tcPr>
            <w:tcW w:w="5109" w:type="dxa"/>
            <w:vAlign w:val="center"/>
            <w:hideMark/>
          </w:tcPr>
          <w:p w14:paraId="6E393BC7" w14:textId="77777777" w:rsidR="002E7B03" w:rsidRDefault="002E7B03" w:rsidP="00A71824">
            <w:pPr>
              <w:keepNext/>
              <w:rPr>
                <w:sz w:val="20"/>
              </w:rPr>
            </w:pPr>
            <w:r>
              <w:rPr>
                <w:sz w:val="20"/>
              </w:rPr>
              <w:t xml:space="preserve">Minor editorial and formatting updates throughout. </w:t>
            </w:r>
          </w:p>
          <w:p w14:paraId="24B72C4B" w14:textId="77777777" w:rsidR="002E7B03" w:rsidRDefault="002E7B03" w:rsidP="00A71824">
            <w:pPr>
              <w:keepNext/>
              <w:rPr>
                <w:sz w:val="20"/>
              </w:rPr>
            </w:pPr>
            <w:r>
              <w:rPr>
                <w:sz w:val="20"/>
              </w:rPr>
              <w:t>The main change to the management plan is the removal of the camp site and the subsequent prohibition of camping within the Area, in favour of the Facilities Zones found at Lake Fryxell and Lake Hoare. The helicopter landing site is retained but landings must be specifically authorised by Permit and for essential scientific or management reasons only. This change is proposed to strengthen the protection of the ecological and scientific values of the Area.</w:t>
            </w:r>
          </w:p>
          <w:p w14:paraId="222AFB69" w14:textId="77777777" w:rsidR="002E7B03" w:rsidRDefault="002E7B03" w:rsidP="00A71824">
            <w:pPr>
              <w:keepNext/>
              <w:rPr>
                <w:sz w:val="20"/>
              </w:rPr>
            </w:pPr>
          </w:p>
          <w:p w14:paraId="65FBAD87" w14:textId="77777777" w:rsidR="002E7B03" w:rsidRDefault="002E7B03" w:rsidP="00A71824">
            <w:pPr>
              <w:keepNext/>
              <w:rPr>
                <w:sz w:val="20"/>
              </w:rPr>
            </w:pPr>
            <w:r>
              <w:rPr>
                <w:sz w:val="20"/>
              </w:rPr>
              <w:t>Section 1: Editorial updates to better define the values of the Area.</w:t>
            </w:r>
          </w:p>
          <w:p w14:paraId="033D11B4" w14:textId="77777777" w:rsidR="002E7B03" w:rsidRDefault="002E7B03" w:rsidP="00A71824">
            <w:pPr>
              <w:keepNext/>
              <w:rPr>
                <w:sz w:val="20"/>
              </w:rPr>
            </w:pPr>
            <w:r>
              <w:rPr>
                <w:sz w:val="20"/>
              </w:rPr>
              <w:t xml:space="preserve">Section 2: Deletion of one management aim and rewording on two management aims. The changes retain the original meaning but simplify the text. </w:t>
            </w:r>
          </w:p>
          <w:p w14:paraId="58DCCAF4" w14:textId="77777777" w:rsidR="002E7B03" w:rsidRDefault="002E7B03" w:rsidP="00A71824">
            <w:pPr>
              <w:keepNext/>
              <w:rPr>
                <w:sz w:val="20"/>
              </w:rPr>
            </w:pPr>
            <w:r>
              <w:rPr>
                <w:sz w:val="20"/>
              </w:rPr>
              <w:t>Section 6(</w:t>
            </w:r>
            <w:proofErr w:type="spellStart"/>
            <w:r>
              <w:rPr>
                <w:sz w:val="20"/>
              </w:rPr>
              <w:t>i</w:t>
            </w:r>
            <w:proofErr w:type="spellEnd"/>
            <w:r>
              <w:rPr>
                <w:sz w:val="20"/>
              </w:rPr>
              <w:t xml:space="preserve">): Addition of information on a green alga species and minor updates to the description of the area. Removal of information about the camp site and updated information for the helicopter landing site. </w:t>
            </w:r>
          </w:p>
          <w:p w14:paraId="2962E50F" w14:textId="77777777" w:rsidR="002E7B03" w:rsidRDefault="002E7B03" w:rsidP="00A71824">
            <w:pPr>
              <w:keepNext/>
              <w:rPr>
                <w:sz w:val="20"/>
              </w:rPr>
            </w:pPr>
            <w:r>
              <w:rPr>
                <w:sz w:val="20"/>
              </w:rPr>
              <w:t>Section 7: Updates on access provisions to vegetated areas and stream margins, for increased protection of the Area values and for consistency with Map B.</w:t>
            </w:r>
          </w:p>
          <w:p w14:paraId="51FA48F0" w14:textId="77777777" w:rsidR="002E7B03" w:rsidRDefault="002E7B03" w:rsidP="00A71824">
            <w:pPr>
              <w:keepNext/>
              <w:rPr>
                <w:sz w:val="20"/>
              </w:rPr>
            </w:pPr>
            <w:r>
              <w:rPr>
                <w:sz w:val="20"/>
              </w:rPr>
              <w:t>Section 7(</w:t>
            </w:r>
            <w:proofErr w:type="spellStart"/>
            <w:r>
              <w:rPr>
                <w:sz w:val="20"/>
              </w:rPr>
              <w:t>i</w:t>
            </w:r>
            <w:proofErr w:type="spellEnd"/>
            <w:r>
              <w:rPr>
                <w:sz w:val="20"/>
              </w:rPr>
              <w:t>): Updates to the access and camping information in line with the removal of the camp site and change to helicopter overflight and landing conditions inside the Area. Deletion of ‘</w:t>
            </w:r>
            <w:r w:rsidRPr="009041B7">
              <w:rPr>
                <w:sz w:val="20"/>
              </w:rPr>
              <w:t>and/or the Taylor Valley Visitor Zone</w:t>
            </w:r>
            <w:r>
              <w:rPr>
                <w:sz w:val="20"/>
              </w:rPr>
              <w:t>” from the landing site options.</w:t>
            </w:r>
          </w:p>
          <w:p w14:paraId="09CD0CE3" w14:textId="77777777" w:rsidR="002E7B03" w:rsidRDefault="002E7B03" w:rsidP="00A71824">
            <w:pPr>
              <w:keepNext/>
              <w:rPr>
                <w:sz w:val="20"/>
              </w:rPr>
            </w:pPr>
            <w:r>
              <w:rPr>
                <w:sz w:val="20"/>
              </w:rPr>
              <w:t xml:space="preserve">Section 7(ii): Update to the scientific activities that may be conducted in the Area with the addition of “cannot be elsewhere”. </w:t>
            </w:r>
            <w:r w:rsidRPr="00987132">
              <w:rPr>
                <w:sz w:val="20"/>
              </w:rPr>
              <w:t>Addition of Resolution 4 (2018) for the operation of Remotely Piloted Aircraft Systems.</w:t>
            </w:r>
          </w:p>
          <w:p w14:paraId="1A7410F2" w14:textId="77777777" w:rsidR="002E7B03" w:rsidRDefault="002E7B03" w:rsidP="00A71824">
            <w:pPr>
              <w:keepNext/>
              <w:rPr>
                <w:sz w:val="20"/>
              </w:rPr>
            </w:pPr>
            <w:r>
              <w:rPr>
                <w:sz w:val="20"/>
              </w:rPr>
              <w:t>Section 7(iv): Addition of “</w:t>
            </w:r>
            <w:r w:rsidRPr="00987132">
              <w:rPr>
                <w:sz w:val="20"/>
              </w:rPr>
              <w:t>Camping within the Area is prohibited</w:t>
            </w:r>
            <w:r>
              <w:rPr>
                <w:sz w:val="20"/>
              </w:rPr>
              <w:t>”. Removal of “</w:t>
            </w:r>
            <w:r w:rsidRPr="00987132">
              <w:rPr>
                <w:sz w:val="20"/>
              </w:rPr>
              <w:t>Camping at the designated campsite (Map B) may be permitted to meet specific essential scientific or management needs</w:t>
            </w:r>
            <w:r>
              <w:rPr>
                <w:sz w:val="20"/>
              </w:rPr>
              <w:t>”.</w:t>
            </w:r>
          </w:p>
          <w:p w14:paraId="71BADB65" w14:textId="77777777" w:rsidR="002E7B03" w:rsidRDefault="002E7B03" w:rsidP="00A71824">
            <w:pPr>
              <w:keepNext/>
              <w:rPr>
                <w:sz w:val="20"/>
              </w:rPr>
            </w:pPr>
            <w:r>
              <w:rPr>
                <w:sz w:val="20"/>
              </w:rPr>
              <w:t>Sections 7(v) and 7(ix): Deletion of information related to camping within the Area.</w:t>
            </w:r>
          </w:p>
          <w:p w14:paraId="287F9679" w14:textId="77777777" w:rsidR="002E7B03" w:rsidRDefault="002E7B03" w:rsidP="00A71824">
            <w:pPr>
              <w:keepNext/>
              <w:rPr>
                <w:sz w:val="20"/>
              </w:rPr>
            </w:pPr>
            <w:r>
              <w:rPr>
                <w:sz w:val="20"/>
              </w:rPr>
              <w:t xml:space="preserve">Section 8: Addition of one reference: </w:t>
            </w:r>
            <w:r w:rsidRPr="00BE2F99">
              <w:rPr>
                <w:sz w:val="20"/>
              </w:rPr>
              <w:t xml:space="preserve">Levy, J.L., Cary, S.C., Joy, K. and Lee, C.K. 2020 </w:t>
            </w:r>
            <w:proofErr w:type="gramStart"/>
            <w:r w:rsidRPr="00BE2F99">
              <w:rPr>
                <w:sz w:val="20"/>
              </w:rPr>
              <w:t>Detection</w:t>
            </w:r>
            <w:proofErr w:type="gramEnd"/>
            <w:r w:rsidRPr="00BE2F99">
              <w:rPr>
                <w:sz w:val="20"/>
              </w:rPr>
              <w:t xml:space="preserve"> and community-level identification of microbial mats in the McMurdo Dry Valleys using drone-based hyperspectral reflectance imaging. Antarctic Science 32(5): 361-381.</w:t>
            </w:r>
          </w:p>
          <w:p w14:paraId="41BC5F46" w14:textId="77777777" w:rsidR="002E7B03" w:rsidRDefault="002E7B03" w:rsidP="00A71824">
            <w:pPr>
              <w:keepNext/>
              <w:rPr>
                <w:sz w:val="20"/>
              </w:rPr>
            </w:pPr>
          </w:p>
          <w:p w14:paraId="729FC68F" w14:textId="77777777" w:rsidR="002E7B03" w:rsidRPr="00C074D4" w:rsidRDefault="002E7B03" w:rsidP="00A71824">
            <w:pPr>
              <w:keepNext/>
              <w:rPr>
                <w:sz w:val="20"/>
              </w:rPr>
            </w:pPr>
            <w:r>
              <w:rPr>
                <w:sz w:val="20"/>
              </w:rPr>
              <w:t xml:space="preserve">Replacement of the maps. </w:t>
            </w:r>
          </w:p>
        </w:tc>
      </w:tr>
      <w:tr w:rsidR="002E7B03" w14:paraId="07D34BC0" w14:textId="77777777" w:rsidTr="00A71824">
        <w:trPr>
          <w:jc w:val="center"/>
        </w:trPr>
        <w:tc>
          <w:tcPr>
            <w:tcW w:w="5110" w:type="dxa"/>
            <w:hideMark/>
          </w:tcPr>
          <w:p w14:paraId="41A014E1" w14:textId="77777777" w:rsidR="002E7B03" w:rsidRPr="00C074D4" w:rsidRDefault="002E7B03" w:rsidP="00A71824">
            <w:pPr>
              <w:pStyle w:val="ATSNormal"/>
              <w:spacing w:before="60" w:after="60"/>
              <w:rPr>
                <w:b/>
                <w:snapToGrid w:val="0"/>
                <w:sz w:val="20"/>
                <w:lang w:eastAsia="en-US"/>
              </w:rPr>
            </w:pPr>
            <w:r w:rsidRPr="00C074D4">
              <w:rPr>
                <w:b/>
                <w:snapToGrid w:val="0"/>
                <w:sz w:val="20"/>
                <w:lang w:eastAsia="en-US"/>
              </w:rPr>
              <w:t>5. If a new ASPA or ASMA is proposed, does it contain any marine area?</w:t>
            </w:r>
          </w:p>
        </w:tc>
        <w:tc>
          <w:tcPr>
            <w:tcW w:w="5109" w:type="dxa"/>
            <w:vAlign w:val="center"/>
            <w:hideMark/>
          </w:tcPr>
          <w:p w14:paraId="354DE191" w14:textId="77777777" w:rsidR="002E7B03" w:rsidRPr="00C074D4" w:rsidRDefault="002E7B03" w:rsidP="00A71824">
            <w:pPr>
              <w:spacing w:before="60" w:after="60"/>
              <w:rPr>
                <w:sz w:val="20"/>
              </w:rPr>
            </w:pPr>
            <w:r>
              <w:rPr>
                <w:sz w:val="20"/>
              </w:rPr>
              <w:t>N/A</w:t>
            </w:r>
          </w:p>
        </w:tc>
      </w:tr>
      <w:tr w:rsidR="002E7B03" w14:paraId="76D4D390" w14:textId="77777777" w:rsidTr="00A71824">
        <w:trPr>
          <w:jc w:val="center"/>
        </w:trPr>
        <w:tc>
          <w:tcPr>
            <w:tcW w:w="5110" w:type="dxa"/>
            <w:hideMark/>
          </w:tcPr>
          <w:p w14:paraId="500DB095" w14:textId="77777777" w:rsidR="002E7B03" w:rsidRPr="00C074D4" w:rsidRDefault="002E7B03" w:rsidP="00A71824">
            <w:pPr>
              <w:pStyle w:val="ATSNormal"/>
              <w:spacing w:before="60" w:after="60"/>
              <w:rPr>
                <w:b/>
                <w:snapToGrid w:val="0"/>
                <w:sz w:val="20"/>
                <w:lang w:eastAsia="en-US"/>
              </w:rPr>
            </w:pPr>
            <w:r w:rsidRPr="00C074D4">
              <w:rPr>
                <w:b/>
                <w:snapToGrid w:val="0"/>
                <w:sz w:val="20"/>
                <w:lang w:eastAsia="en-US"/>
              </w:rPr>
              <w:t>6. If yes, does the proposal require the prior approval of CCAMLR in accordance with Decision 9 (2005)?</w:t>
            </w:r>
          </w:p>
        </w:tc>
        <w:tc>
          <w:tcPr>
            <w:tcW w:w="5109" w:type="dxa"/>
            <w:vAlign w:val="center"/>
            <w:hideMark/>
          </w:tcPr>
          <w:p w14:paraId="383C27EF" w14:textId="77777777" w:rsidR="002E7B03" w:rsidRPr="00C074D4" w:rsidRDefault="002E7B03" w:rsidP="00A71824">
            <w:pPr>
              <w:spacing w:before="60" w:after="60"/>
              <w:rPr>
                <w:sz w:val="20"/>
              </w:rPr>
            </w:pPr>
            <w:r w:rsidRPr="00C074D4">
              <w:rPr>
                <w:sz w:val="20"/>
              </w:rPr>
              <w:t>N/A</w:t>
            </w:r>
          </w:p>
        </w:tc>
      </w:tr>
      <w:tr w:rsidR="002E7B03" w14:paraId="260D31FC" w14:textId="77777777" w:rsidTr="00A71824">
        <w:trPr>
          <w:jc w:val="center"/>
        </w:trPr>
        <w:tc>
          <w:tcPr>
            <w:tcW w:w="5110" w:type="dxa"/>
            <w:hideMark/>
          </w:tcPr>
          <w:p w14:paraId="5DC5300D" w14:textId="77777777" w:rsidR="002E7B03" w:rsidRPr="00C074D4" w:rsidRDefault="002E7B03" w:rsidP="00A71824">
            <w:pPr>
              <w:pStyle w:val="ATSNormal"/>
              <w:spacing w:before="60" w:after="60"/>
              <w:rPr>
                <w:b/>
                <w:sz w:val="20"/>
              </w:rPr>
            </w:pPr>
            <w:r w:rsidRPr="00C074D4">
              <w:rPr>
                <w:b/>
                <w:sz w:val="20"/>
              </w:rPr>
              <w:t xml:space="preserve">7. If yes, has the prior approval of CCAMLR been obtained? </w:t>
            </w:r>
          </w:p>
        </w:tc>
        <w:tc>
          <w:tcPr>
            <w:tcW w:w="5109" w:type="dxa"/>
            <w:vAlign w:val="center"/>
            <w:hideMark/>
          </w:tcPr>
          <w:p w14:paraId="70D13C8F" w14:textId="77777777" w:rsidR="002E7B03" w:rsidRPr="00C074D4" w:rsidRDefault="002E7B03" w:rsidP="00A71824">
            <w:pPr>
              <w:spacing w:before="60" w:after="60"/>
              <w:rPr>
                <w:sz w:val="20"/>
              </w:rPr>
            </w:pPr>
            <w:r w:rsidRPr="00C074D4">
              <w:rPr>
                <w:sz w:val="20"/>
              </w:rPr>
              <w:t>N/A</w:t>
            </w:r>
          </w:p>
        </w:tc>
      </w:tr>
      <w:tr w:rsidR="002E7B03" w14:paraId="2111840B" w14:textId="77777777" w:rsidTr="00A71824">
        <w:trPr>
          <w:jc w:val="center"/>
        </w:trPr>
        <w:tc>
          <w:tcPr>
            <w:tcW w:w="5110" w:type="dxa"/>
            <w:hideMark/>
          </w:tcPr>
          <w:p w14:paraId="63436A16" w14:textId="77777777" w:rsidR="002E7B03" w:rsidRPr="00C074D4" w:rsidRDefault="002E7B03" w:rsidP="00A71824">
            <w:pPr>
              <w:pStyle w:val="ATSNormal"/>
              <w:spacing w:before="60" w:after="60"/>
              <w:rPr>
                <w:i/>
                <w:sz w:val="20"/>
              </w:rPr>
            </w:pPr>
            <w:r w:rsidRPr="00C074D4">
              <w:rPr>
                <w:i/>
                <w:sz w:val="20"/>
              </w:rPr>
              <w:t>If yes, please list the CCAMLR Final Report and Paragraph No.</w:t>
            </w:r>
          </w:p>
        </w:tc>
        <w:tc>
          <w:tcPr>
            <w:tcW w:w="5109" w:type="dxa"/>
            <w:vAlign w:val="center"/>
            <w:hideMark/>
          </w:tcPr>
          <w:p w14:paraId="2C49AA28" w14:textId="77777777" w:rsidR="002E7B03" w:rsidRPr="00C074D4" w:rsidRDefault="002E7B03" w:rsidP="00A71824">
            <w:pPr>
              <w:spacing w:before="60" w:after="60"/>
              <w:rPr>
                <w:sz w:val="20"/>
              </w:rPr>
            </w:pPr>
            <w:r w:rsidRPr="00C074D4">
              <w:rPr>
                <w:sz w:val="20"/>
              </w:rPr>
              <w:t>N/A</w:t>
            </w:r>
          </w:p>
        </w:tc>
      </w:tr>
      <w:tr w:rsidR="002E7B03" w:rsidRPr="0096712D" w14:paraId="15971B09" w14:textId="77777777" w:rsidTr="00A71824">
        <w:trPr>
          <w:cantSplit/>
          <w:jc w:val="center"/>
        </w:trPr>
        <w:tc>
          <w:tcPr>
            <w:tcW w:w="5110" w:type="dxa"/>
            <w:hideMark/>
          </w:tcPr>
          <w:p w14:paraId="380366B9" w14:textId="77777777" w:rsidR="002E7B03" w:rsidRPr="00C074D4" w:rsidRDefault="002E7B03" w:rsidP="00A71824">
            <w:pPr>
              <w:pStyle w:val="ATSNormal"/>
              <w:spacing w:before="60" w:after="60"/>
              <w:rPr>
                <w:b/>
                <w:i/>
                <w:sz w:val="20"/>
              </w:rPr>
            </w:pPr>
            <w:r w:rsidRPr="00C074D4">
              <w:rPr>
                <w:b/>
                <w:sz w:val="20"/>
              </w:rPr>
              <w:t>8. If the proposal relates to an ASPA, what is the primary reason for designation (</w:t>
            </w:r>
            <w:proofErr w:type="gramStart"/>
            <w:r w:rsidRPr="00C074D4">
              <w:rPr>
                <w:b/>
                <w:sz w:val="20"/>
              </w:rPr>
              <w:t>i.e.</w:t>
            </w:r>
            <w:proofErr w:type="gramEnd"/>
            <w:r w:rsidRPr="00C074D4">
              <w:rPr>
                <w:b/>
                <w:sz w:val="20"/>
              </w:rPr>
              <w:t xml:space="preserve"> which part under Article 3.2 of Annex V)?</w:t>
            </w:r>
          </w:p>
        </w:tc>
        <w:tc>
          <w:tcPr>
            <w:tcW w:w="5109" w:type="dxa"/>
            <w:vAlign w:val="center"/>
            <w:hideMark/>
          </w:tcPr>
          <w:p w14:paraId="7588A10B" w14:textId="77777777" w:rsidR="002E7B03" w:rsidRPr="00C074D4" w:rsidRDefault="002E7B03" w:rsidP="00A71824">
            <w:pPr>
              <w:spacing w:before="60" w:after="60"/>
              <w:rPr>
                <w:sz w:val="20"/>
                <w:szCs w:val="22"/>
              </w:rPr>
            </w:pPr>
            <w:r w:rsidRPr="00C074D4">
              <w:rPr>
                <w:sz w:val="20"/>
                <w:szCs w:val="22"/>
              </w:rPr>
              <w:t xml:space="preserve">The primary reason </w:t>
            </w:r>
            <w:r>
              <w:rPr>
                <w:sz w:val="20"/>
                <w:szCs w:val="22"/>
              </w:rPr>
              <w:t xml:space="preserve">for designation of the Area is </w:t>
            </w:r>
            <w:r w:rsidRPr="005B2C29">
              <w:rPr>
                <w:sz w:val="20"/>
                <w:szCs w:val="22"/>
              </w:rPr>
              <w:t>that it contains important</w:t>
            </w:r>
            <w:r>
              <w:rPr>
                <w:sz w:val="20"/>
                <w:szCs w:val="22"/>
              </w:rPr>
              <w:t xml:space="preserve"> </w:t>
            </w:r>
            <w:r w:rsidRPr="005B2C29">
              <w:rPr>
                <w:sz w:val="20"/>
                <w:szCs w:val="22"/>
              </w:rPr>
              <w:t>ecological and scientific research values</w:t>
            </w:r>
            <w:r>
              <w:rPr>
                <w:sz w:val="20"/>
                <w:szCs w:val="22"/>
              </w:rPr>
              <w:t>, notably rich</w:t>
            </w:r>
            <w:r w:rsidRPr="005B2C29">
              <w:rPr>
                <w:sz w:val="20"/>
                <w:szCs w:val="22"/>
              </w:rPr>
              <w:t xml:space="preserve"> assemblages of </w:t>
            </w:r>
            <w:r>
              <w:rPr>
                <w:sz w:val="20"/>
                <w:szCs w:val="22"/>
              </w:rPr>
              <w:t>biological communities.</w:t>
            </w:r>
          </w:p>
        </w:tc>
      </w:tr>
      <w:tr w:rsidR="002E7B03" w14:paraId="31B87147" w14:textId="77777777" w:rsidTr="00A71824">
        <w:trPr>
          <w:jc w:val="center"/>
        </w:trPr>
        <w:tc>
          <w:tcPr>
            <w:tcW w:w="5110" w:type="dxa"/>
            <w:hideMark/>
          </w:tcPr>
          <w:p w14:paraId="60F4DB72" w14:textId="77777777" w:rsidR="002E7B03" w:rsidRPr="00C074D4" w:rsidRDefault="002E7B03" w:rsidP="00A71824">
            <w:pPr>
              <w:pStyle w:val="ATSNumber1"/>
              <w:numPr>
                <w:ilvl w:val="0"/>
                <w:numId w:val="0"/>
              </w:numPr>
              <w:tabs>
                <w:tab w:val="left" w:pos="708"/>
              </w:tabs>
              <w:spacing w:before="0"/>
              <w:rPr>
                <w:b/>
                <w:sz w:val="20"/>
              </w:rPr>
            </w:pPr>
            <w:r w:rsidRPr="00C074D4">
              <w:rPr>
                <w:b/>
                <w:sz w:val="20"/>
              </w:rPr>
              <w:t xml:space="preserve">9. Have you identified the main Environmental Domain represented by the ASPA/ASMA (refer to the ‘Environmental Domains Analysis for the Antarctic Continent’ appended to Resolution 3 (2008))? </w:t>
            </w:r>
          </w:p>
        </w:tc>
        <w:tc>
          <w:tcPr>
            <w:tcW w:w="5109" w:type="dxa"/>
            <w:vAlign w:val="center"/>
            <w:hideMark/>
          </w:tcPr>
          <w:p w14:paraId="2C938094" w14:textId="77777777" w:rsidR="002E7B03" w:rsidRPr="00C074D4" w:rsidRDefault="002E7B03" w:rsidP="00A71824">
            <w:pPr>
              <w:spacing w:before="60" w:after="60"/>
              <w:rPr>
                <w:sz w:val="20"/>
              </w:rPr>
            </w:pPr>
            <w:r>
              <w:rPr>
                <w:sz w:val="20"/>
              </w:rPr>
              <w:t>Yes</w:t>
            </w:r>
          </w:p>
        </w:tc>
      </w:tr>
      <w:tr w:rsidR="002E7B03" w:rsidRPr="0096712D" w14:paraId="2AA49D34" w14:textId="77777777" w:rsidTr="00A71824">
        <w:trPr>
          <w:jc w:val="center"/>
        </w:trPr>
        <w:tc>
          <w:tcPr>
            <w:tcW w:w="5110" w:type="dxa"/>
            <w:hideMark/>
          </w:tcPr>
          <w:p w14:paraId="0BDE7D86" w14:textId="77777777" w:rsidR="002E7B03" w:rsidRPr="00C074D4" w:rsidRDefault="002E7B03" w:rsidP="00A71824">
            <w:pPr>
              <w:pStyle w:val="ATSNumber1"/>
              <w:numPr>
                <w:ilvl w:val="0"/>
                <w:numId w:val="0"/>
              </w:numPr>
              <w:tabs>
                <w:tab w:val="left" w:pos="708"/>
              </w:tabs>
              <w:spacing w:before="0"/>
              <w:rPr>
                <w:b/>
                <w:sz w:val="20"/>
              </w:rPr>
            </w:pPr>
            <w:r w:rsidRPr="00C074D4">
              <w:rPr>
                <w:i/>
                <w:sz w:val="20"/>
              </w:rPr>
              <w:lastRenderedPageBreak/>
              <w:t>If Yes, the main Environmental Domain should be noted here.</w:t>
            </w:r>
          </w:p>
        </w:tc>
        <w:tc>
          <w:tcPr>
            <w:tcW w:w="5109" w:type="dxa"/>
            <w:vAlign w:val="center"/>
            <w:hideMark/>
          </w:tcPr>
          <w:p w14:paraId="71823127" w14:textId="77777777" w:rsidR="002E7B03" w:rsidRPr="00C074D4" w:rsidRDefault="002E7B03" w:rsidP="00A71824">
            <w:pPr>
              <w:spacing w:before="60" w:after="60"/>
              <w:rPr>
                <w:sz w:val="20"/>
              </w:rPr>
            </w:pPr>
            <w:r w:rsidRPr="005B2C29">
              <w:rPr>
                <w:sz w:val="20"/>
              </w:rPr>
              <w:t>S - McMurdo - South Victoria Land geologic</w:t>
            </w:r>
          </w:p>
        </w:tc>
      </w:tr>
      <w:tr w:rsidR="002E7B03" w:rsidRPr="0096712D" w14:paraId="02F25C24" w14:textId="77777777" w:rsidTr="00A71824">
        <w:trPr>
          <w:jc w:val="center"/>
        </w:trPr>
        <w:tc>
          <w:tcPr>
            <w:tcW w:w="5110" w:type="dxa"/>
          </w:tcPr>
          <w:p w14:paraId="082FAD6F" w14:textId="77777777" w:rsidR="002E7B03" w:rsidRPr="00C074D4" w:rsidRDefault="002E7B03" w:rsidP="00A71824">
            <w:pPr>
              <w:pStyle w:val="ATSNumber1"/>
              <w:numPr>
                <w:ilvl w:val="0"/>
                <w:numId w:val="0"/>
              </w:numPr>
              <w:ind w:left="41"/>
              <w:rPr>
                <w:b/>
                <w:sz w:val="20"/>
              </w:rPr>
            </w:pPr>
            <w:r w:rsidRPr="00C074D4">
              <w:rPr>
                <w:b/>
                <w:sz w:val="20"/>
              </w:rPr>
              <w:t>10. If relevant, have you identified the main Antarctic Conservation Biogeographic Region represented by the ASPA/ASMA (refer to the ‘Antarctic Conservation Biogeographic Regions’ appended to Resolution 6 (2012))?</w:t>
            </w:r>
          </w:p>
        </w:tc>
        <w:tc>
          <w:tcPr>
            <w:tcW w:w="5109" w:type="dxa"/>
            <w:vAlign w:val="center"/>
          </w:tcPr>
          <w:p w14:paraId="281D3120" w14:textId="77777777" w:rsidR="002E7B03" w:rsidRPr="00C074D4" w:rsidRDefault="002E7B03" w:rsidP="00A71824">
            <w:pPr>
              <w:spacing w:before="60" w:after="60"/>
              <w:rPr>
                <w:sz w:val="20"/>
              </w:rPr>
            </w:pPr>
            <w:r>
              <w:rPr>
                <w:sz w:val="20"/>
              </w:rPr>
              <w:t>Yes</w:t>
            </w:r>
          </w:p>
        </w:tc>
      </w:tr>
      <w:tr w:rsidR="002E7B03" w:rsidRPr="0096712D" w14:paraId="63962A80" w14:textId="77777777" w:rsidTr="00A71824">
        <w:trPr>
          <w:jc w:val="center"/>
        </w:trPr>
        <w:tc>
          <w:tcPr>
            <w:tcW w:w="5110" w:type="dxa"/>
          </w:tcPr>
          <w:p w14:paraId="26C57771" w14:textId="77777777" w:rsidR="002E7B03" w:rsidRPr="00C074D4" w:rsidRDefault="002E7B03" w:rsidP="00A71824">
            <w:pPr>
              <w:pStyle w:val="ATSNumber1"/>
              <w:numPr>
                <w:ilvl w:val="0"/>
                <w:numId w:val="0"/>
              </w:numPr>
              <w:ind w:left="41"/>
              <w:rPr>
                <w:i/>
                <w:sz w:val="20"/>
              </w:rPr>
            </w:pPr>
            <w:r w:rsidRPr="00C074D4">
              <w:rPr>
                <w:i/>
                <w:sz w:val="20"/>
              </w:rPr>
              <w:t>If yes, the main Antarctic Conservation Biogeographic Region should be noted here.</w:t>
            </w:r>
          </w:p>
        </w:tc>
        <w:tc>
          <w:tcPr>
            <w:tcW w:w="5109" w:type="dxa"/>
            <w:vAlign w:val="center"/>
          </w:tcPr>
          <w:p w14:paraId="008403E5" w14:textId="77777777" w:rsidR="002E7B03" w:rsidRPr="00C074D4" w:rsidRDefault="002E7B03" w:rsidP="00A71824">
            <w:pPr>
              <w:spacing w:before="60" w:after="60"/>
              <w:rPr>
                <w:sz w:val="20"/>
              </w:rPr>
            </w:pPr>
            <w:r w:rsidRPr="00EC7514">
              <w:rPr>
                <w:sz w:val="20"/>
              </w:rPr>
              <w:t>9 - South Victoria Land</w:t>
            </w:r>
          </w:p>
        </w:tc>
      </w:tr>
      <w:tr w:rsidR="002E7B03" w:rsidRPr="0096712D" w14:paraId="6E68324C" w14:textId="77777777" w:rsidTr="00A71824">
        <w:trPr>
          <w:jc w:val="center"/>
        </w:trPr>
        <w:tc>
          <w:tcPr>
            <w:tcW w:w="5110" w:type="dxa"/>
          </w:tcPr>
          <w:p w14:paraId="12E96731" w14:textId="77777777" w:rsidR="002E7B03" w:rsidRPr="00C074D4" w:rsidRDefault="002E7B03" w:rsidP="00A71824">
            <w:pPr>
              <w:pStyle w:val="ATSNumber1"/>
              <w:numPr>
                <w:ilvl w:val="0"/>
                <w:numId w:val="0"/>
              </w:numPr>
              <w:ind w:left="41"/>
              <w:rPr>
                <w:b/>
                <w:sz w:val="20"/>
              </w:rPr>
            </w:pPr>
            <w:r w:rsidRPr="00C074D4">
              <w:rPr>
                <w:b/>
                <w:sz w:val="20"/>
              </w:rPr>
              <w:t xml:space="preserve">11. If relevant, have you identified any Antarctic Important Bird Areas (Resolution 5 (2015)) represented by the ASPA/ASMA (refer to the ‘Important Bird Areas in Antarctica 2015 Summary’ appended to ATCM XXXVIII - IP 27 and the full report available at: </w:t>
            </w:r>
            <w:hyperlink r:id="rId11" w:history="1">
              <w:r w:rsidRPr="00C074D4">
                <w:rPr>
                  <w:rStyle w:val="Hipervnculo"/>
                  <w:b/>
                  <w:sz w:val="20"/>
                </w:rPr>
                <w:t>http://www.era.gs/resources/iba/</w:t>
              </w:r>
            </w:hyperlink>
            <w:r w:rsidRPr="00C074D4">
              <w:rPr>
                <w:b/>
                <w:sz w:val="20"/>
              </w:rPr>
              <w:t>)?</w:t>
            </w:r>
          </w:p>
        </w:tc>
        <w:tc>
          <w:tcPr>
            <w:tcW w:w="5109" w:type="dxa"/>
            <w:vAlign w:val="center"/>
          </w:tcPr>
          <w:p w14:paraId="1F2876F4" w14:textId="77777777" w:rsidR="002E7B03" w:rsidRPr="00C074D4" w:rsidRDefault="002E7B03" w:rsidP="00A71824">
            <w:pPr>
              <w:spacing w:before="60" w:after="60"/>
              <w:rPr>
                <w:sz w:val="20"/>
              </w:rPr>
            </w:pPr>
            <w:r w:rsidRPr="00C074D4">
              <w:rPr>
                <w:sz w:val="20"/>
              </w:rPr>
              <w:t>N/A</w:t>
            </w:r>
          </w:p>
        </w:tc>
      </w:tr>
      <w:tr w:rsidR="002E7B03" w:rsidRPr="0096712D" w14:paraId="2800C1BA" w14:textId="77777777" w:rsidTr="00A71824">
        <w:trPr>
          <w:jc w:val="center"/>
        </w:trPr>
        <w:tc>
          <w:tcPr>
            <w:tcW w:w="5110" w:type="dxa"/>
          </w:tcPr>
          <w:p w14:paraId="2E5E8EA3" w14:textId="77777777" w:rsidR="002E7B03" w:rsidRPr="00C074D4" w:rsidRDefault="002E7B03" w:rsidP="00A71824">
            <w:pPr>
              <w:pStyle w:val="ATSNumber1"/>
              <w:numPr>
                <w:ilvl w:val="0"/>
                <w:numId w:val="0"/>
              </w:numPr>
              <w:ind w:left="41"/>
              <w:rPr>
                <w:i/>
                <w:sz w:val="20"/>
              </w:rPr>
            </w:pPr>
            <w:r w:rsidRPr="00C074D4">
              <w:rPr>
                <w:i/>
                <w:sz w:val="20"/>
              </w:rPr>
              <w:t>If yes, the Important Bird Area(s) should be noted here.)</w:t>
            </w:r>
          </w:p>
        </w:tc>
        <w:tc>
          <w:tcPr>
            <w:tcW w:w="5109" w:type="dxa"/>
            <w:vAlign w:val="center"/>
          </w:tcPr>
          <w:p w14:paraId="7C92D4F5" w14:textId="77777777" w:rsidR="002E7B03" w:rsidRPr="00C074D4" w:rsidRDefault="002E7B03" w:rsidP="00A71824">
            <w:pPr>
              <w:spacing w:before="60" w:after="60"/>
              <w:rPr>
                <w:sz w:val="20"/>
              </w:rPr>
            </w:pPr>
            <w:r w:rsidRPr="00C074D4">
              <w:rPr>
                <w:sz w:val="20"/>
              </w:rPr>
              <w:t>N/A</w:t>
            </w:r>
          </w:p>
        </w:tc>
      </w:tr>
    </w:tbl>
    <w:p w14:paraId="4014C6D3" w14:textId="77777777" w:rsidR="002E7B03" w:rsidRDefault="002E7B03" w:rsidP="002E7B03"/>
    <w:p w14:paraId="781C66B7" w14:textId="77777777" w:rsidR="002E7B03" w:rsidRDefault="002E7B03" w:rsidP="002E7B03"/>
    <w:p w14:paraId="749D610E" w14:textId="77777777" w:rsidR="002E7B03" w:rsidRDefault="002E7B03" w:rsidP="002E7B03"/>
    <w:p w14:paraId="2872F590" w14:textId="77777777" w:rsidR="002E7B03" w:rsidRDefault="002E7B03" w:rsidP="00952E9F"/>
    <w:sectPr w:rsidR="002E7B03"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D7026" w14:textId="77777777" w:rsidR="00000000" w:rsidRDefault="002E7B03">
      <w:r>
        <w:separator/>
      </w:r>
    </w:p>
  </w:endnote>
  <w:endnote w:type="continuationSeparator" w:id="0">
    <w:p w14:paraId="609A6D9F" w14:textId="77777777" w:rsidR="00000000" w:rsidRDefault="002E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0150" w14:textId="77777777" w:rsidR="00FA0B9F" w:rsidRDefault="002E7B03" w:rsidP="00CF5C82">
    <w:pPr>
      <w:framePr w:wrap="around" w:vAnchor="text" w:hAnchor="margin" w:xAlign="right" w:y="1"/>
    </w:pPr>
    <w:r>
      <w:fldChar w:fldCharType="begin"/>
    </w:r>
    <w:r>
      <w:instrText xml:space="preserve">PAGE  </w:instrText>
    </w:r>
    <w:r>
      <w:fldChar w:fldCharType="end"/>
    </w:r>
  </w:p>
  <w:p w14:paraId="4C042152" w14:textId="77777777" w:rsidR="00FA0B9F" w:rsidRDefault="002E7B0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435D" w14:textId="77777777" w:rsidR="00FA0B9F" w:rsidRDefault="002E7B0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44604D4" w14:textId="294CF1B3" w:rsidR="00FA0B9F" w:rsidRDefault="002E7B03" w:rsidP="00FA0B9F">
    <w:pPr>
      <w:ind w:right="360"/>
    </w:pPr>
    <w:r>
      <w:t>Attachments: atcm43_att110_e.docx: ASPA 131 Revised Management Plan</w:t>
    </w:r>
  </w:p>
  <w:p w14:paraId="07E11DD9" w14:textId="79956BF1" w:rsidR="002E7B03" w:rsidRDefault="002E7B03" w:rsidP="00FA0B9F">
    <w:pPr>
      <w:ind w:right="360"/>
    </w:pPr>
    <w:r w:rsidRPr="002E7B03">
      <w:t>Atcm43_att111_e.pdf: ASPA 131 Map</w:t>
    </w:r>
    <w:r>
      <w:t xml:space="preserve"> 1</w:t>
    </w:r>
  </w:p>
  <w:p w14:paraId="61C1C84E" w14:textId="091EC475" w:rsidR="002E7B03" w:rsidRPr="002E7B03" w:rsidRDefault="002E7B03" w:rsidP="002E7B03">
    <w:pPr>
      <w:ind w:right="360"/>
    </w:pPr>
    <w:r w:rsidRPr="002E7B03">
      <w:t>Atcm43_att11</w:t>
    </w:r>
    <w:r>
      <w:t>2</w:t>
    </w:r>
    <w:r w:rsidRPr="002E7B03">
      <w:t>_e.pdf: ASPA 131 Map</w:t>
    </w:r>
    <w:r>
      <w:t xml:space="preserve"> </w:t>
    </w:r>
    <w:r>
      <w:t>2</w:t>
    </w:r>
  </w:p>
  <w:p w14:paraId="622E540A" w14:textId="10190759" w:rsidR="002E7B03" w:rsidRPr="002E7B03" w:rsidRDefault="002E7B03" w:rsidP="002E7B03">
    <w:pPr>
      <w:ind w:right="360"/>
    </w:pPr>
    <w:r w:rsidRPr="002E7B03">
      <w:t>Atcm43_att11</w:t>
    </w:r>
    <w:r>
      <w:t>3</w:t>
    </w:r>
    <w:r w:rsidRPr="002E7B03">
      <w:t>_e.pdf: ASPA 131 Map</w:t>
    </w:r>
    <w:r>
      <w:t xml:space="preserve"> </w:t>
    </w:r>
    <w:r>
      <w:t>3</w:t>
    </w:r>
  </w:p>
  <w:p w14:paraId="745AFDA6" w14:textId="77777777" w:rsidR="002E7B03" w:rsidRPr="002E7B03" w:rsidRDefault="002E7B0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FA3B" w14:textId="77777777" w:rsidR="00E311C9" w:rsidRDefault="002E7B0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DFC9063" w14:textId="77777777" w:rsidR="00E311C9" w:rsidRDefault="002E7B0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090A" w14:textId="77777777" w:rsidR="00000000" w:rsidRDefault="002E7B03">
      <w:r>
        <w:separator/>
      </w:r>
    </w:p>
  </w:footnote>
  <w:footnote w:type="continuationSeparator" w:id="0">
    <w:p w14:paraId="4B205FC8" w14:textId="77777777" w:rsidR="00000000" w:rsidRDefault="002E7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B7887" w14:paraId="73D5C719" w14:textId="77777777" w:rsidTr="00490760">
      <w:trPr>
        <w:trHeight w:val="344"/>
        <w:jc w:val="center"/>
      </w:trPr>
      <w:tc>
        <w:tcPr>
          <w:tcW w:w="5495" w:type="dxa"/>
        </w:tcPr>
        <w:p w14:paraId="1751ED84" w14:textId="77777777" w:rsidR="00DB7C09" w:rsidRDefault="002E7B03" w:rsidP="00F968D4"/>
      </w:tc>
      <w:tc>
        <w:tcPr>
          <w:tcW w:w="4253" w:type="dxa"/>
          <w:gridSpan w:val="2"/>
        </w:tcPr>
        <w:p w14:paraId="3D1194A8" w14:textId="77777777" w:rsidR="00DB7C09" w:rsidRPr="00BD47E4" w:rsidRDefault="002E7B03" w:rsidP="002A07BC">
          <w:pPr>
            <w:jc w:val="right"/>
            <w:rPr>
              <w:b/>
              <w:sz w:val="32"/>
              <w:szCs w:val="32"/>
            </w:rPr>
          </w:pPr>
          <w:bookmarkStart w:id="2" w:name="type"/>
          <w:r w:rsidRPr="00BD47E4">
            <w:rPr>
              <w:b/>
              <w:sz w:val="32"/>
              <w:szCs w:val="32"/>
            </w:rPr>
            <w:t>WP</w:t>
          </w:r>
          <w:bookmarkEnd w:id="2"/>
        </w:p>
      </w:tc>
      <w:tc>
        <w:tcPr>
          <w:tcW w:w="1524" w:type="dxa"/>
          <w:gridSpan w:val="2"/>
        </w:tcPr>
        <w:p w14:paraId="6680BCBF" w14:textId="77777777" w:rsidR="00DB7C09" w:rsidRPr="00BD47E4" w:rsidRDefault="002E7B03" w:rsidP="00DB7C09">
          <w:pPr>
            <w:rPr>
              <w:b/>
              <w:sz w:val="32"/>
              <w:szCs w:val="32"/>
            </w:rPr>
          </w:pPr>
          <w:bookmarkStart w:id="3" w:name="number"/>
          <w:r w:rsidRPr="00BD47E4">
            <w:rPr>
              <w:b/>
              <w:sz w:val="32"/>
              <w:szCs w:val="32"/>
            </w:rPr>
            <w:t>45</w:t>
          </w:r>
          <w:bookmarkEnd w:id="3"/>
        </w:p>
      </w:tc>
    </w:tr>
    <w:tr w:rsidR="00AB7887" w14:paraId="34B41AC0" w14:textId="77777777" w:rsidTr="00490760">
      <w:trPr>
        <w:trHeight w:val="2165"/>
        <w:jc w:val="center"/>
      </w:trPr>
      <w:tc>
        <w:tcPr>
          <w:tcW w:w="5495" w:type="dxa"/>
        </w:tcPr>
        <w:p w14:paraId="6B43F082" w14:textId="77777777" w:rsidR="00490760" w:rsidRPr="00EE4D48" w:rsidRDefault="002E7B03" w:rsidP="002A07BC">
          <w:pPr>
            <w:rPr>
              <w:b/>
              <w:sz w:val="28"/>
              <w:szCs w:val="28"/>
            </w:rPr>
          </w:pPr>
          <w:r>
            <w:rPr>
              <w:b/>
              <w:noProof/>
              <w:sz w:val="28"/>
              <w:szCs w:val="28"/>
            </w:rPr>
            <w:drawing>
              <wp:inline distT="0" distB="0" distL="0" distR="0" wp14:anchorId="1E874F74" wp14:editId="47FFDE7F">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3875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86E90C2" w14:textId="77777777" w:rsidR="00490760" w:rsidRPr="00FE5146" w:rsidRDefault="002E7B03" w:rsidP="00490760">
          <w:pPr>
            <w:jc w:val="right"/>
            <w:rPr>
              <w:sz w:val="144"/>
              <w:szCs w:val="144"/>
            </w:rPr>
          </w:pPr>
          <w:r w:rsidRPr="00FE5146">
            <w:rPr>
              <w:sz w:val="144"/>
              <w:szCs w:val="144"/>
            </w:rPr>
            <w:t>ENG</w:t>
          </w:r>
        </w:p>
      </w:tc>
    </w:tr>
    <w:tr w:rsidR="00AB7887" w14:paraId="5CE81E63" w14:textId="77777777" w:rsidTr="00BD47E4">
      <w:trPr>
        <w:trHeight w:val="409"/>
        <w:jc w:val="center"/>
      </w:trPr>
      <w:tc>
        <w:tcPr>
          <w:tcW w:w="9039" w:type="dxa"/>
          <w:gridSpan w:val="2"/>
        </w:tcPr>
        <w:p w14:paraId="7C72FB08" w14:textId="77777777" w:rsidR="00BD47E4" w:rsidRDefault="002E7B03" w:rsidP="002C30DA">
          <w:pPr>
            <w:jc w:val="right"/>
          </w:pPr>
          <w:r>
            <w:t>Agenda Item:</w:t>
          </w:r>
        </w:p>
      </w:tc>
      <w:tc>
        <w:tcPr>
          <w:tcW w:w="1843" w:type="dxa"/>
          <w:gridSpan w:val="2"/>
        </w:tcPr>
        <w:p w14:paraId="62156674" w14:textId="77777777" w:rsidR="00BD47E4" w:rsidRDefault="002E7B03" w:rsidP="002C30DA">
          <w:pPr>
            <w:jc w:val="right"/>
          </w:pPr>
          <w:bookmarkStart w:id="4" w:name="agenda"/>
          <w:r>
            <w:t>CEP 9a</w:t>
          </w:r>
          <w:bookmarkEnd w:id="4"/>
        </w:p>
      </w:tc>
      <w:tc>
        <w:tcPr>
          <w:tcW w:w="390" w:type="dxa"/>
        </w:tcPr>
        <w:p w14:paraId="6A08566A" w14:textId="77777777" w:rsidR="00BD47E4" w:rsidRDefault="002E7B03" w:rsidP="00387A65">
          <w:pPr>
            <w:jc w:val="right"/>
          </w:pPr>
        </w:p>
      </w:tc>
    </w:tr>
    <w:tr w:rsidR="00AB7887" w14:paraId="134628D9" w14:textId="77777777" w:rsidTr="00BD47E4">
      <w:trPr>
        <w:trHeight w:val="397"/>
        <w:jc w:val="center"/>
      </w:trPr>
      <w:tc>
        <w:tcPr>
          <w:tcW w:w="9039" w:type="dxa"/>
          <w:gridSpan w:val="2"/>
        </w:tcPr>
        <w:p w14:paraId="4FE29BCC" w14:textId="77777777" w:rsidR="00BD47E4" w:rsidRDefault="002E7B03" w:rsidP="002C30DA">
          <w:pPr>
            <w:jc w:val="right"/>
          </w:pPr>
          <w:r>
            <w:t>Presented by:</w:t>
          </w:r>
        </w:p>
      </w:tc>
      <w:tc>
        <w:tcPr>
          <w:tcW w:w="1843" w:type="dxa"/>
          <w:gridSpan w:val="2"/>
        </w:tcPr>
        <w:p w14:paraId="437FC729" w14:textId="77777777" w:rsidR="00BD47E4" w:rsidRDefault="002E7B03" w:rsidP="002C30DA">
          <w:pPr>
            <w:jc w:val="right"/>
          </w:pPr>
          <w:bookmarkStart w:id="5" w:name="party"/>
          <w:r>
            <w:t>New Zealand</w:t>
          </w:r>
          <w:bookmarkEnd w:id="5"/>
        </w:p>
      </w:tc>
      <w:tc>
        <w:tcPr>
          <w:tcW w:w="390" w:type="dxa"/>
        </w:tcPr>
        <w:p w14:paraId="180858DF" w14:textId="77777777" w:rsidR="00BD47E4" w:rsidRDefault="002E7B03" w:rsidP="00387A65">
          <w:pPr>
            <w:jc w:val="right"/>
          </w:pPr>
        </w:p>
      </w:tc>
    </w:tr>
    <w:tr w:rsidR="00AB7887" w14:paraId="2DA7133B" w14:textId="77777777" w:rsidTr="00BD47E4">
      <w:trPr>
        <w:trHeight w:val="409"/>
        <w:jc w:val="center"/>
      </w:trPr>
      <w:tc>
        <w:tcPr>
          <w:tcW w:w="9039" w:type="dxa"/>
          <w:gridSpan w:val="2"/>
        </w:tcPr>
        <w:p w14:paraId="0599CB67" w14:textId="77777777" w:rsidR="00BD47E4" w:rsidRDefault="002E7B03" w:rsidP="002C30DA">
          <w:pPr>
            <w:jc w:val="right"/>
          </w:pPr>
          <w:r>
            <w:t>Original:</w:t>
          </w:r>
        </w:p>
      </w:tc>
      <w:tc>
        <w:tcPr>
          <w:tcW w:w="1843" w:type="dxa"/>
          <w:gridSpan w:val="2"/>
        </w:tcPr>
        <w:p w14:paraId="781CD53A" w14:textId="77777777" w:rsidR="00BD47E4" w:rsidRDefault="002E7B03" w:rsidP="002C30DA">
          <w:pPr>
            <w:jc w:val="right"/>
          </w:pPr>
          <w:bookmarkStart w:id="6" w:name="language"/>
          <w:r>
            <w:t>English</w:t>
          </w:r>
          <w:bookmarkEnd w:id="6"/>
        </w:p>
      </w:tc>
      <w:tc>
        <w:tcPr>
          <w:tcW w:w="390" w:type="dxa"/>
        </w:tcPr>
        <w:p w14:paraId="052D15B9" w14:textId="77777777" w:rsidR="00BD47E4" w:rsidRDefault="002E7B03" w:rsidP="00387A65">
          <w:pPr>
            <w:jc w:val="right"/>
          </w:pPr>
        </w:p>
      </w:tc>
    </w:tr>
    <w:tr w:rsidR="00AB7887" w14:paraId="7C1904BE" w14:textId="77777777" w:rsidTr="00BD47E4">
      <w:trPr>
        <w:trHeight w:val="409"/>
        <w:jc w:val="center"/>
      </w:trPr>
      <w:tc>
        <w:tcPr>
          <w:tcW w:w="9039" w:type="dxa"/>
          <w:gridSpan w:val="2"/>
        </w:tcPr>
        <w:p w14:paraId="7D997AAC" w14:textId="77777777" w:rsidR="0097629D" w:rsidRDefault="002E7B03" w:rsidP="002C30DA">
          <w:pPr>
            <w:jc w:val="right"/>
          </w:pPr>
          <w:r>
            <w:t>Submitted:</w:t>
          </w:r>
        </w:p>
      </w:tc>
      <w:tc>
        <w:tcPr>
          <w:tcW w:w="1843" w:type="dxa"/>
          <w:gridSpan w:val="2"/>
        </w:tcPr>
        <w:p w14:paraId="04041A30" w14:textId="77777777" w:rsidR="0097629D" w:rsidRDefault="002E7B03" w:rsidP="0097629D">
          <w:pPr>
            <w:jc w:val="right"/>
          </w:pPr>
          <w:bookmarkStart w:id="7" w:name="date_submission"/>
          <w:r>
            <w:t>30/4/2021</w:t>
          </w:r>
          <w:bookmarkEnd w:id="7"/>
        </w:p>
      </w:tc>
      <w:tc>
        <w:tcPr>
          <w:tcW w:w="390" w:type="dxa"/>
        </w:tcPr>
        <w:p w14:paraId="2C6D6719" w14:textId="77777777" w:rsidR="0097629D" w:rsidRDefault="002E7B03" w:rsidP="00387A65">
          <w:pPr>
            <w:jc w:val="right"/>
          </w:pPr>
        </w:p>
      </w:tc>
    </w:tr>
  </w:tbl>
  <w:p w14:paraId="66D7E4FB" w14:textId="77777777" w:rsidR="00AE5DD0" w:rsidRDefault="002E7B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B7887" w14:paraId="32AB420E" w14:textId="77777777">
      <w:trPr>
        <w:trHeight w:val="354"/>
        <w:jc w:val="center"/>
      </w:trPr>
      <w:tc>
        <w:tcPr>
          <w:tcW w:w="9694" w:type="dxa"/>
        </w:tcPr>
        <w:p w14:paraId="253BBE92" w14:textId="3808D61C" w:rsidR="00AE5DD0" w:rsidRPr="00BD47E4" w:rsidRDefault="002E7B03" w:rsidP="00C26F2D">
          <w:pPr>
            <w:jc w:val="right"/>
            <w:rPr>
              <w:b/>
              <w:sz w:val="32"/>
              <w:szCs w:val="32"/>
            </w:rPr>
          </w:pPr>
          <w:r>
            <w:rPr>
              <w:b/>
              <w:sz w:val="32"/>
              <w:szCs w:val="32"/>
            </w:rPr>
            <w:t>WP</w:t>
          </w:r>
        </w:p>
      </w:tc>
      <w:tc>
        <w:tcPr>
          <w:tcW w:w="1332" w:type="dxa"/>
        </w:tcPr>
        <w:p w14:paraId="000AA010" w14:textId="6F423386" w:rsidR="00AE5DD0" w:rsidRPr="00BD47E4" w:rsidRDefault="002E7B03" w:rsidP="00080F4C">
          <w:pPr>
            <w:rPr>
              <w:b/>
              <w:sz w:val="32"/>
              <w:szCs w:val="32"/>
            </w:rPr>
          </w:pPr>
          <w:r>
            <w:rPr>
              <w:b/>
              <w:sz w:val="32"/>
              <w:szCs w:val="32"/>
            </w:rPr>
            <w:t>45</w:t>
          </w:r>
        </w:p>
      </w:tc>
    </w:tr>
  </w:tbl>
  <w:p w14:paraId="6F11EE6C" w14:textId="77777777" w:rsidR="00AE5DD0" w:rsidRDefault="002E7B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BB857BE">
      <w:start w:val="1"/>
      <w:numFmt w:val="bullet"/>
      <w:pStyle w:val="ATSBullet1"/>
      <w:lvlText w:val=""/>
      <w:lvlJc w:val="left"/>
      <w:pPr>
        <w:tabs>
          <w:tab w:val="num" w:pos="360"/>
        </w:tabs>
        <w:ind w:left="360" w:hanging="360"/>
      </w:pPr>
      <w:rPr>
        <w:rFonts w:ascii="Symbol" w:hAnsi="Symbol" w:hint="default"/>
        <w:color w:val="auto"/>
      </w:rPr>
    </w:lvl>
    <w:lvl w:ilvl="1" w:tplc="92FEB98A" w:tentative="1">
      <w:start w:val="1"/>
      <w:numFmt w:val="bullet"/>
      <w:lvlText w:val="o"/>
      <w:lvlJc w:val="left"/>
      <w:pPr>
        <w:tabs>
          <w:tab w:val="num" w:pos="1440"/>
        </w:tabs>
        <w:ind w:left="1440" w:hanging="360"/>
      </w:pPr>
      <w:rPr>
        <w:rFonts w:ascii="Courier New" w:hAnsi="Courier New" w:cs="Courier New" w:hint="default"/>
      </w:rPr>
    </w:lvl>
    <w:lvl w:ilvl="2" w:tplc="5D6A348C" w:tentative="1">
      <w:start w:val="1"/>
      <w:numFmt w:val="bullet"/>
      <w:lvlText w:val=""/>
      <w:lvlJc w:val="left"/>
      <w:pPr>
        <w:tabs>
          <w:tab w:val="num" w:pos="2160"/>
        </w:tabs>
        <w:ind w:left="2160" w:hanging="360"/>
      </w:pPr>
      <w:rPr>
        <w:rFonts w:ascii="Wingdings" w:hAnsi="Wingdings" w:hint="default"/>
      </w:rPr>
    </w:lvl>
    <w:lvl w:ilvl="3" w:tplc="4D6C88A2" w:tentative="1">
      <w:start w:val="1"/>
      <w:numFmt w:val="bullet"/>
      <w:lvlText w:val=""/>
      <w:lvlJc w:val="left"/>
      <w:pPr>
        <w:tabs>
          <w:tab w:val="num" w:pos="2880"/>
        </w:tabs>
        <w:ind w:left="2880" w:hanging="360"/>
      </w:pPr>
      <w:rPr>
        <w:rFonts w:ascii="Symbol" w:hAnsi="Symbol" w:hint="default"/>
      </w:rPr>
    </w:lvl>
    <w:lvl w:ilvl="4" w:tplc="4FD4EB18" w:tentative="1">
      <w:start w:val="1"/>
      <w:numFmt w:val="bullet"/>
      <w:lvlText w:val="o"/>
      <w:lvlJc w:val="left"/>
      <w:pPr>
        <w:tabs>
          <w:tab w:val="num" w:pos="3600"/>
        </w:tabs>
        <w:ind w:left="3600" w:hanging="360"/>
      </w:pPr>
      <w:rPr>
        <w:rFonts w:ascii="Courier New" w:hAnsi="Courier New" w:cs="Courier New" w:hint="default"/>
      </w:rPr>
    </w:lvl>
    <w:lvl w:ilvl="5" w:tplc="BDACE76E" w:tentative="1">
      <w:start w:val="1"/>
      <w:numFmt w:val="bullet"/>
      <w:lvlText w:val=""/>
      <w:lvlJc w:val="left"/>
      <w:pPr>
        <w:tabs>
          <w:tab w:val="num" w:pos="4320"/>
        </w:tabs>
        <w:ind w:left="4320" w:hanging="360"/>
      </w:pPr>
      <w:rPr>
        <w:rFonts w:ascii="Wingdings" w:hAnsi="Wingdings" w:hint="default"/>
      </w:rPr>
    </w:lvl>
    <w:lvl w:ilvl="6" w:tplc="06F2AB44" w:tentative="1">
      <w:start w:val="1"/>
      <w:numFmt w:val="bullet"/>
      <w:lvlText w:val=""/>
      <w:lvlJc w:val="left"/>
      <w:pPr>
        <w:tabs>
          <w:tab w:val="num" w:pos="5040"/>
        </w:tabs>
        <w:ind w:left="5040" w:hanging="360"/>
      </w:pPr>
      <w:rPr>
        <w:rFonts w:ascii="Symbol" w:hAnsi="Symbol" w:hint="default"/>
      </w:rPr>
    </w:lvl>
    <w:lvl w:ilvl="7" w:tplc="E5C09B5A" w:tentative="1">
      <w:start w:val="1"/>
      <w:numFmt w:val="bullet"/>
      <w:lvlText w:val="o"/>
      <w:lvlJc w:val="left"/>
      <w:pPr>
        <w:tabs>
          <w:tab w:val="num" w:pos="5760"/>
        </w:tabs>
        <w:ind w:left="5760" w:hanging="360"/>
      </w:pPr>
      <w:rPr>
        <w:rFonts w:ascii="Courier New" w:hAnsi="Courier New" w:cs="Courier New" w:hint="default"/>
      </w:rPr>
    </w:lvl>
    <w:lvl w:ilvl="8" w:tplc="3F7254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8503A06">
      <w:start w:val="1"/>
      <w:numFmt w:val="decimal"/>
      <w:lvlText w:val="%1)"/>
      <w:lvlJc w:val="left"/>
      <w:pPr>
        <w:tabs>
          <w:tab w:val="num" w:pos="340"/>
        </w:tabs>
        <w:ind w:left="340" w:hanging="340"/>
      </w:pPr>
      <w:rPr>
        <w:rFonts w:hint="default"/>
      </w:rPr>
    </w:lvl>
    <w:lvl w:ilvl="1" w:tplc="8638AE54" w:tentative="1">
      <w:start w:val="1"/>
      <w:numFmt w:val="lowerLetter"/>
      <w:lvlText w:val="%2."/>
      <w:lvlJc w:val="left"/>
      <w:pPr>
        <w:tabs>
          <w:tab w:val="num" w:pos="1440"/>
        </w:tabs>
        <w:ind w:left="1440" w:hanging="360"/>
      </w:pPr>
    </w:lvl>
    <w:lvl w:ilvl="2" w:tplc="50AEBB42" w:tentative="1">
      <w:start w:val="1"/>
      <w:numFmt w:val="lowerRoman"/>
      <w:lvlText w:val="%3."/>
      <w:lvlJc w:val="right"/>
      <w:pPr>
        <w:tabs>
          <w:tab w:val="num" w:pos="2160"/>
        </w:tabs>
        <w:ind w:left="2160" w:hanging="180"/>
      </w:pPr>
    </w:lvl>
    <w:lvl w:ilvl="3" w:tplc="7D3E3BD0" w:tentative="1">
      <w:start w:val="1"/>
      <w:numFmt w:val="decimal"/>
      <w:lvlText w:val="%4."/>
      <w:lvlJc w:val="left"/>
      <w:pPr>
        <w:tabs>
          <w:tab w:val="num" w:pos="2880"/>
        </w:tabs>
        <w:ind w:left="2880" w:hanging="360"/>
      </w:pPr>
    </w:lvl>
    <w:lvl w:ilvl="4" w:tplc="18C0BF02" w:tentative="1">
      <w:start w:val="1"/>
      <w:numFmt w:val="lowerLetter"/>
      <w:lvlText w:val="%5."/>
      <w:lvlJc w:val="left"/>
      <w:pPr>
        <w:tabs>
          <w:tab w:val="num" w:pos="3600"/>
        </w:tabs>
        <w:ind w:left="3600" w:hanging="360"/>
      </w:pPr>
    </w:lvl>
    <w:lvl w:ilvl="5" w:tplc="4DA070B0" w:tentative="1">
      <w:start w:val="1"/>
      <w:numFmt w:val="lowerRoman"/>
      <w:lvlText w:val="%6."/>
      <w:lvlJc w:val="right"/>
      <w:pPr>
        <w:tabs>
          <w:tab w:val="num" w:pos="4320"/>
        </w:tabs>
        <w:ind w:left="4320" w:hanging="180"/>
      </w:pPr>
    </w:lvl>
    <w:lvl w:ilvl="6" w:tplc="8D7EC034" w:tentative="1">
      <w:start w:val="1"/>
      <w:numFmt w:val="decimal"/>
      <w:lvlText w:val="%7."/>
      <w:lvlJc w:val="left"/>
      <w:pPr>
        <w:tabs>
          <w:tab w:val="num" w:pos="5040"/>
        </w:tabs>
        <w:ind w:left="5040" w:hanging="360"/>
      </w:pPr>
    </w:lvl>
    <w:lvl w:ilvl="7" w:tplc="2CCCF47E" w:tentative="1">
      <w:start w:val="1"/>
      <w:numFmt w:val="lowerLetter"/>
      <w:lvlText w:val="%8."/>
      <w:lvlJc w:val="left"/>
      <w:pPr>
        <w:tabs>
          <w:tab w:val="num" w:pos="5760"/>
        </w:tabs>
        <w:ind w:left="5760" w:hanging="360"/>
      </w:pPr>
    </w:lvl>
    <w:lvl w:ilvl="8" w:tplc="30466DD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AA0BAF6">
      <w:start w:val="1"/>
      <w:numFmt w:val="decimal"/>
      <w:lvlText w:val="%1."/>
      <w:lvlJc w:val="left"/>
      <w:pPr>
        <w:tabs>
          <w:tab w:val="num" w:pos="1057"/>
        </w:tabs>
        <w:ind w:left="1057" w:hanging="360"/>
      </w:pPr>
      <w:rPr>
        <w:rFonts w:hint="default"/>
      </w:rPr>
    </w:lvl>
    <w:lvl w:ilvl="1" w:tplc="EF845E68" w:tentative="1">
      <w:start w:val="1"/>
      <w:numFmt w:val="lowerLetter"/>
      <w:lvlText w:val="%2."/>
      <w:lvlJc w:val="left"/>
      <w:pPr>
        <w:tabs>
          <w:tab w:val="num" w:pos="2137"/>
        </w:tabs>
        <w:ind w:left="2137" w:hanging="360"/>
      </w:pPr>
    </w:lvl>
    <w:lvl w:ilvl="2" w:tplc="278A5040" w:tentative="1">
      <w:start w:val="1"/>
      <w:numFmt w:val="lowerRoman"/>
      <w:lvlText w:val="%3."/>
      <w:lvlJc w:val="right"/>
      <w:pPr>
        <w:tabs>
          <w:tab w:val="num" w:pos="2857"/>
        </w:tabs>
        <w:ind w:left="2857" w:hanging="180"/>
      </w:pPr>
    </w:lvl>
    <w:lvl w:ilvl="3" w:tplc="2B2CA6F0" w:tentative="1">
      <w:start w:val="1"/>
      <w:numFmt w:val="decimal"/>
      <w:lvlText w:val="%4."/>
      <w:lvlJc w:val="left"/>
      <w:pPr>
        <w:tabs>
          <w:tab w:val="num" w:pos="3577"/>
        </w:tabs>
        <w:ind w:left="3577" w:hanging="360"/>
      </w:pPr>
    </w:lvl>
    <w:lvl w:ilvl="4" w:tplc="E8605702" w:tentative="1">
      <w:start w:val="1"/>
      <w:numFmt w:val="lowerLetter"/>
      <w:lvlText w:val="%5."/>
      <w:lvlJc w:val="left"/>
      <w:pPr>
        <w:tabs>
          <w:tab w:val="num" w:pos="4297"/>
        </w:tabs>
        <w:ind w:left="4297" w:hanging="360"/>
      </w:pPr>
    </w:lvl>
    <w:lvl w:ilvl="5" w:tplc="3B5EF3C2" w:tentative="1">
      <w:start w:val="1"/>
      <w:numFmt w:val="lowerRoman"/>
      <w:lvlText w:val="%6."/>
      <w:lvlJc w:val="right"/>
      <w:pPr>
        <w:tabs>
          <w:tab w:val="num" w:pos="5017"/>
        </w:tabs>
        <w:ind w:left="5017" w:hanging="180"/>
      </w:pPr>
    </w:lvl>
    <w:lvl w:ilvl="6" w:tplc="F76475DA" w:tentative="1">
      <w:start w:val="1"/>
      <w:numFmt w:val="decimal"/>
      <w:lvlText w:val="%7."/>
      <w:lvlJc w:val="left"/>
      <w:pPr>
        <w:tabs>
          <w:tab w:val="num" w:pos="5737"/>
        </w:tabs>
        <w:ind w:left="5737" w:hanging="360"/>
      </w:pPr>
    </w:lvl>
    <w:lvl w:ilvl="7" w:tplc="C39A8826" w:tentative="1">
      <w:start w:val="1"/>
      <w:numFmt w:val="lowerLetter"/>
      <w:lvlText w:val="%8."/>
      <w:lvlJc w:val="left"/>
      <w:pPr>
        <w:tabs>
          <w:tab w:val="num" w:pos="6457"/>
        </w:tabs>
        <w:ind w:left="6457" w:hanging="360"/>
      </w:pPr>
    </w:lvl>
    <w:lvl w:ilvl="8" w:tplc="8B1E695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EE6E710">
      <w:start w:val="1"/>
      <w:numFmt w:val="decimal"/>
      <w:pStyle w:val="ATSNumber1"/>
      <w:lvlText w:val="%1)"/>
      <w:lvlJc w:val="left"/>
      <w:pPr>
        <w:tabs>
          <w:tab w:val="num" w:pos="720"/>
        </w:tabs>
        <w:ind w:left="720" w:hanging="360"/>
      </w:pPr>
    </w:lvl>
    <w:lvl w:ilvl="1" w:tplc="CDD86040" w:tentative="1">
      <w:start w:val="1"/>
      <w:numFmt w:val="lowerLetter"/>
      <w:lvlText w:val="%2."/>
      <w:lvlJc w:val="left"/>
      <w:pPr>
        <w:tabs>
          <w:tab w:val="num" w:pos="1440"/>
        </w:tabs>
        <w:ind w:left="1440" w:hanging="360"/>
      </w:pPr>
    </w:lvl>
    <w:lvl w:ilvl="2" w:tplc="08C6F7E2" w:tentative="1">
      <w:start w:val="1"/>
      <w:numFmt w:val="lowerRoman"/>
      <w:lvlText w:val="%3."/>
      <w:lvlJc w:val="right"/>
      <w:pPr>
        <w:tabs>
          <w:tab w:val="num" w:pos="2160"/>
        </w:tabs>
        <w:ind w:left="2160" w:hanging="180"/>
      </w:pPr>
    </w:lvl>
    <w:lvl w:ilvl="3" w:tplc="5DD4ED60" w:tentative="1">
      <w:start w:val="1"/>
      <w:numFmt w:val="decimal"/>
      <w:lvlText w:val="%4."/>
      <w:lvlJc w:val="left"/>
      <w:pPr>
        <w:tabs>
          <w:tab w:val="num" w:pos="2880"/>
        </w:tabs>
        <w:ind w:left="2880" w:hanging="360"/>
      </w:pPr>
    </w:lvl>
    <w:lvl w:ilvl="4" w:tplc="281AC7EE" w:tentative="1">
      <w:start w:val="1"/>
      <w:numFmt w:val="lowerLetter"/>
      <w:lvlText w:val="%5."/>
      <w:lvlJc w:val="left"/>
      <w:pPr>
        <w:tabs>
          <w:tab w:val="num" w:pos="3600"/>
        </w:tabs>
        <w:ind w:left="3600" w:hanging="360"/>
      </w:pPr>
    </w:lvl>
    <w:lvl w:ilvl="5" w:tplc="6E5C4DBE" w:tentative="1">
      <w:start w:val="1"/>
      <w:numFmt w:val="lowerRoman"/>
      <w:lvlText w:val="%6."/>
      <w:lvlJc w:val="right"/>
      <w:pPr>
        <w:tabs>
          <w:tab w:val="num" w:pos="4320"/>
        </w:tabs>
        <w:ind w:left="4320" w:hanging="180"/>
      </w:pPr>
    </w:lvl>
    <w:lvl w:ilvl="6" w:tplc="F452A70A" w:tentative="1">
      <w:start w:val="1"/>
      <w:numFmt w:val="decimal"/>
      <w:lvlText w:val="%7."/>
      <w:lvlJc w:val="left"/>
      <w:pPr>
        <w:tabs>
          <w:tab w:val="num" w:pos="5040"/>
        </w:tabs>
        <w:ind w:left="5040" w:hanging="360"/>
      </w:pPr>
    </w:lvl>
    <w:lvl w:ilvl="7" w:tplc="CC881F46" w:tentative="1">
      <w:start w:val="1"/>
      <w:numFmt w:val="lowerLetter"/>
      <w:lvlText w:val="%8."/>
      <w:lvlJc w:val="left"/>
      <w:pPr>
        <w:tabs>
          <w:tab w:val="num" w:pos="5760"/>
        </w:tabs>
        <w:ind w:left="5760" w:hanging="360"/>
      </w:pPr>
    </w:lvl>
    <w:lvl w:ilvl="8" w:tplc="3BFA32A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1160C3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7D41134" w:tentative="1">
      <w:start w:val="1"/>
      <w:numFmt w:val="bullet"/>
      <w:lvlText w:val="o"/>
      <w:lvlJc w:val="left"/>
      <w:pPr>
        <w:tabs>
          <w:tab w:val="num" w:pos="2517"/>
        </w:tabs>
        <w:ind w:left="2517" w:hanging="360"/>
      </w:pPr>
      <w:rPr>
        <w:rFonts w:ascii="Courier New" w:hAnsi="Courier New" w:cs="Courier New" w:hint="default"/>
      </w:rPr>
    </w:lvl>
    <w:lvl w:ilvl="2" w:tplc="5FB63808" w:tentative="1">
      <w:start w:val="1"/>
      <w:numFmt w:val="bullet"/>
      <w:lvlText w:val=""/>
      <w:lvlJc w:val="left"/>
      <w:pPr>
        <w:tabs>
          <w:tab w:val="num" w:pos="3237"/>
        </w:tabs>
        <w:ind w:left="3237" w:hanging="360"/>
      </w:pPr>
      <w:rPr>
        <w:rFonts w:ascii="Wingdings" w:hAnsi="Wingdings" w:hint="default"/>
      </w:rPr>
    </w:lvl>
    <w:lvl w:ilvl="3" w:tplc="EF14694C" w:tentative="1">
      <w:start w:val="1"/>
      <w:numFmt w:val="bullet"/>
      <w:lvlText w:val=""/>
      <w:lvlJc w:val="left"/>
      <w:pPr>
        <w:tabs>
          <w:tab w:val="num" w:pos="3957"/>
        </w:tabs>
        <w:ind w:left="3957" w:hanging="360"/>
      </w:pPr>
      <w:rPr>
        <w:rFonts w:ascii="Symbol" w:hAnsi="Symbol" w:hint="default"/>
      </w:rPr>
    </w:lvl>
    <w:lvl w:ilvl="4" w:tplc="E424CCEA" w:tentative="1">
      <w:start w:val="1"/>
      <w:numFmt w:val="bullet"/>
      <w:lvlText w:val="o"/>
      <w:lvlJc w:val="left"/>
      <w:pPr>
        <w:tabs>
          <w:tab w:val="num" w:pos="4677"/>
        </w:tabs>
        <w:ind w:left="4677" w:hanging="360"/>
      </w:pPr>
      <w:rPr>
        <w:rFonts w:ascii="Courier New" w:hAnsi="Courier New" w:cs="Courier New" w:hint="default"/>
      </w:rPr>
    </w:lvl>
    <w:lvl w:ilvl="5" w:tplc="C3D0B132" w:tentative="1">
      <w:start w:val="1"/>
      <w:numFmt w:val="bullet"/>
      <w:lvlText w:val=""/>
      <w:lvlJc w:val="left"/>
      <w:pPr>
        <w:tabs>
          <w:tab w:val="num" w:pos="5397"/>
        </w:tabs>
        <w:ind w:left="5397" w:hanging="360"/>
      </w:pPr>
      <w:rPr>
        <w:rFonts w:ascii="Wingdings" w:hAnsi="Wingdings" w:hint="default"/>
      </w:rPr>
    </w:lvl>
    <w:lvl w:ilvl="6" w:tplc="5062599C" w:tentative="1">
      <w:start w:val="1"/>
      <w:numFmt w:val="bullet"/>
      <w:lvlText w:val=""/>
      <w:lvlJc w:val="left"/>
      <w:pPr>
        <w:tabs>
          <w:tab w:val="num" w:pos="6117"/>
        </w:tabs>
        <w:ind w:left="6117" w:hanging="360"/>
      </w:pPr>
      <w:rPr>
        <w:rFonts w:ascii="Symbol" w:hAnsi="Symbol" w:hint="default"/>
      </w:rPr>
    </w:lvl>
    <w:lvl w:ilvl="7" w:tplc="0F20A7B2" w:tentative="1">
      <w:start w:val="1"/>
      <w:numFmt w:val="bullet"/>
      <w:lvlText w:val="o"/>
      <w:lvlJc w:val="left"/>
      <w:pPr>
        <w:tabs>
          <w:tab w:val="num" w:pos="6837"/>
        </w:tabs>
        <w:ind w:left="6837" w:hanging="360"/>
      </w:pPr>
      <w:rPr>
        <w:rFonts w:ascii="Courier New" w:hAnsi="Courier New" w:cs="Courier New" w:hint="default"/>
      </w:rPr>
    </w:lvl>
    <w:lvl w:ilvl="8" w:tplc="F45C196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2A07D5E">
      <w:start w:val="1"/>
      <w:numFmt w:val="decimal"/>
      <w:pStyle w:val="ATSNumber2"/>
      <w:lvlText w:val="%1."/>
      <w:lvlJc w:val="left"/>
      <w:pPr>
        <w:tabs>
          <w:tab w:val="num" w:pos="720"/>
        </w:tabs>
        <w:ind w:left="720" w:hanging="360"/>
      </w:pPr>
      <w:rPr>
        <w:rFonts w:hint="default"/>
      </w:rPr>
    </w:lvl>
    <w:lvl w:ilvl="1" w:tplc="F85691FA" w:tentative="1">
      <w:start w:val="1"/>
      <w:numFmt w:val="lowerLetter"/>
      <w:lvlText w:val="%2."/>
      <w:lvlJc w:val="left"/>
      <w:pPr>
        <w:tabs>
          <w:tab w:val="num" w:pos="1440"/>
        </w:tabs>
        <w:ind w:left="1440" w:hanging="360"/>
      </w:pPr>
    </w:lvl>
    <w:lvl w:ilvl="2" w:tplc="BEF8BCD2" w:tentative="1">
      <w:start w:val="1"/>
      <w:numFmt w:val="lowerRoman"/>
      <w:lvlText w:val="%3."/>
      <w:lvlJc w:val="right"/>
      <w:pPr>
        <w:tabs>
          <w:tab w:val="num" w:pos="2160"/>
        </w:tabs>
        <w:ind w:left="2160" w:hanging="180"/>
      </w:pPr>
    </w:lvl>
    <w:lvl w:ilvl="3" w:tplc="51E6623E" w:tentative="1">
      <w:start w:val="1"/>
      <w:numFmt w:val="decimal"/>
      <w:lvlText w:val="%4."/>
      <w:lvlJc w:val="left"/>
      <w:pPr>
        <w:tabs>
          <w:tab w:val="num" w:pos="2880"/>
        </w:tabs>
        <w:ind w:left="2880" w:hanging="360"/>
      </w:pPr>
    </w:lvl>
    <w:lvl w:ilvl="4" w:tplc="8468FE42" w:tentative="1">
      <w:start w:val="1"/>
      <w:numFmt w:val="lowerLetter"/>
      <w:lvlText w:val="%5."/>
      <w:lvlJc w:val="left"/>
      <w:pPr>
        <w:tabs>
          <w:tab w:val="num" w:pos="3600"/>
        </w:tabs>
        <w:ind w:left="3600" w:hanging="360"/>
      </w:pPr>
    </w:lvl>
    <w:lvl w:ilvl="5" w:tplc="BEAC3D24" w:tentative="1">
      <w:start w:val="1"/>
      <w:numFmt w:val="lowerRoman"/>
      <w:lvlText w:val="%6."/>
      <w:lvlJc w:val="right"/>
      <w:pPr>
        <w:tabs>
          <w:tab w:val="num" w:pos="4320"/>
        </w:tabs>
        <w:ind w:left="4320" w:hanging="180"/>
      </w:pPr>
    </w:lvl>
    <w:lvl w:ilvl="6" w:tplc="F976BFF2" w:tentative="1">
      <w:start w:val="1"/>
      <w:numFmt w:val="decimal"/>
      <w:lvlText w:val="%7."/>
      <w:lvlJc w:val="left"/>
      <w:pPr>
        <w:tabs>
          <w:tab w:val="num" w:pos="5040"/>
        </w:tabs>
        <w:ind w:left="5040" w:hanging="360"/>
      </w:pPr>
    </w:lvl>
    <w:lvl w:ilvl="7" w:tplc="2280EF2C" w:tentative="1">
      <w:start w:val="1"/>
      <w:numFmt w:val="lowerLetter"/>
      <w:lvlText w:val="%8."/>
      <w:lvlJc w:val="left"/>
      <w:pPr>
        <w:tabs>
          <w:tab w:val="num" w:pos="5760"/>
        </w:tabs>
        <w:ind w:left="5760" w:hanging="360"/>
      </w:pPr>
    </w:lvl>
    <w:lvl w:ilvl="8" w:tplc="EF2AC50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87"/>
    <w:rsid w:val="002E7B03"/>
    <w:rsid w:val="00AB78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87F01"/>
  <w15:chartTrackingRefBased/>
  <w15:docId w15:val="{CB1AD2F7-6C16-42DA-BFC0-B0AB2AB0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2E7B03"/>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a.gs/resources/i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1160</Words>
  <Characters>6223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2021-04-30T14:00:00Z</dcterms:modified>
</cp:coreProperties>
</file>