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2C46" w14:textId="77777777" w:rsidR="00C26F2D" w:rsidRPr="00BF077B" w:rsidRDefault="00592356" w:rsidP="00BF077B">
      <w:pPr>
        <w:pStyle w:val="ATSNormal"/>
        <w:rPr>
          <w:rStyle w:val="Ttulodellibro"/>
        </w:rPr>
      </w:pPr>
    </w:p>
    <w:p w14:paraId="5E435990" w14:textId="77777777" w:rsidR="002F0A13" w:rsidRDefault="00592356" w:rsidP="004B4A60">
      <w:pPr>
        <w:rPr>
          <w:b/>
          <w:u w:val="single"/>
          <w:lang w:val="es-ES_tradnl"/>
        </w:rPr>
      </w:pPr>
    </w:p>
    <w:p w14:paraId="58CFC4E0" w14:textId="77777777" w:rsidR="002F0A13" w:rsidRDefault="00592356" w:rsidP="004B4A60">
      <w:pPr>
        <w:rPr>
          <w:b/>
          <w:u w:val="single"/>
          <w:lang w:val="es-ES_tradnl"/>
        </w:rPr>
      </w:pPr>
    </w:p>
    <w:p w14:paraId="35C09DDE" w14:textId="77777777" w:rsidR="002F0A13" w:rsidRDefault="00592356" w:rsidP="004B4A60">
      <w:pPr>
        <w:rPr>
          <w:b/>
          <w:u w:val="single"/>
          <w:lang w:val="es-ES_tradnl"/>
        </w:rPr>
      </w:pPr>
    </w:p>
    <w:p w14:paraId="397514FB" w14:textId="77777777" w:rsidR="002F0A13" w:rsidRDefault="00592356" w:rsidP="004B4A60">
      <w:pPr>
        <w:rPr>
          <w:b/>
          <w:u w:val="single"/>
          <w:lang w:val="es-ES_tradnl"/>
        </w:rPr>
      </w:pPr>
    </w:p>
    <w:p w14:paraId="5BB2B806" w14:textId="77777777" w:rsidR="00C26F2D" w:rsidRDefault="00592356" w:rsidP="004B4A60">
      <w:pPr>
        <w:rPr>
          <w:b/>
          <w:u w:val="single"/>
          <w:lang w:val="es-ES_tradnl"/>
        </w:rPr>
      </w:pPr>
    </w:p>
    <w:p w14:paraId="724AAC06" w14:textId="48DC5C24" w:rsidR="004B4A60" w:rsidRPr="0057246E" w:rsidRDefault="00592356" w:rsidP="001B789F">
      <w:pPr>
        <w:pStyle w:val="ATSTitle"/>
      </w:pPr>
      <w:bookmarkStart w:id="0" w:name="name"/>
      <w:r>
        <w:t xml:space="preserve">Reformatting of the list of Historic Sites and Monuments in line with </w:t>
      </w:r>
      <w:r>
        <w:br/>
      </w:r>
      <w:r>
        <w:t>Decision 1 (2019)</w:t>
      </w:r>
      <w:bookmarkEnd w:id="0"/>
    </w:p>
    <w:p w14:paraId="35B646F6" w14:textId="77777777" w:rsidR="004B4A60" w:rsidRPr="0057246E" w:rsidRDefault="00592356" w:rsidP="00F75424">
      <w:pPr>
        <w:jc w:val="center"/>
      </w:pPr>
    </w:p>
    <w:p w14:paraId="2CCD0AAF" w14:textId="77777777" w:rsidR="004B4A60" w:rsidRPr="002F0A13" w:rsidRDefault="00592356" w:rsidP="002F0A13"/>
    <w:p w14:paraId="511FA1B5" w14:textId="77777777" w:rsidR="004B4A60" w:rsidRDefault="00592356" w:rsidP="00F75424">
      <w:pPr>
        <w:jc w:val="center"/>
      </w:pPr>
      <w:bookmarkStart w:id="1" w:name="memo"/>
      <w:bookmarkEnd w:id="1"/>
    </w:p>
    <w:p w14:paraId="458B7731" w14:textId="77777777" w:rsidR="0097629D" w:rsidRDefault="00592356" w:rsidP="00F75424">
      <w:pPr>
        <w:jc w:val="center"/>
      </w:pPr>
    </w:p>
    <w:p w14:paraId="126875DC" w14:textId="77777777" w:rsidR="0097629D" w:rsidRDefault="00592356" w:rsidP="00F75424">
      <w:pPr>
        <w:jc w:val="center"/>
      </w:pPr>
    </w:p>
    <w:p w14:paraId="4C7E3158" w14:textId="77777777" w:rsidR="0097629D" w:rsidRDefault="00592356" w:rsidP="00F75424">
      <w:pPr>
        <w:jc w:val="center"/>
      </w:pPr>
    </w:p>
    <w:p w14:paraId="2037CE31" w14:textId="77777777" w:rsidR="0097629D" w:rsidRPr="00C26F2D" w:rsidRDefault="00592356" w:rsidP="00F75424">
      <w:pPr>
        <w:jc w:val="center"/>
      </w:pPr>
    </w:p>
    <w:p w14:paraId="17EE03BF" w14:textId="77777777" w:rsidR="004B4A60" w:rsidRPr="0057246E" w:rsidRDefault="00592356" w:rsidP="004B4A60"/>
    <w:p w14:paraId="211276FA" w14:textId="77777777" w:rsidR="00C26F2D" w:rsidRDefault="00592356"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14E9407" w14:textId="77777777" w:rsidR="00DA1B70" w:rsidRPr="00857DF8" w:rsidRDefault="00DA1B70" w:rsidP="00DA1B70">
      <w:pPr>
        <w:pStyle w:val="ATSHeading1"/>
      </w:pPr>
      <w:r w:rsidRPr="00857DF8">
        <w:lastRenderedPageBreak/>
        <w:t>Reformatting of the list of Historic Sites and Monuments in line with Decision 1 (2019)</w:t>
      </w:r>
    </w:p>
    <w:p w14:paraId="0E917D6E" w14:textId="77777777" w:rsidR="00DA1B70" w:rsidRDefault="00DA1B70" w:rsidP="00DA1B70">
      <w:pPr>
        <w:jc w:val="center"/>
        <w:rPr>
          <w:b/>
          <w:lang w:val="en-US"/>
        </w:rPr>
      </w:pPr>
      <w:r>
        <w:rPr>
          <w:b/>
          <w:lang w:val="en-US"/>
        </w:rPr>
        <w:t xml:space="preserve">Submitted </w:t>
      </w:r>
      <w:proofErr w:type="gramStart"/>
      <w:r>
        <w:rPr>
          <w:b/>
          <w:lang w:val="en-US"/>
        </w:rPr>
        <w:t>by:</w:t>
      </w:r>
      <w:proofErr w:type="gramEnd"/>
      <w:r>
        <w:rPr>
          <w:b/>
          <w:lang w:val="en-US"/>
        </w:rPr>
        <w:t xml:space="preserve"> Argentina, Norway and United Kingdom</w:t>
      </w:r>
    </w:p>
    <w:p w14:paraId="7E8590DE" w14:textId="77777777" w:rsidR="00DA1B70" w:rsidRDefault="00DA1B70" w:rsidP="00DA1B70">
      <w:pPr>
        <w:jc w:val="both"/>
        <w:rPr>
          <w:b/>
          <w:lang w:val="en-US"/>
        </w:rPr>
      </w:pPr>
    </w:p>
    <w:p w14:paraId="65137F6B" w14:textId="77777777" w:rsidR="00DA1B70" w:rsidRDefault="00DA1B70" w:rsidP="00DA1B70">
      <w:pPr>
        <w:jc w:val="both"/>
        <w:rPr>
          <w:b/>
          <w:lang w:val="en-US"/>
        </w:rPr>
      </w:pPr>
    </w:p>
    <w:p w14:paraId="380C25EE" w14:textId="77777777" w:rsidR="00DA1B70" w:rsidRDefault="00DA1B70" w:rsidP="00DA1B70">
      <w:pPr>
        <w:jc w:val="both"/>
        <w:rPr>
          <w:b/>
          <w:lang w:val="en-US"/>
        </w:rPr>
      </w:pPr>
    </w:p>
    <w:p w14:paraId="4517F12E" w14:textId="77777777" w:rsidR="00DA1B70" w:rsidRPr="0033666E" w:rsidRDefault="00DA1B70" w:rsidP="00DA1B70">
      <w:pPr>
        <w:jc w:val="both"/>
        <w:rPr>
          <w:b/>
          <w:lang w:val="en-US"/>
        </w:rPr>
      </w:pPr>
      <w:r w:rsidRPr="0033666E">
        <w:rPr>
          <w:b/>
          <w:lang w:val="en-US"/>
        </w:rPr>
        <w:t>Background</w:t>
      </w:r>
    </w:p>
    <w:p w14:paraId="428C43C2" w14:textId="77777777" w:rsidR="00DA1B70" w:rsidRDefault="00DA1B70" w:rsidP="00DA1B70">
      <w:pPr>
        <w:jc w:val="both"/>
        <w:rPr>
          <w:lang w:val="en-US"/>
        </w:rPr>
      </w:pPr>
      <w:r>
        <w:rPr>
          <w:lang w:val="en-US"/>
        </w:rPr>
        <w:t>ATCM XLII (</w:t>
      </w:r>
      <w:r w:rsidRPr="00770F0C">
        <w:rPr>
          <w:lang w:val="en-US"/>
        </w:rPr>
        <w:t>2019</w:t>
      </w:r>
      <w:r>
        <w:rPr>
          <w:lang w:val="en-US"/>
        </w:rPr>
        <w:t>)</w:t>
      </w:r>
      <w:r w:rsidRPr="00770F0C">
        <w:rPr>
          <w:lang w:val="en-US"/>
        </w:rPr>
        <w:t xml:space="preserve"> agreed to </w:t>
      </w:r>
      <w:r w:rsidRPr="004D5008">
        <w:t>the incorporation of new fields of information to the list of Historic Sites and Monuments (HSMs)</w:t>
      </w:r>
      <w:r w:rsidRPr="00770F0C">
        <w:rPr>
          <w:lang w:val="en-US"/>
        </w:rPr>
        <w:t xml:space="preserve">, as set out in </w:t>
      </w:r>
      <w:hyperlink r:id="rId11" w:history="1">
        <w:r w:rsidRPr="00303BFF">
          <w:rPr>
            <w:rStyle w:val="Hipervnculo"/>
            <w:lang w:val="en-US"/>
          </w:rPr>
          <w:t>Decision 1 (2019)</w:t>
        </w:r>
      </w:hyperlink>
      <w:r w:rsidRPr="00770F0C">
        <w:rPr>
          <w:lang w:val="en-US"/>
        </w:rPr>
        <w:t xml:space="preserve">, in order to ensure consistency, be more informative and align with recent developments in HSM policies and discussions amongst Parties. Further background information and analysis providing the background for this discussion is found in </w:t>
      </w:r>
      <w:r>
        <w:rPr>
          <w:lang w:val="en-US"/>
        </w:rPr>
        <w:t xml:space="preserve">ATCM XLII </w:t>
      </w:r>
      <w:r w:rsidRPr="00770F0C">
        <w:rPr>
          <w:lang w:val="en-US"/>
        </w:rPr>
        <w:t>WP 65 submitted by Argentina.</w:t>
      </w:r>
    </w:p>
    <w:p w14:paraId="1A103F59" w14:textId="77777777" w:rsidR="00DA1B70" w:rsidRPr="0033666E" w:rsidRDefault="00DA1B70" w:rsidP="00DA1B70">
      <w:pPr>
        <w:jc w:val="both"/>
        <w:rPr>
          <w:lang w:val="en-US"/>
        </w:rPr>
      </w:pPr>
      <w:r>
        <w:rPr>
          <w:lang w:val="en-US"/>
        </w:rPr>
        <w:t xml:space="preserve"> </w:t>
      </w:r>
    </w:p>
    <w:p w14:paraId="7C5AF2F3" w14:textId="77777777" w:rsidR="00DA1B70" w:rsidRDefault="00DA1B70" w:rsidP="00DA1B70">
      <w:pPr>
        <w:jc w:val="both"/>
        <w:rPr>
          <w:lang w:val="en-US"/>
        </w:rPr>
      </w:pPr>
      <w:r w:rsidRPr="00F77604">
        <w:rPr>
          <w:lang w:val="en-US"/>
        </w:rPr>
        <w:t>Decision 1 (2019) specifie</w:t>
      </w:r>
      <w:r>
        <w:rPr>
          <w:lang w:val="en-US"/>
        </w:rPr>
        <w:t>s</w:t>
      </w:r>
      <w:r w:rsidRPr="00F77604">
        <w:rPr>
          <w:lang w:val="en-US"/>
        </w:rPr>
        <w:t xml:space="preserve"> that the following new fields of information </w:t>
      </w:r>
      <w:r>
        <w:rPr>
          <w:lang w:val="en-US"/>
        </w:rPr>
        <w:t>shall</w:t>
      </w:r>
      <w:r w:rsidRPr="00F77604">
        <w:rPr>
          <w:lang w:val="en-US"/>
        </w:rPr>
        <w:t xml:space="preserve"> be included in the list, in addition to the existing fields of “No.”, “Description”, “Location” and </w:t>
      </w:r>
      <w:r>
        <w:rPr>
          <w:lang w:val="en-US"/>
        </w:rPr>
        <w:t>“</w:t>
      </w:r>
      <w:r w:rsidRPr="00F77604">
        <w:rPr>
          <w:lang w:val="en-US"/>
        </w:rPr>
        <w:t>Designation/Amendment”:</w:t>
      </w:r>
    </w:p>
    <w:p w14:paraId="48274844" w14:textId="77777777" w:rsidR="00DA1B70" w:rsidRPr="00F77604" w:rsidRDefault="00DA1B70" w:rsidP="00DA1B70">
      <w:pPr>
        <w:jc w:val="both"/>
        <w:rPr>
          <w:lang w:val="en-US"/>
        </w:rPr>
      </w:pPr>
    </w:p>
    <w:p w14:paraId="260C3970" w14:textId="77777777" w:rsidR="00DA1B70" w:rsidRDefault="00DA1B70" w:rsidP="00DA1B70">
      <w:pPr>
        <w:rPr>
          <w:lang w:val="en-US"/>
        </w:rPr>
      </w:pPr>
      <w:r w:rsidRPr="00F77604">
        <w:rPr>
          <w:lang w:val="en-US"/>
        </w:rPr>
        <w:t>a. Name;</w:t>
      </w:r>
      <w:r w:rsidRPr="00F77604">
        <w:rPr>
          <w:lang w:val="en-US"/>
        </w:rPr>
        <w:br/>
        <w:t>b. Type;</w:t>
      </w:r>
      <w:r w:rsidRPr="00F77604">
        <w:rPr>
          <w:lang w:val="en-US"/>
        </w:rPr>
        <w:br/>
        <w:t>c. Conservation status;</w:t>
      </w:r>
      <w:r w:rsidRPr="00F77604">
        <w:rPr>
          <w:lang w:val="en-US"/>
        </w:rPr>
        <w:br/>
        <w:t>d. Description of the historical context;</w:t>
      </w:r>
      <w:r w:rsidRPr="00F77604">
        <w:rPr>
          <w:lang w:val="en-US"/>
        </w:rPr>
        <w:br/>
        <w:t>e. Applicable criteria in accordance with Resolution 3 (2009);</w:t>
      </w:r>
      <w:r w:rsidRPr="00F77604">
        <w:rPr>
          <w:lang w:val="en-US"/>
        </w:rPr>
        <w:br/>
        <w:t>f. Management tools;</w:t>
      </w:r>
      <w:r w:rsidRPr="00F77604">
        <w:rPr>
          <w:lang w:val="en-US"/>
        </w:rPr>
        <w:br/>
        <w:t>g. Photo</w:t>
      </w:r>
      <w:r>
        <w:rPr>
          <w:lang w:val="en-US"/>
        </w:rPr>
        <w:t>graph</w:t>
      </w:r>
      <w:r w:rsidRPr="00F77604">
        <w:rPr>
          <w:lang w:val="en-US"/>
        </w:rPr>
        <w:t>s;</w:t>
      </w:r>
      <w:r w:rsidRPr="00F77604">
        <w:rPr>
          <w:lang w:val="en-US"/>
        </w:rPr>
        <w:br/>
        <w:t xml:space="preserve">h. Physical features of the environment and cultural and local </w:t>
      </w:r>
      <w:proofErr w:type="gramStart"/>
      <w:r w:rsidRPr="00F77604">
        <w:rPr>
          <w:lang w:val="en-US"/>
        </w:rPr>
        <w:t>context;</w:t>
      </w:r>
      <w:proofErr w:type="gramEnd"/>
    </w:p>
    <w:p w14:paraId="3E044445" w14:textId="77777777" w:rsidR="00DA1B70" w:rsidRDefault="00DA1B70" w:rsidP="00DA1B70">
      <w:pPr>
        <w:rPr>
          <w:lang w:val="en-US"/>
        </w:rPr>
      </w:pPr>
    </w:p>
    <w:p w14:paraId="44BBE8F4" w14:textId="77777777" w:rsidR="00DA1B70" w:rsidRPr="006B6AA7" w:rsidRDefault="00DA1B70" w:rsidP="00DA1B70">
      <w:pPr>
        <w:jc w:val="both"/>
        <w:rPr>
          <w:lang w:val="en-US"/>
        </w:rPr>
      </w:pPr>
      <w:r w:rsidRPr="006B6AA7">
        <w:rPr>
          <w:lang w:val="en-US"/>
        </w:rPr>
        <w:t xml:space="preserve">Decision 1 (2019) furthermore encouraged Parties to provide information for these new fields and </w:t>
      </w:r>
      <w:r>
        <w:rPr>
          <w:lang w:val="en-US"/>
        </w:rPr>
        <w:t>requested</w:t>
      </w:r>
      <w:r w:rsidRPr="006B6AA7">
        <w:rPr>
          <w:lang w:val="en-US"/>
        </w:rPr>
        <w:t xml:space="preserve"> the Secretariat to create an online forum on the Committee </w:t>
      </w:r>
      <w:r>
        <w:rPr>
          <w:lang w:val="en-US"/>
        </w:rPr>
        <w:t>for</w:t>
      </w:r>
      <w:r w:rsidRPr="006B6AA7">
        <w:rPr>
          <w:lang w:val="en-US"/>
        </w:rPr>
        <w:t xml:space="preserve"> Environmental Protection (CEP) discussion forum where Parties undertaking management </w:t>
      </w:r>
      <w:r>
        <w:rPr>
          <w:lang w:val="en-US"/>
        </w:rPr>
        <w:t>could</w:t>
      </w:r>
      <w:r w:rsidRPr="006B6AA7">
        <w:rPr>
          <w:lang w:val="en-US"/>
        </w:rPr>
        <w:t xml:space="preserve"> share information relevant to an HSM</w:t>
      </w:r>
      <w:r>
        <w:rPr>
          <w:lang w:val="en-US"/>
        </w:rPr>
        <w:t>. This was then to be used as basis</w:t>
      </w:r>
      <w:r w:rsidRPr="006B6AA7">
        <w:rPr>
          <w:lang w:val="en-US"/>
        </w:rPr>
        <w:t xml:space="preserve"> to facilitate the drafting of a Working Paper for ATCM XLIII presenting a list of the HSM</w:t>
      </w:r>
      <w:r>
        <w:rPr>
          <w:lang w:val="en-US"/>
        </w:rPr>
        <w:t>s</w:t>
      </w:r>
      <w:r w:rsidRPr="006B6AA7">
        <w:rPr>
          <w:lang w:val="en-US"/>
        </w:rPr>
        <w:t xml:space="preserve"> incorporating the new fields of information.</w:t>
      </w:r>
    </w:p>
    <w:p w14:paraId="77E4A2F7" w14:textId="77777777" w:rsidR="00DA1B70" w:rsidRPr="004D5008" w:rsidRDefault="00DA1B70" w:rsidP="00DA1B70">
      <w:pPr>
        <w:jc w:val="both"/>
        <w:rPr>
          <w:color w:val="011833"/>
        </w:rPr>
      </w:pPr>
    </w:p>
    <w:p w14:paraId="194CE521" w14:textId="77777777" w:rsidR="00DA1B70" w:rsidRPr="00F77604" w:rsidRDefault="00DA1B70" w:rsidP="00DA1B70">
      <w:pPr>
        <w:jc w:val="both"/>
        <w:rPr>
          <w:b/>
          <w:lang w:val="en-US"/>
        </w:rPr>
      </w:pPr>
      <w:r>
        <w:rPr>
          <w:b/>
          <w:lang w:val="en-US"/>
        </w:rPr>
        <w:t xml:space="preserve">Process of reformatting the </w:t>
      </w:r>
      <w:proofErr w:type="gramStart"/>
      <w:r>
        <w:rPr>
          <w:b/>
          <w:lang w:val="en-US"/>
        </w:rPr>
        <w:t>list</w:t>
      </w:r>
      <w:proofErr w:type="gramEnd"/>
    </w:p>
    <w:p w14:paraId="35FEDF28" w14:textId="77777777" w:rsidR="00DA1B70" w:rsidRDefault="00DA1B70" w:rsidP="00DA1B70">
      <w:pPr>
        <w:jc w:val="both"/>
        <w:rPr>
          <w:lang w:val="en-US"/>
        </w:rPr>
      </w:pPr>
      <w:r>
        <w:rPr>
          <w:lang w:val="en-US"/>
        </w:rPr>
        <w:t xml:space="preserve">Since 2019, the CEP Chair (Norway) and Vice-Chairs (Argentina and the United Kingdom), with substantial assistance from the Secretariat, have worked through the CEP forum and through direct contact with Members to reformat the HSM list according to Decision 1 (2019). Original proponents of each HSM have, in collaboration with interested Parties as appropriate, provided input on the HSMs. The full list has thereafter been reviewed and adjusted to ensure as much consistency and comparability between listings as possible and appropriate. All information has been </w:t>
      </w:r>
      <w:proofErr w:type="gramStart"/>
      <w:r>
        <w:rPr>
          <w:lang w:val="en-US"/>
        </w:rPr>
        <w:t>open to all Members at all times</w:t>
      </w:r>
      <w:proofErr w:type="gramEnd"/>
      <w:r>
        <w:rPr>
          <w:lang w:val="en-US"/>
        </w:rPr>
        <w:t xml:space="preserve">, enabling Members to comment and suggest adjustments on any of the HSMs on the list. </w:t>
      </w:r>
    </w:p>
    <w:p w14:paraId="0DC3D5E7" w14:textId="77777777" w:rsidR="00DA1B70" w:rsidRDefault="00DA1B70" w:rsidP="00DA1B70">
      <w:pPr>
        <w:spacing w:after="160" w:line="259" w:lineRule="auto"/>
        <w:rPr>
          <w:lang w:val="en-US"/>
        </w:rPr>
      </w:pPr>
    </w:p>
    <w:p w14:paraId="2CF1C6A0" w14:textId="77777777" w:rsidR="00DA1B70" w:rsidRPr="00F77604" w:rsidRDefault="00DA1B70" w:rsidP="00DA1B70">
      <w:pPr>
        <w:jc w:val="both"/>
        <w:rPr>
          <w:b/>
          <w:lang w:val="en-US"/>
        </w:rPr>
      </w:pPr>
      <w:r>
        <w:rPr>
          <w:b/>
          <w:lang w:val="en-US"/>
        </w:rPr>
        <w:t>The</w:t>
      </w:r>
      <w:r w:rsidRPr="00F77604">
        <w:rPr>
          <w:b/>
          <w:lang w:val="en-US"/>
        </w:rPr>
        <w:t xml:space="preserve"> information </w:t>
      </w:r>
      <w:proofErr w:type="gramStart"/>
      <w:r w:rsidRPr="00F77604">
        <w:rPr>
          <w:b/>
          <w:lang w:val="en-US"/>
        </w:rPr>
        <w:t>fields</w:t>
      </w:r>
      <w:proofErr w:type="gramEnd"/>
    </w:p>
    <w:p w14:paraId="525DBB72" w14:textId="77777777" w:rsidR="00DA1B70" w:rsidRPr="00914FDB" w:rsidRDefault="00DA1B70" w:rsidP="00DA1B70">
      <w:pPr>
        <w:pStyle w:val="Default"/>
        <w:spacing w:after="51"/>
        <w:rPr>
          <w:rFonts w:ascii="Times New Roman" w:hAnsi="Times New Roman" w:cs="Times New Roman"/>
          <w:color w:val="auto"/>
          <w:sz w:val="22"/>
          <w:lang w:val="en-US"/>
        </w:rPr>
      </w:pPr>
      <w:r w:rsidRPr="00914FDB">
        <w:rPr>
          <w:rFonts w:ascii="Times New Roman" w:hAnsi="Times New Roman" w:cs="Times New Roman"/>
          <w:color w:val="auto"/>
          <w:sz w:val="22"/>
          <w:lang w:val="en-US"/>
        </w:rPr>
        <w:t xml:space="preserve">Some details about and observations made during the process of populating the new information fields (denoted in </w:t>
      </w:r>
      <w:r w:rsidRPr="00914FDB">
        <w:rPr>
          <w:rFonts w:ascii="Times New Roman" w:hAnsi="Times New Roman" w:cs="Times New Roman"/>
          <w:b/>
          <w:color w:val="auto"/>
          <w:sz w:val="22"/>
          <w:u w:val="single"/>
          <w:lang w:val="en-US"/>
        </w:rPr>
        <w:t>underlined bold</w:t>
      </w:r>
      <w:r w:rsidRPr="00914FDB">
        <w:rPr>
          <w:rFonts w:ascii="Times New Roman" w:hAnsi="Times New Roman" w:cs="Times New Roman"/>
          <w:color w:val="auto"/>
          <w:sz w:val="22"/>
          <w:lang w:val="en-US"/>
        </w:rPr>
        <w:t xml:space="preserve"> below) are worth highlighting: </w:t>
      </w:r>
    </w:p>
    <w:p w14:paraId="70ECDDA7" w14:textId="77777777" w:rsidR="00DA1B70" w:rsidRDefault="00DA1B70" w:rsidP="00DA1B70">
      <w:pPr>
        <w:pStyle w:val="Default"/>
        <w:spacing w:after="51"/>
        <w:rPr>
          <w:b/>
          <w:bCs/>
          <w:sz w:val="22"/>
          <w:szCs w:val="22"/>
          <w:lang w:val="en-GB"/>
        </w:rPr>
      </w:pPr>
      <w:r>
        <w:rPr>
          <w:b/>
          <w:bCs/>
          <w:sz w:val="22"/>
          <w:szCs w:val="22"/>
          <w:lang w:val="en-GB"/>
        </w:rPr>
        <w:t xml:space="preserve"> </w:t>
      </w:r>
    </w:p>
    <w:p w14:paraId="4A003652" w14:textId="77777777" w:rsidR="00DA1B70" w:rsidRPr="00914FDB" w:rsidRDefault="00DA1B70" w:rsidP="00DA1B70">
      <w:pPr>
        <w:pStyle w:val="Default"/>
        <w:spacing w:after="51"/>
        <w:rPr>
          <w:rFonts w:ascii="Times New Roman" w:hAnsi="Times New Roman" w:cs="Times New Roman"/>
          <w:color w:val="auto"/>
          <w:sz w:val="22"/>
          <w:lang w:val="en-US"/>
        </w:rPr>
      </w:pPr>
      <w:r w:rsidRPr="00914FDB">
        <w:rPr>
          <w:rFonts w:ascii="Times New Roman" w:hAnsi="Times New Roman" w:cs="Times New Roman"/>
          <w:b/>
          <w:color w:val="auto"/>
          <w:sz w:val="22"/>
          <w:u w:val="single"/>
          <w:lang w:val="en-US"/>
        </w:rPr>
        <w:t>Location</w:t>
      </w:r>
      <w:r w:rsidRPr="00914FDB">
        <w:rPr>
          <w:rFonts w:ascii="Times New Roman" w:hAnsi="Times New Roman" w:cs="Times New Roman"/>
          <w:color w:val="auto"/>
          <w:sz w:val="22"/>
          <w:lang w:val="en-US"/>
        </w:rPr>
        <w:t xml:space="preserve">: To ensure compatibility and appropriate functionality within the developed database, and the ability to automatically generate location maps based on the information, this information field only contains one latitude and one longitude coordinate. In the instances where additional information exists, this information is found in the field entitled “Physical features of the environment and cultural and local </w:t>
      </w:r>
      <w:proofErr w:type="gramStart"/>
      <w:r w:rsidRPr="00914FDB">
        <w:rPr>
          <w:rFonts w:ascii="Times New Roman" w:hAnsi="Times New Roman" w:cs="Times New Roman"/>
          <w:color w:val="auto"/>
          <w:sz w:val="22"/>
          <w:lang w:val="en-US"/>
        </w:rPr>
        <w:t>context</w:t>
      </w:r>
      <w:proofErr w:type="gramEnd"/>
      <w:r w:rsidRPr="00914FDB">
        <w:rPr>
          <w:rFonts w:ascii="Times New Roman" w:hAnsi="Times New Roman" w:cs="Times New Roman"/>
          <w:color w:val="auto"/>
          <w:sz w:val="22"/>
          <w:lang w:val="en-US"/>
        </w:rPr>
        <w:t xml:space="preserve">” </w:t>
      </w:r>
    </w:p>
    <w:p w14:paraId="0530BBF0" w14:textId="77777777" w:rsidR="00DA1B70" w:rsidRPr="002600AA" w:rsidRDefault="00DA1B70" w:rsidP="00DA1B70">
      <w:pPr>
        <w:pStyle w:val="Default"/>
        <w:spacing w:after="51"/>
        <w:rPr>
          <w:sz w:val="22"/>
          <w:szCs w:val="22"/>
          <w:lang w:val="en-GB"/>
        </w:rPr>
      </w:pPr>
    </w:p>
    <w:p w14:paraId="39A698FD" w14:textId="77777777" w:rsidR="00DA1B70" w:rsidRDefault="00DA1B70" w:rsidP="00DA1B70">
      <w:pPr>
        <w:pStyle w:val="Default"/>
        <w:numPr>
          <w:ilvl w:val="1"/>
          <w:numId w:val="21"/>
        </w:numPr>
        <w:spacing w:after="39"/>
        <w:rPr>
          <w:rFonts w:ascii="Times New Roman" w:hAnsi="Times New Roman" w:cs="Times New Roman"/>
          <w:color w:val="auto"/>
          <w:sz w:val="22"/>
          <w:lang w:val="en-US"/>
        </w:rPr>
      </w:pPr>
      <w:r w:rsidRPr="00914FDB">
        <w:rPr>
          <w:rFonts w:ascii="Times New Roman" w:hAnsi="Times New Roman" w:cs="Times New Roman"/>
          <w:b/>
          <w:color w:val="auto"/>
          <w:sz w:val="22"/>
          <w:u w:val="single"/>
          <w:lang w:val="en-US"/>
        </w:rPr>
        <w:lastRenderedPageBreak/>
        <w:t>Type</w:t>
      </w:r>
      <w:r w:rsidRPr="00914FDB">
        <w:rPr>
          <w:rFonts w:ascii="Times New Roman" w:hAnsi="Times New Roman" w:cs="Times New Roman"/>
          <w:color w:val="auto"/>
          <w:sz w:val="22"/>
          <w:lang w:val="en-US"/>
        </w:rPr>
        <w:t xml:space="preserve">: Throughout the process, we thoroughly reviewed the information provided in this information field to ensure consistency, both for users and for database purposes. We have adjusted the list of available categories slightly and have used the </w:t>
      </w:r>
      <w:r>
        <w:rPr>
          <w:rFonts w:ascii="Times New Roman" w:hAnsi="Times New Roman" w:cs="Times New Roman"/>
          <w:color w:val="auto"/>
          <w:sz w:val="22"/>
          <w:lang w:val="en-US"/>
        </w:rPr>
        <w:t xml:space="preserve">following </w:t>
      </w:r>
      <w:r w:rsidRPr="00914FDB">
        <w:rPr>
          <w:rFonts w:ascii="Times New Roman" w:hAnsi="Times New Roman" w:cs="Times New Roman"/>
          <w:color w:val="auto"/>
          <w:sz w:val="22"/>
          <w:lang w:val="en-US"/>
        </w:rPr>
        <w:t>set of categories</w:t>
      </w:r>
      <w:r>
        <w:rPr>
          <w:rFonts w:ascii="Times New Roman" w:hAnsi="Times New Roman" w:cs="Times New Roman"/>
          <w:color w:val="auto"/>
          <w:sz w:val="22"/>
          <w:lang w:val="en-US"/>
        </w:rPr>
        <w:t>:</w:t>
      </w:r>
      <w:r w:rsidRPr="00914FDB">
        <w:rPr>
          <w:rFonts w:ascii="Times New Roman" w:hAnsi="Times New Roman" w:cs="Times New Roman"/>
          <w:color w:val="auto"/>
          <w:sz w:val="22"/>
          <w:lang w:val="en-US"/>
        </w:rPr>
        <w:t xml:space="preserve"> </w:t>
      </w:r>
    </w:p>
    <w:p w14:paraId="47480198" w14:textId="77777777" w:rsidR="00DA1B70" w:rsidRPr="00914FDB" w:rsidRDefault="00DA1B70" w:rsidP="00DA1B70">
      <w:pPr>
        <w:pStyle w:val="Default"/>
        <w:numPr>
          <w:ilvl w:val="1"/>
          <w:numId w:val="21"/>
        </w:numPr>
        <w:spacing w:after="39"/>
        <w:rPr>
          <w:rFonts w:ascii="Times New Roman" w:hAnsi="Times New Roman" w:cs="Times New Roman"/>
          <w:color w:val="auto"/>
          <w:sz w:val="22"/>
          <w:lang w:val="en-US"/>
        </w:rPr>
      </w:pPr>
    </w:p>
    <w:p w14:paraId="3071FC56"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Building: hut </w:t>
      </w:r>
    </w:p>
    <w:p w14:paraId="1FEA3A19"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Building: station </w:t>
      </w:r>
    </w:p>
    <w:p w14:paraId="77C3962A"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Building: other building remains </w:t>
      </w:r>
    </w:p>
    <w:p w14:paraId="2564B53B"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Site </w:t>
      </w:r>
    </w:p>
    <w:p w14:paraId="23896889"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Other remains: expedition cairn </w:t>
      </w:r>
    </w:p>
    <w:p w14:paraId="697C09E9"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Other remains: tent </w:t>
      </w:r>
    </w:p>
    <w:p w14:paraId="56952E0C"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Other remains: lighthouse </w:t>
      </w:r>
    </w:p>
    <w:p w14:paraId="34146C9C"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Other remains: shipwreck </w:t>
      </w:r>
    </w:p>
    <w:p w14:paraId="0E9765E1"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Other remains: other </w:t>
      </w:r>
    </w:p>
    <w:p w14:paraId="612C2DF8"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Commemorative item: plaque </w:t>
      </w:r>
    </w:p>
    <w:p w14:paraId="76EC7D00"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Commemorative item: </w:t>
      </w:r>
      <w:proofErr w:type="gramStart"/>
      <w:r w:rsidRPr="002600AA">
        <w:rPr>
          <w:lang w:val="en-US"/>
        </w:rPr>
        <w:t>bust</w:t>
      </w:r>
      <w:proofErr w:type="gramEnd"/>
      <w:r w:rsidRPr="002600AA">
        <w:rPr>
          <w:lang w:val="en-US"/>
        </w:rPr>
        <w:t xml:space="preserve"> </w:t>
      </w:r>
    </w:p>
    <w:p w14:paraId="69845724"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Commemorative item: cross </w:t>
      </w:r>
    </w:p>
    <w:p w14:paraId="151000E2" w14:textId="77777777" w:rsidR="00DA1B70" w:rsidRPr="002600AA" w:rsidRDefault="00DA1B70" w:rsidP="00DA1B70">
      <w:pPr>
        <w:pStyle w:val="Prrafodelista"/>
        <w:numPr>
          <w:ilvl w:val="0"/>
          <w:numId w:val="22"/>
        </w:numPr>
        <w:spacing w:after="200" w:line="276" w:lineRule="auto"/>
        <w:contextualSpacing/>
        <w:jc w:val="both"/>
        <w:rPr>
          <w:lang w:val="en-US"/>
        </w:rPr>
      </w:pPr>
      <w:r w:rsidRPr="002600AA">
        <w:rPr>
          <w:lang w:val="en-US"/>
        </w:rPr>
        <w:t xml:space="preserve">Commemorative item: other </w:t>
      </w:r>
    </w:p>
    <w:p w14:paraId="21FE9ACC" w14:textId="77777777" w:rsidR="00DA1B70" w:rsidRPr="00914FDB" w:rsidRDefault="00DA1B70" w:rsidP="00DA1B70">
      <w:pPr>
        <w:pStyle w:val="Default"/>
        <w:spacing w:after="39"/>
        <w:rPr>
          <w:rFonts w:ascii="Times New Roman" w:hAnsi="Times New Roman" w:cs="Times New Roman"/>
          <w:color w:val="auto"/>
          <w:sz w:val="22"/>
          <w:lang w:val="en-US"/>
        </w:rPr>
      </w:pPr>
      <w:r w:rsidRPr="00914FDB">
        <w:rPr>
          <w:rFonts w:ascii="Times New Roman" w:hAnsi="Times New Roman" w:cs="Times New Roman"/>
          <w:b/>
          <w:color w:val="auto"/>
          <w:sz w:val="22"/>
          <w:u w:val="single"/>
          <w:lang w:val="en-US"/>
        </w:rPr>
        <w:t>Conservation status and Management tools</w:t>
      </w:r>
      <w:r w:rsidRPr="00914FDB">
        <w:rPr>
          <w:rFonts w:ascii="Times New Roman" w:hAnsi="Times New Roman" w:cs="Times New Roman"/>
          <w:color w:val="auto"/>
          <w:sz w:val="22"/>
          <w:lang w:val="en-US"/>
        </w:rPr>
        <w:t xml:space="preserve">: The type of information provided by Parties in these two information fields </w:t>
      </w:r>
      <w:proofErr w:type="gramStart"/>
      <w:r w:rsidRPr="00914FDB">
        <w:rPr>
          <w:rFonts w:ascii="Times New Roman" w:hAnsi="Times New Roman" w:cs="Times New Roman"/>
          <w:color w:val="auto"/>
          <w:sz w:val="22"/>
          <w:lang w:val="en-US"/>
        </w:rPr>
        <w:t>varies  substantially</w:t>
      </w:r>
      <w:proofErr w:type="gramEnd"/>
      <w:r w:rsidRPr="00914FDB">
        <w:rPr>
          <w:rFonts w:ascii="Times New Roman" w:hAnsi="Times New Roman" w:cs="Times New Roman"/>
          <w:color w:val="auto"/>
          <w:sz w:val="22"/>
          <w:lang w:val="en-US"/>
        </w:rPr>
        <w:t xml:space="preserve"> across the (currently) 89 HSMs. This is both a reflection of different national approaches to management of historic sites and the uniqueness of the individual HSMs. We have suggested avoiding time-specific information in these fields (for example the implementation of a specific conservation project next season), as this will require constant updating of the list/database, which for practical purposes should be avoided. </w:t>
      </w:r>
    </w:p>
    <w:p w14:paraId="3F853C88" w14:textId="77777777" w:rsidR="00DA1B70" w:rsidRPr="002600AA" w:rsidRDefault="00DA1B70" w:rsidP="00DA1B70">
      <w:pPr>
        <w:pStyle w:val="Default"/>
        <w:spacing w:after="39"/>
        <w:rPr>
          <w:sz w:val="22"/>
          <w:szCs w:val="22"/>
          <w:lang w:val="en-GB"/>
        </w:rPr>
      </w:pPr>
    </w:p>
    <w:p w14:paraId="756FFEA0" w14:textId="77777777" w:rsidR="00DA1B70" w:rsidRDefault="00DA1B70" w:rsidP="00DA1B70">
      <w:pPr>
        <w:pStyle w:val="Default"/>
        <w:spacing w:after="71"/>
        <w:rPr>
          <w:rFonts w:ascii="Times New Roman" w:hAnsi="Times New Roman" w:cs="Times New Roman"/>
          <w:color w:val="auto"/>
          <w:sz w:val="22"/>
          <w:lang w:val="en-US"/>
        </w:rPr>
      </w:pPr>
      <w:r w:rsidRPr="00914FDB">
        <w:rPr>
          <w:rFonts w:ascii="Times New Roman" w:hAnsi="Times New Roman" w:cs="Times New Roman"/>
          <w:b/>
          <w:color w:val="auto"/>
          <w:sz w:val="22"/>
          <w:u w:val="single"/>
          <w:lang w:val="en-US"/>
        </w:rPr>
        <w:t>Applicable criteria</w:t>
      </w:r>
      <w:r w:rsidRPr="00914FDB">
        <w:rPr>
          <w:rFonts w:ascii="Times New Roman" w:hAnsi="Times New Roman" w:cs="Times New Roman"/>
          <w:color w:val="auto"/>
          <w:sz w:val="22"/>
          <w:lang w:val="en-US"/>
        </w:rPr>
        <w:t xml:space="preserve">: Criteria listed are in accordance with those adopted through </w:t>
      </w:r>
      <w:hyperlink r:id="rId12" w:history="1">
        <w:r w:rsidRPr="00914FDB">
          <w:rPr>
            <w:rFonts w:ascii="Times New Roman" w:hAnsi="Times New Roman" w:cs="Times New Roman"/>
            <w:color w:val="auto"/>
            <w:lang w:val="en-US"/>
          </w:rPr>
          <w:t>Resolution 3 (2009)</w:t>
        </w:r>
      </w:hyperlink>
      <w:r w:rsidRPr="00914FDB">
        <w:rPr>
          <w:rFonts w:ascii="Times New Roman" w:hAnsi="Times New Roman" w:cs="Times New Roman"/>
          <w:color w:val="auto"/>
          <w:sz w:val="22"/>
          <w:lang w:val="en-US"/>
        </w:rPr>
        <w:t>, i.e.:</w:t>
      </w:r>
    </w:p>
    <w:p w14:paraId="64883C6E" w14:textId="77777777" w:rsidR="00DA1B70" w:rsidRPr="00914FDB" w:rsidRDefault="00DA1B70" w:rsidP="00DA1B70">
      <w:pPr>
        <w:pStyle w:val="Default"/>
        <w:spacing w:after="71"/>
        <w:rPr>
          <w:rFonts w:ascii="Times New Roman" w:hAnsi="Times New Roman" w:cs="Times New Roman"/>
          <w:color w:val="auto"/>
          <w:sz w:val="22"/>
          <w:lang w:val="en-US"/>
        </w:rPr>
      </w:pPr>
    </w:p>
    <w:p w14:paraId="59832EFC"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a particular event of importance in the history of science or exploration of Antarctica occurred at the </w:t>
      </w:r>
      <w:proofErr w:type="gramStart"/>
      <w:r w:rsidRPr="00F77604">
        <w:rPr>
          <w:lang w:val="en-US"/>
        </w:rPr>
        <w:t>place;</w:t>
      </w:r>
      <w:proofErr w:type="gramEnd"/>
      <w:r w:rsidRPr="00F77604">
        <w:rPr>
          <w:lang w:val="en-US"/>
        </w:rPr>
        <w:t xml:space="preserve"> </w:t>
      </w:r>
    </w:p>
    <w:p w14:paraId="18AE7063"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a particular association with a person who played an important role in the history of science or exploration in </w:t>
      </w:r>
      <w:proofErr w:type="gramStart"/>
      <w:r w:rsidRPr="00F77604">
        <w:rPr>
          <w:lang w:val="en-US"/>
        </w:rPr>
        <w:t>Antarctica;</w:t>
      </w:r>
      <w:proofErr w:type="gramEnd"/>
      <w:r w:rsidRPr="00F77604">
        <w:rPr>
          <w:lang w:val="en-US"/>
        </w:rPr>
        <w:t xml:space="preserve"> </w:t>
      </w:r>
    </w:p>
    <w:p w14:paraId="771A3C96"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a particular association with a notable feat of endurance or </w:t>
      </w:r>
      <w:proofErr w:type="gramStart"/>
      <w:r w:rsidRPr="00F77604">
        <w:rPr>
          <w:lang w:val="en-US"/>
        </w:rPr>
        <w:t>achievement;</w:t>
      </w:r>
      <w:proofErr w:type="gramEnd"/>
      <w:r w:rsidRPr="00F77604">
        <w:rPr>
          <w:lang w:val="en-US"/>
        </w:rPr>
        <w:t xml:space="preserve"> </w:t>
      </w:r>
    </w:p>
    <w:p w14:paraId="4493304A"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representative of, or forms part of, some wide-ranging activity that has been important in the development and knowledge of </w:t>
      </w:r>
      <w:proofErr w:type="gramStart"/>
      <w:r w:rsidRPr="00F77604">
        <w:rPr>
          <w:lang w:val="en-US"/>
        </w:rPr>
        <w:t>Antarctica;</w:t>
      </w:r>
      <w:proofErr w:type="gramEnd"/>
      <w:r w:rsidRPr="00F77604">
        <w:rPr>
          <w:lang w:val="en-US"/>
        </w:rPr>
        <w:t xml:space="preserve"> </w:t>
      </w:r>
    </w:p>
    <w:p w14:paraId="5DB07301"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particular technical, historical, cultural or architectural value in its materials, design or method of </w:t>
      </w:r>
      <w:proofErr w:type="gramStart"/>
      <w:r w:rsidRPr="00F77604">
        <w:rPr>
          <w:lang w:val="en-US"/>
        </w:rPr>
        <w:t>construction;</w:t>
      </w:r>
      <w:proofErr w:type="gramEnd"/>
      <w:r w:rsidRPr="00F77604">
        <w:rPr>
          <w:lang w:val="en-US"/>
        </w:rPr>
        <w:t xml:space="preserve"> </w:t>
      </w:r>
    </w:p>
    <w:p w14:paraId="5538CB53"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the potential, through study, to reveal information or has the potential to educate people about significant human activities in </w:t>
      </w:r>
      <w:proofErr w:type="gramStart"/>
      <w:r w:rsidRPr="00F77604">
        <w:rPr>
          <w:lang w:val="en-US"/>
        </w:rPr>
        <w:t>Antarctica;</w:t>
      </w:r>
      <w:proofErr w:type="gramEnd"/>
      <w:r w:rsidRPr="00F77604">
        <w:rPr>
          <w:lang w:val="en-US"/>
        </w:rPr>
        <w:t xml:space="preserve"> </w:t>
      </w:r>
    </w:p>
    <w:p w14:paraId="7EDD0072" w14:textId="77777777" w:rsidR="00DA1B70" w:rsidRPr="00F77604" w:rsidRDefault="00DA1B70" w:rsidP="00DA1B70">
      <w:pPr>
        <w:pStyle w:val="Prrafodelista"/>
        <w:numPr>
          <w:ilvl w:val="0"/>
          <w:numId w:val="22"/>
        </w:numPr>
        <w:spacing w:after="200" w:line="276" w:lineRule="auto"/>
        <w:contextualSpacing/>
        <w:jc w:val="both"/>
        <w:rPr>
          <w:lang w:val="en-US"/>
        </w:rPr>
      </w:pPr>
      <w:r w:rsidRPr="00F77604">
        <w:rPr>
          <w:lang w:val="en-US"/>
        </w:rPr>
        <w:t xml:space="preserve">symbolic or commemorative value for people of many nations. </w:t>
      </w:r>
    </w:p>
    <w:p w14:paraId="7F6718AF" w14:textId="77777777" w:rsidR="00DA1B70" w:rsidRPr="002600AA" w:rsidRDefault="00DA1B70" w:rsidP="00DA1B70">
      <w:pPr>
        <w:pStyle w:val="Default"/>
        <w:rPr>
          <w:rFonts w:ascii="Courier New" w:hAnsi="Courier New" w:cs="Courier New"/>
          <w:sz w:val="22"/>
          <w:szCs w:val="22"/>
          <w:lang w:val="en-GB"/>
        </w:rPr>
      </w:pPr>
    </w:p>
    <w:p w14:paraId="312AFAC5" w14:textId="77777777" w:rsidR="00DA1B70" w:rsidRDefault="00DA1B70" w:rsidP="00DA1B70">
      <w:pPr>
        <w:jc w:val="both"/>
      </w:pPr>
    </w:p>
    <w:p w14:paraId="58E32185" w14:textId="77777777" w:rsidR="00DA1B70" w:rsidRPr="00AD3594" w:rsidRDefault="00DA1B70" w:rsidP="00DA1B70">
      <w:pPr>
        <w:jc w:val="both"/>
        <w:rPr>
          <w:b/>
        </w:rPr>
      </w:pPr>
      <w:r w:rsidRPr="00AD3594">
        <w:rPr>
          <w:b/>
        </w:rPr>
        <w:t xml:space="preserve">Future updating of the </w:t>
      </w:r>
      <w:proofErr w:type="gramStart"/>
      <w:r w:rsidRPr="00AD3594">
        <w:rPr>
          <w:b/>
        </w:rPr>
        <w:t>list</w:t>
      </w:r>
      <w:proofErr w:type="gramEnd"/>
    </w:p>
    <w:p w14:paraId="1C89CFDF" w14:textId="77777777" w:rsidR="00DA1B70" w:rsidRDefault="00DA1B70" w:rsidP="00DA1B70">
      <w:pPr>
        <w:jc w:val="both"/>
      </w:pPr>
      <w:r>
        <w:t xml:space="preserve">The new format of the HSM list makes the list more of a living document than it has been up to now. In particular, the fields relating to conservation status and management tools contain information that may require relatively frequent updating due to the nature of the information contained there. </w:t>
      </w:r>
    </w:p>
    <w:p w14:paraId="6DF86EB5" w14:textId="77777777" w:rsidR="00DA1B70" w:rsidRDefault="00DA1B70" w:rsidP="00DA1B70">
      <w:pPr>
        <w:jc w:val="both"/>
      </w:pPr>
    </w:p>
    <w:p w14:paraId="6EBC07A4" w14:textId="77777777" w:rsidR="00DA1B70" w:rsidRDefault="00DA1B70" w:rsidP="00DA1B70">
      <w:pPr>
        <w:jc w:val="both"/>
      </w:pPr>
    </w:p>
    <w:p w14:paraId="3E7E2261" w14:textId="77777777" w:rsidR="00DA1B70" w:rsidRDefault="00DA1B70" w:rsidP="00DA1B70">
      <w:pPr>
        <w:jc w:val="both"/>
      </w:pPr>
    </w:p>
    <w:p w14:paraId="07F9AA33" w14:textId="77777777" w:rsidR="00DA1B70" w:rsidRDefault="00DA1B70" w:rsidP="00DA1B70">
      <w:pPr>
        <w:jc w:val="both"/>
      </w:pPr>
      <w:r>
        <w:lastRenderedPageBreak/>
        <w:t xml:space="preserve">Listings of HSMs is a formal mechanism established through the Environmental Protocol, and any changes to the list have historically required a separate Measure. To avoid the need to adopt a new Measure for </w:t>
      </w:r>
      <w:r w:rsidRPr="00396000">
        <w:t xml:space="preserve">minor changes (including for example updates to management </w:t>
      </w:r>
      <w:proofErr w:type="gramStart"/>
      <w:r w:rsidRPr="00396000">
        <w:t>tools)</w:t>
      </w:r>
      <w:r>
        <w:t>in</w:t>
      </w:r>
      <w:proofErr w:type="gramEnd"/>
      <w:r>
        <w:t xml:space="preserve"> the fields that provide information about the status and management of the site we suggest that:</w:t>
      </w:r>
    </w:p>
    <w:p w14:paraId="10031A88" w14:textId="77777777" w:rsidR="00DA1B70" w:rsidRPr="002768C6" w:rsidRDefault="00DA1B70" w:rsidP="00DA1B70">
      <w:pPr>
        <w:pStyle w:val="Prrafodelista"/>
        <w:numPr>
          <w:ilvl w:val="0"/>
          <w:numId w:val="23"/>
        </w:numPr>
        <w:spacing w:after="200" w:line="276" w:lineRule="auto"/>
        <w:contextualSpacing/>
        <w:jc w:val="both"/>
      </w:pPr>
      <w:r>
        <w:t>The</w:t>
      </w:r>
      <w:r w:rsidRPr="002768C6">
        <w:t xml:space="preserve"> information contained in the </w:t>
      </w:r>
      <w:r>
        <w:t>fields</w:t>
      </w:r>
      <w:r w:rsidRPr="002768C6">
        <w:t xml:space="preserve"> entitled “</w:t>
      </w:r>
      <w:r w:rsidRPr="002768C6">
        <w:rPr>
          <w:lang w:val="en-US"/>
        </w:rPr>
        <w:t xml:space="preserve">No.”, “Description”, “Location”, “Name”, “Type”, “Description of the historical context”, “Applicable criteria in accordance with Resolution 3 (2009)” and “Physical features of the environment and cultural and local context” </w:t>
      </w:r>
      <w:r>
        <w:rPr>
          <w:lang w:val="en-US"/>
        </w:rPr>
        <w:t xml:space="preserve">continues to be a formal part of the HSM list and any changes to these fields </w:t>
      </w:r>
      <w:r w:rsidRPr="002768C6">
        <w:t>require adoption through a Measure.</w:t>
      </w:r>
    </w:p>
    <w:p w14:paraId="621D8921" w14:textId="77777777" w:rsidR="00DA1B70" w:rsidRDefault="00DA1B70" w:rsidP="00DA1B70">
      <w:pPr>
        <w:pStyle w:val="Prrafodelista"/>
        <w:numPr>
          <w:ilvl w:val="0"/>
          <w:numId w:val="22"/>
        </w:numPr>
        <w:spacing w:after="200" w:line="276" w:lineRule="auto"/>
        <w:contextualSpacing/>
        <w:jc w:val="both"/>
      </w:pPr>
      <w:r>
        <w:t>Information contained in the fields “Conservation status”, “Management tools” “</w:t>
      </w:r>
      <w:r w:rsidRPr="00F77604">
        <w:rPr>
          <w:lang w:val="en-US"/>
        </w:rPr>
        <w:t>Designation/Amendment”</w:t>
      </w:r>
      <w:r>
        <w:rPr>
          <w:lang w:val="en-US"/>
        </w:rPr>
        <w:t xml:space="preserve"> and</w:t>
      </w:r>
      <w:r>
        <w:t xml:space="preserve"> “Photographs” is considered required supplementary information to the HSM-list for which any changes should be agreed by the CEP and noted in its report to the ATCM.</w:t>
      </w:r>
    </w:p>
    <w:p w14:paraId="222299E5" w14:textId="77777777" w:rsidR="00DA1B70" w:rsidRDefault="00DA1B70" w:rsidP="00DA1B70">
      <w:pPr>
        <w:jc w:val="both"/>
      </w:pPr>
    </w:p>
    <w:p w14:paraId="2476B70B" w14:textId="77777777" w:rsidR="00DA1B70" w:rsidRPr="002768C6" w:rsidRDefault="00DA1B70" w:rsidP="00DA1B70">
      <w:pPr>
        <w:jc w:val="both"/>
        <w:rPr>
          <w:b/>
        </w:rPr>
      </w:pPr>
      <w:r w:rsidRPr="002768C6">
        <w:rPr>
          <w:b/>
        </w:rPr>
        <w:t>Availability of list</w:t>
      </w:r>
    </w:p>
    <w:p w14:paraId="7958D418" w14:textId="77777777" w:rsidR="00DA1B70" w:rsidRDefault="00DA1B70" w:rsidP="00DA1B70">
      <w:pPr>
        <w:jc w:val="both"/>
      </w:pPr>
      <w:r>
        <w:t xml:space="preserve">When the HSM list has been adopted in its new format the Secretariat will move all information into an online database available from the ATS website. The Secretariat will ensure that the list is kept up do date and that all approved future changes or additions to the list are incorporated appropriately. The database will be available to the public at large, and as such have a greater outreach potential than a static list in a .pdf format. Figure 1 shows a screen shot of how information from the database will be portrayed on the website. </w:t>
      </w:r>
    </w:p>
    <w:p w14:paraId="5FCD9846" w14:textId="77777777" w:rsidR="00DA1B70" w:rsidRDefault="00DA1B70" w:rsidP="00DA1B70">
      <w:pPr>
        <w:spacing w:after="160" w:line="259" w:lineRule="auto"/>
      </w:pPr>
    </w:p>
    <w:p w14:paraId="6D57A37F" w14:textId="77777777" w:rsidR="00DA1B70" w:rsidRDefault="00DA1B70" w:rsidP="00DA1B70">
      <w:pPr>
        <w:spacing w:after="160" w:line="259" w:lineRule="auto"/>
        <w:rPr>
          <w:b/>
        </w:rPr>
      </w:pPr>
      <w:r w:rsidRPr="009A234D">
        <w:rPr>
          <w:b/>
        </w:rPr>
        <w:t>Guide to the presentation of Working Papers containing proposals for Historic Sites and Monuments</w:t>
      </w:r>
    </w:p>
    <w:p w14:paraId="562838D2" w14:textId="77777777" w:rsidR="00DA1B70" w:rsidRPr="009A234D" w:rsidRDefault="00DA1B70" w:rsidP="00DA1B70">
      <w:pPr>
        <w:spacing w:after="160" w:line="259" w:lineRule="auto"/>
      </w:pPr>
      <w:r>
        <w:t>The</w:t>
      </w:r>
      <w:r>
        <w:rPr>
          <w:i/>
        </w:rPr>
        <w:t xml:space="preserve"> </w:t>
      </w:r>
      <w:r w:rsidRPr="00891296">
        <w:rPr>
          <w:i/>
        </w:rPr>
        <w:t>Guide to the presentation of Working Papers containing proposals for Antarctic Specially Protected Areas, Antarctic Specially Managed Areas or Historic Sites and Monuments</w:t>
      </w:r>
      <w:r>
        <w:rPr>
          <w:i/>
        </w:rPr>
        <w:t xml:space="preserve">, </w:t>
      </w:r>
      <w:r w:rsidRPr="009A234D">
        <w:t xml:space="preserve">adopted through Resolution 3 (2018) provides a template (Template B) for coversheets to follow working papers proposing new historic sites and monuments. </w:t>
      </w:r>
      <w:r>
        <w:t xml:space="preserve">Following </w:t>
      </w:r>
      <w:r w:rsidRPr="009A234D">
        <w:t>Decision 1 (2019)</w:t>
      </w:r>
      <w:r>
        <w:t>,</w:t>
      </w:r>
      <w:r w:rsidRPr="009A234D">
        <w:t xml:space="preserve"> </w:t>
      </w:r>
      <w:r>
        <w:t xml:space="preserve">Template B needs to be updated to reflect the agreed additional information required for listings. </w:t>
      </w:r>
      <w:r w:rsidRPr="009A234D">
        <w:rPr>
          <w:b/>
        </w:rPr>
        <w:t>Appendix D</w:t>
      </w:r>
      <w:r>
        <w:rPr>
          <w:b/>
        </w:rPr>
        <w:t xml:space="preserve"> </w:t>
      </w:r>
      <w:r w:rsidRPr="0037140A">
        <w:t>includes</w:t>
      </w:r>
      <w:r>
        <w:t xml:space="preserve"> the Guide containing a draft revised version of Template B. </w:t>
      </w:r>
      <w:r w:rsidRPr="009A234D">
        <w:rPr>
          <w:b/>
        </w:rPr>
        <w:t>Appendix E</w:t>
      </w:r>
      <w:r>
        <w:t xml:space="preserve"> contains a draft Resolution for the adoption of the updated </w:t>
      </w:r>
      <w:r w:rsidRPr="00891296">
        <w:rPr>
          <w:i/>
        </w:rPr>
        <w:t>Guide to the presentation of Working Papers containing proposals for Antarctic Specially Protected Areas, Antarctic Specially Managed Areas or Historic Sites and Monuments</w:t>
      </w:r>
      <w:r>
        <w:rPr>
          <w:i/>
        </w:rPr>
        <w:t xml:space="preserve">. </w:t>
      </w:r>
    </w:p>
    <w:p w14:paraId="6018A987" w14:textId="77777777" w:rsidR="00DA1B70" w:rsidRDefault="00DA1B70" w:rsidP="00DA1B70">
      <w:pPr>
        <w:spacing w:after="160" w:line="259" w:lineRule="auto"/>
        <w:rPr>
          <w:b/>
        </w:rPr>
      </w:pPr>
    </w:p>
    <w:p w14:paraId="2D2C86B2" w14:textId="77777777" w:rsidR="00DA1B70" w:rsidRPr="009A234D" w:rsidRDefault="00DA1B70" w:rsidP="00DA1B70">
      <w:pPr>
        <w:spacing w:after="160" w:line="259" w:lineRule="auto"/>
        <w:rPr>
          <w:b/>
        </w:rPr>
      </w:pPr>
    </w:p>
    <w:p w14:paraId="20382EA9" w14:textId="77777777" w:rsidR="00DA1B70" w:rsidRDefault="00DA1B70" w:rsidP="00DA1B70">
      <w:pPr>
        <w:jc w:val="both"/>
        <w:rPr>
          <w:b/>
        </w:rPr>
      </w:pPr>
      <w:r w:rsidRPr="00AD3594">
        <w:rPr>
          <w:b/>
        </w:rPr>
        <w:t>Proposal</w:t>
      </w:r>
    </w:p>
    <w:p w14:paraId="2662D4A0" w14:textId="77777777" w:rsidR="00DA1B70" w:rsidRPr="00AD3594" w:rsidRDefault="00DA1B70" w:rsidP="00DA1B70">
      <w:pPr>
        <w:jc w:val="both"/>
        <w:rPr>
          <w:b/>
        </w:rPr>
      </w:pPr>
    </w:p>
    <w:p w14:paraId="3883BFB0" w14:textId="77777777" w:rsidR="00DA1B70" w:rsidRDefault="00DA1B70" w:rsidP="00DA1B70">
      <w:pPr>
        <w:pStyle w:val="Prrafodelista"/>
        <w:numPr>
          <w:ilvl w:val="0"/>
          <w:numId w:val="22"/>
        </w:numPr>
        <w:spacing w:after="200" w:line="276" w:lineRule="auto"/>
        <w:contextualSpacing/>
        <w:jc w:val="both"/>
      </w:pPr>
      <w:r>
        <w:t xml:space="preserve">The Committee agrees to forward the reformatted HSM list contained in </w:t>
      </w:r>
      <w:r w:rsidRPr="00F62633">
        <w:rPr>
          <w:b/>
        </w:rPr>
        <w:t>Appendix A</w:t>
      </w:r>
      <w:r>
        <w:t xml:space="preserve"> to the ATCM for adoption through a Measure. A draft Measure to that effect is attached as </w:t>
      </w:r>
      <w:r w:rsidRPr="00F62633">
        <w:rPr>
          <w:b/>
        </w:rPr>
        <w:t>Appendix B</w:t>
      </w:r>
      <w:r>
        <w:t>.</w:t>
      </w:r>
    </w:p>
    <w:p w14:paraId="315D9A4E" w14:textId="77777777" w:rsidR="00DA1B70" w:rsidRDefault="00DA1B70" w:rsidP="00DA1B70">
      <w:pPr>
        <w:pStyle w:val="Prrafodelista"/>
        <w:numPr>
          <w:ilvl w:val="0"/>
          <w:numId w:val="22"/>
        </w:numPr>
        <w:spacing w:after="200" w:line="276" w:lineRule="auto"/>
        <w:contextualSpacing/>
        <w:jc w:val="both"/>
      </w:pPr>
      <w:r>
        <w:t>The Committee agrees to recommend to the ATCM that:</w:t>
      </w:r>
    </w:p>
    <w:p w14:paraId="6EF5743B" w14:textId="77777777" w:rsidR="00DA1B70" w:rsidRPr="002768C6" w:rsidRDefault="00DA1B70" w:rsidP="00DA1B70">
      <w:pPr>
        <w:pStyle w:val="Prrafodelista"/>
        <w:numPr>
          <w:ilvl w:val="1"/>
          <w:numId w:val="22"/>
        </w:numPr>
        <w:spacing w:after="200" w:line="276" w:lineRule="auto"/>
        <w:contextualSpacing/>
        <w:jc w:val="both"/>
      </w:pPr>
      <w:r>
        <w:t xml:space="preserve">The </w:t>
      </w:r>
      <w:r w:rsidRPr="002768C6">
        <w:t xml:space="preserve">information contained in the </w:t>
      </w:r>
      <w:r>
        <w:t>fields</w:t>
      </w:r>
      <w:r w:rsidRPr="002768C6">
        <w:t xml:space="preserve"> entitled “</w:t>
      </w:r>
      <w:r w:rsidRPr="002768C6">
        <w:rPr>
          <w:lang w:val="en-US"/>
        </w:rPr>
        <w:t>No.”, “Description”, “Location”, “Name”, “Type”, “Description of the historical context”, “Applicable criteria in accordance with Resolution 3 (2009)” and “Physical features of the environment and cultural and local context”</w:t>
      </w:r>
      <w:r>
        <w:rPr>
          <w:lang w:val="en-US"/>
        </w:rPr>
        <w:t xml:space="preserve"> continue to be a formal part of the HSM list and any changes to these fields</w:t>
      </w:r>
      <w:r w:rsidRPr="002768C6">
        <w:rPr>
          <w:lang w:val="en-US"/>
        </w:rPr>
        <w:t xml:space="preserve"> </w:t>
      </w:r>
      <w:r w:rsidRPr="002768C6">
        <w:t>require adoption through a Measure.</w:t>
      </w:r>
    </w:p>
    <w:p w14:paraId="5978E9BA" w14:textId="77777777" w:rsidR="00DA1B70" w:rsidRDefault="00DA1B70" w:rsidP="00DA1B70">
      <w:pPr>
        <w:pStyle w:val="Prrafodelista"/>
        <w:numPr>
          <w:ilvl w:val="1"/>
          <w:numId w:val="22"/>
        </w:numPr>
        <w:spacing w:after="200" w:line="276" w:lineRule="auto"/>
        <w:contextualSpacing/>
        <w:jc w:val="both"/>
      </w:pPr>
      <w:r>
        <w:t>Information contained in the fields “Conservation status”, “Management tools”, “</w:t>
      </w:r>
      <w:r w:rsidRPr="00F77604">
        <w:rPr>
          <w:lang w:val="en-US"/>
        </w:rPr>
        <w:t>Designation/Amendment”</w:t>
      </w:r>
      <w:r>
        <w:rPr>
          <w:lang w:val="en-US"/>
        </w:rPr>
        <w:t xml:space="preserve"> and</w:t>
      </w:r>
      <w:r>
        <w:t xml:space="preserve"> “Photographs” can be considered required supplementary information to the HSM list, for which any changes should be agreed by the CEP and noted in its report to the ATCM.</w:t>
      </w:r>
    </w:p>
    <w:p w14:paraId="0EAB6CCD" w14:textId="77777777" w:rsidR="00DA1B70" w:rsidRDefault="00DA1B70" w:rsidP="00DA1B70">
      <w:pPr>
        <w:ind w:left="708"/>
        <w:jc w:val="both"/>
      </w:pPr>
      <w:r>
        <w:t xml:space="preserve">A draft Decision to this effect is attached as </w:t>
      </w:r>
      <w:r w:rsidRPr="00F62633">
        <w:rPr>
          <w:b/>
        </w:rPr>
        <w:t xml:space="preserve">Appendix </w:t>
      </w:r>
      <w:r>
        <w:rPr>
          <w:b/>
        </w:rPr>
        <w:t>C</w:t>
      </w:r>
      <w:r>
        <w:t xml:space="preserve">. </w:t>
      </w:r>
    </w:p>
    <w:p w14:paraId="61799AFC" w14:textId="77777777" w:rsidR="00DA1B70" w:rsidRPr="00F62633" w:rsidRDefault="00DA1B70" w:rsidP="00DA1B70">
      <w:pPr>
        <w:ind w:left="708"/>
        <w:jc w:val="both"/>
      </w:pPr>
    </w:p>
    <w:p w14:paraId="113B9D53" w14:textId="77777777" w:rsidR="00DA1B70" w:rsidRPr="00184E87" w:rsidRDefault="00DA1B70" w:rsidP="00DA1B70">
      <w:pPr>
        <w:pStyle w:val="Prrafodelista"/>
        <w:numPr>
          <w:ilvl w:val="0"/>
          <w:numId w:val="22"/>
        </w:numPr>
        <w:spacing w:after="200" w:line="276" w:lineRule="auto"/>
        <w:contextualSpacing/>
        <w:jc w:val="both"/>
      </w:pPr>
      <w:r>
        <w:lastRenderedPageBreak/>
        <w:t>The Committee suggests that the Secretariat is requested to populate the database with the information provided for the new format and make the information available through the ATS website, in accordance with Decision 1 (2019) as soon as possible</w:t>
      </w:r>
      <w:r w:rsidRPr="004D5008">
        <w:rPr>
          <w:color w:val="011833"/>
        </w:rPr>
        <w:t>.</w:t>
      </w:r>
    </w:p>
    <w:p w14:paraId="370F4295" w14:textId="77777777" w:rsidR="00DA1B70" w:rsidRPr="002768C6" w:rsidRDefault="00DA1B70" w:rsidP="00DA1B70">
      <w:pPr>
        <w:pStyle w:val="Prrafodelista"/>
        <w:numPr>
          <w:ilvl w:val="0"/>
          <w:numId w:val="22"/>
        </w:numPr>
        <w:spacing w:after="200" w:line="276" w:lineRule="auto"/>
        <w:contextualSpacing/>
        <w:jc w:val="both"/>
      </w:pPr>
      <w:r>
        <w:rPr>
          <w:color w:val="011833"/>
        </w:rPr>
        <w:t xml:space="preserve">The Committee </w:t>
      </w:r>
      <w:r>
        <w:t xml:space="preserve">endorses the revised </w:t>
      </w:r>
      <w:bookmarkStart w:id="8" w:name="_Hlk71296720"/>
      <w:r w:rsidRPr="00184E87">
        <w:rPr>
          <w:i/>
        </w:rPr>
        <w:t>Guide to the presentation of Working Papers containing proposals for Antarctic Specially Protected Areas, Antarctic Specially Managed Areas or Historic Sites and Monuments</w:t>
      </w:r>
      <w:bookmarkEnd w:id="8"/>
      <w:r>
        <w:rPr>
          <w:i/>
        </w:rPr>
        <w:t xml:space="preserve"> </w:t>
      </w:r>
      <w:r w:rsidRPr="00184E87">
        <w:t>(</w:t>
      </w:r>
      <w:r w:rsidRPr="00184E87">
        <w:rPr>
          <w:b/>
        </w:rPr>
        <w:t>Appendix D</w:t>
      </w:r>
      <w:r>
        <w:rPr>
          <w:i/>
        </w:rPr>
        <w:t>)</w:t>
      </w:r>
      <w:r>
        <w:t>, to reflect the information required for listings of new HSMs in accordance with Decision 1 (2019) and agrees to forward to the ATCM for adoption a draft Resolution (</w:t>
      </w:r>
      <w:r w:rsidRPr="00184E87">
        <w:rPr>
          <w:b/>
        </w:rPr>
        <w:t>Appendix E</w:t>
      </w:r>
      <w:r>
        <w:t>) on updating the Guide</w:t>
      </w:r>
      <w:r>
        <w:rPr>
          <w:i/>
        </w:rPr>
        <w:t>.</w:t>
      </w:r>
    </w:p>
    <w:p w14:paraId="5F7A2844" w14:textId="77777777" w:rsidR="00DA1B70" w:rsidRDefault="00DA1B70" w:rsidP="00DA1B70">
      <w:pPr>
        <w:spacing w:after="160" w:line="259" w:lineRule="auto"/>
      </w:pPr>
      <w:r>
        <w:br w:type="page"/>
      </w:r>
    </w:p>
    <w:p w14:paraId="6C67A63F" w14:textId="77777777" w:rsidR="00DA1B70" w:rsidRDefault="00DA1B70" w:rsidP="00DA1B70">
      <w:pPr>
        <w:jc w:val="both"/>
      </w:pPr>
    </w:p>
    <w:p w14:paraId="5F61AE27" w14:textId="77777777" w:rsidR="00DA1B70" w:rsidRDefault="00DA1B70" w:rsidP="00DA1B70">
      <w:pPr>
        <w:jc w:val="both"/>
        <w:rPr>
          <w:b/>
        </w:rPr>
      </w:pPr>
      <w:r w:rsidRPr="00411006">
        <w:rPr>
          <w:noProof/>
          <w:lang w:eastAsia="en-GB"/>
        </w:rPr>
        <w:drawing>
          <wp:inline distT="0" distB="0" distL="0" distR="0" wp14:anchorId="5FE59AF2" wp14:editId="06761813">
            <wp:extent cx="5991225" cy="6600825"/>
            <wp:effectExtent l="0" t="0" r="9525" b="952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225" cy="6600825"/>
                    </a:xfrm>
                    <a:prstGeom prst="rect">
                      <a:avLst/>
                    </a:prstGeom>
                    <a:noFill/>
                    <a:ln>
                      <a:noFill/>
                    </a:ln>
                  </pic:spPr>
                </pic:pic>
              </a:graphicData>
            </a:graphic>
          </wp:inline>
        </w:drawing>
      </w:r>
    </w:p>
    <w:p w14:paraId="41630455" w14:textId="77777777" w:rsidR="00DA1B70" w:rsidRPr="009346FC" w:rsidRDefault="00DA1B70" w:rsidP="00DA1B70">
      <w:pPr>
        <w:jc w:val="both"/>
      </w:pPr>
      <w:r w:rsidRPr="009346FC">
        <w:rPr>
          <w:b/>
        </w:rPr>
        <w:t>FIGURE 1</w:t>
      </w:r>
      <w:r>
        <w:rPr>
          <w:b/>
        </w:rPr>
        <w:t xml:space="preserve">: </w:t>
      </w:r>
      <w:r w:rsidRPr="009346FC">
        <w:t xml:space="preserve">Illustration of how the information from the HSM database will be portrayed on the ATS website.  </w:t>
      </w:r>
    </w:p>
    <w:p w14:paraId="0EA9F584" w14:textId="77777777" w:rsidR="00DA1B70" w:rsidRDefault="00DA1B70" w:rsidP="00DA1B70">
      <w:pPr>
        <w:jc w:val="both"/>
      </w:pPr>
    </w:p>
    <w:p w14:paraId="293C8B1E" w14:textId="77777777" w:rsidR="00DA1B70" w:rsidRDefault="00DA1B70" w:rsidP="00DA1B70">
      <w:pPr>
        <w:jc w:val="both"/>
      </w:pPr>
    </w:p>
    <w:p w14:paraId="12B1C04A" w14:textId="77777777" w:rsidR="00DA1B70" w:rsidRDefault="00DA1B70" w:rsidP="00DA1B70">
      <w:pPr>
        <w:jc w:val="both"/>
      </w:pPr>
      <w:r>
        <w:t xml:space="preserve"> </w:t>
      </w:r>
    </w:p>
    <w:p w14:paraId="482A87D0" w14:textId="77777777" w:rsidR="00DA1B70" w:rsidRDefault="00DA1B70" w:rsidP="00DA1B70">
      <w:pPr>
        <w:spacing w:after="160" w:line="259" w:lineRule="auto"/>
      </w:pPr>
      <w:r>
        <w:br w:type="page"/>
      </w:r>
    </w:p>
    <w:p w14:paraId="22A9017E" w14:textId="77777777" w:rsidR="00DA1B70" w:rsidRDefault="00DA1B70" w:rsidP="00DA1B70">
      <w:pPr>
        <w:jc w:val="both"/>
      </w:pPr>
    </w:p>
    <w:p w14:paraId="48AB0AD3" w14:textId="77777777" w:rsidR="00DA1B70" w:rsidRPr="00C37A31" w:rsidRDefault="00DA1B70" w:rsidP="00DA1B70">
      <w:pPr>
        <w:jc w:val="both"/>
        <w:rPr>
          <w:b/>
        </w:rPr>
      </w:pPr>
      <w:r w:rsidRPr="00C37A31">
        <w:rPr>
          <w:b/>
        </w:rPr>
        <w:t xml:space="preserve">Appendix A: </w:t>
      </w:r>
      <w:r w:rsidRPr="007C4761">
        <w:rPr>
          <w:b/>
        </w:rPr>
        <w:t xml:space="preserve">THE LIST </w:t>
      </w:r>
      <w:r>
        <w:rPr>
          <w:b/>
        </w:rPr>
        <w:t>OF HISTORIC SITES AND MONUMENTS</w:t>
      </w:r>
    </w:p>
    <w:p w14:paraId="64CB2880" w14:textId="77777777" w:rsidR="00DA1B70" w:rsidRDefault="00DA1B70" w:rsidP="00DA1B70">
      <w:pPr>
        <w:spacing w:after="160" w:line="259" w:lineRule="auto"/>
      </w:pPr>
    </w:p>
    <w:p w14:paraId="60DDAD42" w14:textId="77777777" w:rsidR="00DA1B70" w:rsidRDefault="00DA1B70" w:rsidP="00DA1B70">
      <w:pPr>
        <w:spacing w:after="160" w:line="259" w:lineRule="auto"/>
      </w:pPr>
      <w:r w:rsidRPr="00D938C5">
        <w:rPr>
          <w:b/>
        </w:rPr>
        <w:t>See Attachment: The list of Historic Sites and Monuments reformatted</w:t>
      </w:r>
      <w:r w:rsidRPr="00D938C5">
        <w:t xml:space="preserve"> </w:t>
      </w:r>
      <w:r w:rsidRPr="00D938C5">
        <w:rPr>
          <w:b/>
        </w:rPr>
        <w:t>in line with Decision 1 (2019)</w:t>
      </w:r>
      <w:r>
        <w:br w:type="page"/>
      </w:r>
    </w:p>
    <w:p w14:paraId="334CB95C" w14:textId="77777777" w:rsidR="00DA1B70" w:rsidRPr="004D5008" w:rsidRDefault="00DA1B70" w:rsidP="00DA1B70">
      <w:pPr>
        <w:pStyle w:val="Prrafodelista"/>
        <w:ind w:left="0"/>
        <w:rPr>
          <w:b/>
          <w:color w:val="011833"/>
        </w:rPr>
      </w:pPr>
      <w:r w:rsidRPr="004D5008">
        <w:rPr>
          <w:b/>
          <w:color w:val="011833"/>
        </w:rPr>
        <w:lastRenderedPageBreak/>
        <w:t>Appendix B: DRAFT MEASURE</w:t>
      </w:r>
    </w:p>
    <w:p w14:paraId="216FC5FB" w14:textId="77777777" w:rsidR="00DA1B70" w:rsidRPr="004D5008" w:rsidRDefault="00DA1B70" w:rsidP="00DA1B70">
      <w:pPr>
        <w:pStyle w:val="Prrafodelista"/>
        <w:rPr>
          <w:color w:val="011833"/>
        </w:rPr>
      </w:pPr>
    </w:p>
    <w:p w14:paraId="580AF391" w14:textId="77777777" w:rsidR="00DA1B70" w:rsidRDefault="00DA1B70" w:rsidP="00DA1B70">
      <w:pPr>
        <w:pStyle w:val="ATSHeading1"/>
      </w:pPr>
      <w:r>
        <w:t>Measure XXX (2021)</w:t>
      </w:r>
    </w:p>
    <w:p w14:paraId="372EE329" w14:textId="77777777" w:rsidR="00DA1B70" w:rsidRPr="004D5008" w:rsidRDefault="00DA1B70" w:rsidP="00DA1B70">
      <w:pPr>
        <w:pStyle w:val="ATSHeading1"/>
      </w:pPr>
      <w:r w:rsidRPr="004D5008">
        <w:t xml:space="preserve">Antarctic </w:t>
      </w:r>
      <w:r>
        <w:t>P</w:t>
      </w:r>
      <w:r w:rsidRPr="004D5008">
        <w:t xml:space="preserve">rotected </w:t>
      </w:r>
      <w:r>
        <w:t>A</w:t>
      </w:r>
      <w:r w:rsidRPr="004D5008">
        <w:t xml:space="preserve">reas </w:t>
      </w:r>
      <w:r>
        <w:t>S</w:t>
      </w:r>
      <w:r w:rsidRPr="004D5008">
        <w:t>ystem:</w:t>
      </w:r>
      <w:r>
        <w:t xml:space="preserve"> R</w:t>
      </w:r>
      <w:r w:rsidRPr="004D5008">
        <w:t xml:space="preserve">eformatted </w:t>
      </w:r>
      <w:r>
        <w:t>L</w:t>
      </w:r>
      <w:r w:rsidRPr="004D5008">
        <w:t xml:space="preserve">ist of </w:t>
      </w:r>
      <w:r>
        <w:t>H</w:t>
      </w:r>
      <w:r w:rsidRPr="004D5008">
        <w:t xml:space="preserve">istoric </w:t>
      </w:r>
      <w:r>
        <w:t>S</w:t>
      </w:r>
      <w:r w:rsidRPr="004D5008">
        <w:t xml:space="preserve">ites and </w:t>
      </w:r>
      <w:r>
        <w:t>M</w:t>
      </w:r>
      <w:r w:rsidRPr="004D5008">
        <w:t>onuments</w:t>
      </w:r>
      <w:r w:rsidRPr="004D5008">
        <w:br/>
      </w:r>
    </w:p>
    <w:p w14:paraId="1CCD5B70" w14:textId="77777777" w:rsidR="00DA1B70" w:rsidRPr="004D5008" w:rsidRDefault="00DA1B70" w:rsidP="00DA1B70">
      <w:pPr>
        <w:pStyle w:val="Prrafodelista"/>
        <w:rPr>
          <w:color w:val="011833"/>
        </w:rPr>
      </w:pPr>
      <w:r w:rsidRPr="004D5008">
        <w:rPr>
          <w:color w:val="011833"/>
        </w:rPr>
        <w:br/>
        <w:t>The Representatives,</w:t>
      </w:r>
    </w:p>
    <w:p w14:paraId="0D398C5E" w14:textId="77777777" w:rsidR="00DA1B70" w:rsidRPr="004D5008" w:rsidRDefault="00DA1B70" w:rsidP="00DA1B70">
      <w:pPr>
        <w:pStyle w:val="Prrafodelista"/>
        <w:rPr>
          <w:color w:val="011833"/>
        </w:rPr>
      </w:pPr>
      <w:r w:rsidRPr="004D5008">
        <w:rPr>
          <w:color w:val="011833"/>
        </w:rPr>
        <w:br/>
      </w:r>
      <w:r w:rsidRPr="004D5008">
        <w:rPr>
          <w:color w:val="011833"/>
        </w:rPr>
        <w:br/>
      </w:r>
      <w:r w:rsidRPr="00245B3C">
        <w:rPr>
          <w:i/>
          <w:iCs/>
          <w:color w:val="011833"/>
        </w:rPr>
        <w:t>Noting</w:t>
      </w:r>
      <w:r w:rsidRPr="004D5008">
        <w:rPr>
          <w:color w:val="011833"/>
        </w:rPr>
        <w:t xml:space="preserve"> the requirements of Article 8 of Annex V to the Protocol on Environmental Protection to the Antarctic Treaty to maintain a list of current Historic Sites and Monuments and that such sites shall not be damaged, removed or </w:t>
      </w:r>
      <w:proofErr w:type="gramStart"/>
      <w:r w:rsidRPr="004D5008">
        <w:rPr>
          <w:color w:val="011833"/>
        </w:rPr>
        <w:t>destroyed;</w:t>
      </w:r>
      <w:proofErr w:type="gramEnd"/>
    </w:p>
    <w:p w14:paraId="73CA99DC" w14:textId="77777777" w:rsidR="00DA1B70" w:rsidRPr="004D5008" w:rsidRDefault="00DA1B70" w:rsidP="00DA1B70">
      <w:pPr>
        <w:pStyle w:val="Prrafodelista"/>
        <w:rPr>
          <w:color w:val="011833"/>
        </w:rPr>
      </w:pPr>
    </w:p>
    <w:p w14:paraId="3E7D711A" w14:textId="77777777" w:rsidR="00DA1B70" w:rsidRDefault="00DA1B70" w:rsidP="00DA1B70">
      <w:pPr>
        <w:pStyle w:val="Prrafodelista"/>
        <w:rPr>
          <w:color w:val="011833"/>
        </w:rPr>
      </w:pPr>
      <w:r w:rsidRPr="00245B3C">
        <w:rPr>
          <w:i/>
          <w:iCs/>
          <w:color w:val="011833"/>
        </w:rPr>
        <w:t>Recalling</w:t>
      </w:r>
      <w:r w:rsidRPr="004D5008">
        <w:rPr>
          <w:color w:val="011833"/>
        </w:rPr>
        <w:t xml:space="preserve"> </w:t>
      </w:r>
      <w:proofErr w:type="gramStart"/>
      <w:r w:rsidRPr="004D5008">
        <w:rPr>
          <w:color w:val="011833"/>
        </w:rPr>
        <w:t>Recommendations</w:t>
      </w:r>
      <w:proofErr w:type="gramEnd"/>
      <w:r w:rsidRPr="004D5008">
        <w:rPr>
          <w:color w:val="011833"/>
        </w:rPr>
        <w:t xml:space="preserve"> I-IX, V-4, VI-14, VII-9, XII-7, XIII-16, XIV-8, XV-12, XVI-11, XVII-3 and Measures 4 (1995), 2 (1996), 4 (1997), 2 (1998), 1 (2001), 2 (2001), 3(2003), 11 and 12 (2011), 11 (2012), 18, 19, 20 and 21 (2013), 19 (2015) and 9 (2016);</w:t>
      </w:r>
    </w:p>
    <w:p w14:paraId="6D68C6BD" w14:textId="77777777" w:rsidR="00DA1B70" w:rsidRDefault="00DA1B70" w:rsidP="00DA1B70">
      <w:pPr>
        <w:pStyle w:val="Prrafodelista"/>
        <w:rPr>
          <w:color w:val="011833"/>
        </w:rPr>
      </w:pPr>
    </w:p>
    <w:p w14:paraId="679D27C2" w14:textId="77777777" w:rsidR="00DA1B70" w:rsidRPr="004D5008" w:rsidRDefault="00DA1B70" w:rsidP="00DA1B70">
      <w:pPr>
        <w:pStyle w:val="Prrafodelista"/>
        <w:rPr>
          <w:color w:val="011833"/>
        </w:rPr>
      </w:pPr>
      <w:r w:rsidRPr="00245B3C">
        <w:rPr>
          <w:i/>
          <w:iCs/>
          <w:color w:val="011833"/>
        </w:rPr>
        <w:t>Also taking</w:t>
      </w:r>
      <w:r w:rsidRPr="009346FC">
        <w:rPr>
          <w:color w:val="011833"/>
        </w:rPr>
        <w:t xml:space="preserve"> note of Guidelines for the designation and protection of Historic Sites and Monuments  </w:t>
      </w:r>
      <w:r>
        <w:rPr>
          <w:color w:val="011833"/>
        </w:rPr>
        <w:t xml:space="preserve">adopted through </w:t>
      </w:r>
      <w:r w:rsidRPr="009346FC">
        <w:rPr>
          <w:color w:val="011833"/>
        </w:rPr>
        <w:t>Resolution 3 (2009) and Guidelines for the assessment and management of Heritage in Antarctica</w:t>
      </w:r>
      <w:r>
        <w:rPr>
          <w:color w:val="011833"/>
        </w:rPr>
        <w:t xml:space="preserve"> adopted through </w:t>
      </w:r>
      <w:r w:rsidRPr="009346FC">
        <w:rPr>
          <w:color w:val="011833"/>
        </w:rPr>
        <w:t>Resolution 2 (2018)</w:t>
      </w:r>
      <w:r>
        <w:rPr>
          <w:color w:val="011833"/>
        </w:rPr>
        <w:t>;</w:t>
      </w:r>
      <w:r w:rsidRPr="004D5008">
        <w:rPr>
          <w:color w:val="011833"/>
        </w:rPr>
        <w:br/>
      </w:r>
      <w:r w:rsidRPr="004D5008">
        <w:rPr>
          <w:color w:val="011833"/>
        </w:rPr>
        <w:br/>
      </w:r>
      <w:r w:rsidRPr="00245B3C">
        <w:rPr>
          <w:i/>
          <w:iCs/>
          <w:color w:val="011833"/>
        </w:rPr>
        <w:t>Furthermore</w:t>
      </w:r>
      <w:r w:rsidRPr="004D5008">
        <w:rPr>
          <w:color w:val="011833"/>
        </w:rPr>
        <w:t xml:space="preserve"> recalling </w:t>
      </w:r>
      <w:r w:rsidRPr="00E21EB7">
        <w:rPr>
          <w:color w:val="011833"/>
        </w:rPr>
        <w:t>Decision</w:t>
      </w:r>
      <w:r w:rsidRPr="004D5008">
        <w:rPr>
          <w:color w:val="011833"/>
        </w:rPr>
        <w:t xml:space="preserve"> 1 (2019) in which Parties agreed to incorporate the new fields of information, in addition to the existing fields, in the “List of Historic Sites and Monuments”;</w:t>
      </w:r>
      <w:r w:rsidRPr="004D5008">
        <w:rPr>
          <w:color w:val="011833"/>
        </w:rPr>
        <w:br/>
      </w:r>
      <w:r w:rsidRPr="004D5008">
        <w:rPr>
          <w:color w:val="011833"/>
        </w:rPr>
        <w:br/>
      </w:r>
      <w:r w:rsidRPr="00245B3C">
        <w:rPr>
          <w:i/>
          <w:iCs/>
          <w:color w:val="011833"/>
        </w:rPr>
        <w:t>Desiring</w:t>
      </w:r>
      <w:r w:rsidRPr="004D5008">
        <w:rPr>
          <w:color w:val="011833"/>
        </w:rPr>
        <w:t xml:space="preserve"> to update the descriptions of Historic Site and Monument according to the format </w:t>
      </w:r>
      <w:r w:rsidRPr="00E21EB7">
        <w:rPr>
          <w:color w:val="011833"/>
        </w:rPr>
        <w:t>prescribed</w:t>
      </w:r>
      <w:r w:rsidRPr="004D5008">
        <w:rPr>
          <w:color w:val="011833"/>
        </w:rPr>
        <w:t xml:space="preserve"> by Decision 1 (2019);</w:t>
      </w:r>
      <w:r w:rsidRPr="004D5008">
        <w:rPr>
          <w:color w:val="011833"/>
        </w:rPr>
        <w:br/>
      </w:r>
      <w:r w:rsidRPr="004D5008">
        <w:rPr>
          <w:color w:val="011833"/>
        </w:rPr>
        <w:br/>
      </w:r>
      <w:r w:rsidRPr="00245B3C">
        <w:rPr>
          <w:b/>
          <w:bCs/>
          <w:color w:val="011833"/>
        </w:rPr>
        <w:t>Recommend</w:t>
      </w:r>
      <w:r w:rsidRPr="004D5008">
        <w:rPr>
          <w:color w:val="011833"/>
        </w:rPr>
        <w:t xml:space="preserve"> that their Governments, in accordance with paragraph 2 of Article 8 of Annex V to the Protocol on Environmental Protection to the Antarctic Treaty, approve that the "List of Historic Monuments Identified and Described by the Proposing Government or Governments" (annexed to Recommendation VII-9 and modified by the Recommendations and Measures recalled above) be replaced by the revised and updated "List of Historic Sites and Monuments" annexed to this Measure.</w:t>
      </w:r>
    </w:p>
    <w:p w14:paraId="130B3B49" w14:textId="77777777" w:rsidR="00DA1B70" w:rsidRPr="004D5008" w:rsidRDefault="00DA1B70" w:rsidP="00DA1B70">
      <w:pPr>
        <w:pStyle w:val="Prrafodelista"/>
        <w:rPr>
          <w:color w:val="011833"/>
        </w:rPr>
      </w:pPr>
    </w:p>
    <w:p w14:paraId="30EE1206" w14:textId="77777777" w:rsidR="00DA1B70" w:rsidRPr="004D5008" w:rsidRDefault="00DA1B70" w:rsidP="00DA1B70">
      <w:pPr>
        <w:spacing w:after="160" w:line="259" w:lineRule="auto"/>
        <w:rPr>
          <w:color w:val="011833"/>
        </w:rPr>
      </w:pPr>
      <w:r w:rsidRPr="004D5008">
        <w:rPr>
          <w:color w:val="011833"/>
        </w:rPr>
        <w:br w:type="page"/>
      </w:r>
    </w:p>
    <w:p w14:paraId="383633FE" w14:textId="77777777" w:rsidR="00DA1B70" w:rsidRPr="004D5008" w:rsidRDefault="00DA1B70" w:rsidP="00DA1B70">
      <w:pPr>
        <w:pStyle w:val="Prrafodelista"/>
        <w:ind w:left="0"/>
        <w:rPr>
          <w:b/>
          <w:color w:val="011833"/>
        </w:rPr>
      </w:pPr>
      <w:r w:rsidRPr="004D5008">
        <w:rPr>
          <w:b/>
          <w:color w:val="011833"/>
        </w:rPr>
        <w:lastRenderedPageBreak/>
        <w:t>Appendix C: DRAFT DECISION</w:t>
      </w:r>
    </w:p>
    <w:p w14:paraId="12755983" w14:textId="77777777" w:rsidR="00DA1B70" w:rsidRPr="004D5008" w:rsidRDefault="00DA1B70" w:rsidP="00DA1B70">
      <w:pPr>
        <w:pStyle w:val="Prrafodelista"/>
        <w:rPr>
          <w:color w:val="011833"/>
        </w:rPr>
      </w:pPr>
    </w:p>
    <w:p w14:paraId="3AF7BFF2" w14:textId="77777777" w:rsidR="00DA1B70" w:rsidRPr="004D5008" w:rsidRDefault="00DA1B70" w:rsidP="00DA1B70">
      <w:pPr>
        <w:pStyle w:val="Prrafodelista"/>
        <w:rPr>
          <w:color w:val="011833"/>
        </w:rPr>
      </w:pPr>
    </w:p>
    <w:p w14:paraId="4D8B7A15" w14:textId="77777777" w:rsidR="00DA1B70" w:rsidRDefault="00DA1B70" w:rsidP="00DA1B70">
      <w:pPr>
        <w:pStyle w:val="ATSHeading1"/>
      </w:pPr>
      <w:r>
        <w:t xml:space="preserve">Decision XXX (2021) </w:t>
      </w:r>
    </w:p>
    <w:p w14:paraId="7AD7694B" w14:textId="77777777" w:rsidR="00DA1B70" w:rsidRPr="004D5008" w:rsidRDefault="00DA1B70" w:rsidP="00DA1B70">
      <w:pPr>
        <w:pStyle w:val="ATSHeading1"/>
      </w:pPr>
      <w:r w:rsidRPr="004D5008">
        <w:t xml:space="preserve">Antarctic </w:t>
      </w:r>
      <w:r>
        <w:t>P</w:t>
      </w:r>
      <w:r w:rsidRPr="004D5008">
        <w:t xml:space="preserve">rotected </w:t>
      </w:r>
      <w:r>
        <w:t>A</w:t>
      </w:r>
      <w:r w:rsidRPr="004D5008">
        <w:t xml:space="preserve">reas </w:t>
      </w:r>
      <w:r>
        <w:t>S</w:t>
      </w:r>
      <w:r w:rsidRPr="004D5008">
        <w:t>ystem:</w:t>
      </w:r>
      <w:r>
        <w:t xml:space="preserve"> R</w:t>
      </w:r>
      <w:r w:rsidRPr="004D5008">
        <w:t xml:space="preserve">eformatted </w:t>
      </w:r>
      <w:r>
        <w:t>L</w:t>
      </w:r>
      <w:r w:rsidRPr="004D5008">
        <w:t xml:space="preserve">ist of </w:t>
      </w:r>
      <w:r>
        <w:t>H</w:t>
      </w:r>
      <w:r w:rsidRPr="004D5008">
        <w:t>istoric</w:t>
      </w:r>
      <w:r>
        <w:t xml:space="preserve"> S</w:t>
      </w:r>
      <w:r w:rsidRPr="004D5008">
        <w:t xml:space="preserve">ites and </w:t>
      </w:r>
      <w:r>
        <w:t>M</w:t>
      </w:r>
      <w:r w:rsidRPr="004D5008">
        <w:t>onuments</w:t>
      </w:r>
      <w:r w:rsidRPr="004D5008">
        <w:br/>
      </w:r>
    </w:p>
    <w:p w14:paraId="34EF5124" w14:textId="77777777" w:rsidR="00DA1B70" w:rsidRPr="004D5008" w:rsidRDefault="00DA1B70" w:rsidP="00DA1B70">
      <w:pPr>
        <w:pStyle w:val="Prrafodelista"/>
        <w:ind w:left="0"/>
        <w:rPr>
          <w:color w:val="011833"/>
        </w:rPr>
      </w:pPr>
      <w:r w:rsidRPr="004D5008">
        <w:rPr>
          <w:color w:val="011833"/>
        </w:rPr>
        <w:br/>
        <w:t>The Representatives,</w:t>
      </w:r>
    </w:p>
    <w:p w14:paraId="5C08A552" w14:textId="77777777" w:rsidR="00DA1B70" w:rsidRPr="004D5008" w:rsidRDefault="00DA1B70" w:rsidP="00DA1B70">
      <w:pPr>
        <w:pStyle w:val="Prrafodelista"/>
        <w:ind w:left="0"/>
        <w:rPr>
          <w:color w:val="011833"/>
        </w:rPr>
      </w:pPr>
      <w:r w:rsidRPr="004D5008">
        <w:rPr>
          <w:color w:val="011833"/>
        </w:rPr>
        <w:br/>
      </w:r>
      <w:r w:rsidRPr="004D5008">
        <w:rPr>
          <w:color w:val="011833"/>
        </w:rPr>
        <w:br/>
      </w:r>
      <w:r w:rsidRPr="00245B3C">
        <w:rPr>
          <w:i/>
          <w:iCs/>
          <w:color w:val="011833"/>
        </w:rPr>
        <w:t>Recalling</w:t>
      </w:r>
      <w:r w:rsidRPr="004D5008">
        <w:rPr>
          <w:color w:val="011833"/>
        </w:rPr>
        <w:t xml:space="preserve"> </w:t>
      </w:r>
      <w:r w:rsidRPr="00816BA5">
        <w:rPr>
          <w:color w:val="011833"/>
        </w:rPr>
        <w:t>Decision</w:t>
      </w:r>
      <w:r w:rsidRPr="004D5008">
        <w:rPr>
          <w:color w:val="011833"/>
        </w:rPr>
        <w:t xml:space="preserve"> 1 (2019) in which Parties agreed to incorporate the new fields of information, in addition to the existing fields, in the “List of Historic Sites and Monuments”;</w:t>
      </w:r>
      <w:r w:rsidRPr="004D5008">
        <w:rPr>
          <w:color w:val="011833"/>
        </w:rPr>
        <w:br/>
      </w:r>
      <w:r w:rsidRPr="004D5008">
        <w:rPr>
          <w:color w:val="011833"/>
        </w:rPr>
        <w:br/>
      </w:r>
      <w:r w:rsidRPr="00245B3C">
        <w:rPr>
          <w:i/>
          <w:iCs/>
          <w:color w:val="011833"/>
        </w:rPr>
        <w:t>Desiring</w:t>
      </w:r>
      <w:r w:rsidRPr="004D5008">
        <w:rPr>
          <w:color w:val="011833"/>
        </w:rPr>
        <w:t xml:space="preserve"> to update the descriptions of Historic Site and Monument according to the format </w:t>
      </w:r>
      <w:r w:rsidRPr="00816BA5">
        <w:rPr>
          <w:color w:val="011833"/>
        </w:rPr>
        <w:t>prescribed</w:t>
      </w:r>
      <w:r w:rsidRPr="004D5008">
        <w:rPr>
          <w:color w:val="011833"/>
        </w:rPr>
        <w:t xml:space="preserve"> by Decision 1 (2019), but at the same time</w:t>
      </w:r>
      <w:r>
        <w:rPr>
          <w:color w:val="011833"/>
        </w:rPr>
        <w:t xml:space="preserve"> conscious that there are likely to be regular updates of a minor and technical nature in certain new fields of information; </w:t>
      </w:r>
      <w:r w:rsidRPr="004D5008">
        <w:rPr>
          <w:color w:val="011833"/>
        </w:rPr>
        <w:t xml:space="preserve"> </w:t>
      </w:r>
      <w:r w:rsidRPr="004D5008">
        <w:rPr>
          <w:color w:val="011833"/>
        </w:rPr>
        <w:br/>
      </w:r>
    </w:p>
    <w:p w14:paraId="52BB336C" w14:textId="77777777" w:rsidR="00DA1B70" w:rsidRDefault="00DA1B70" w:rsidP="00DA1B70">
      <w:pPr>
        <w:pStyle w:val="Prrafodelista"/>
        <w:ind w:left="0"/>
        <w:jc w:val="both"/>
      </w:pPr>
      <w:r w:rsidRPr="00245B3C">
        <w:rPr>
          <w:b/>
          <w:bCs/>
        </w:rPr>
        <w:t>Agree</w:t>
      </w:r>
      <w:r>
        <w:t xml:space="preserve"> that:</w:t>
      </w:r>
    </w:p>
    <w:p w14:paraId="72B0A101" w14:textId="77777777" w:rsidR="00DA1B70" w:rsidRPr="002768C6" w:rsidRDefault="00DA1B70" w:rsidP="00DA1B70">
      <w:pPr>
        <w:pStyle w:val="ATSNormal"/>
        <w:numPr>
          <w:ilvl w:val="0"/>
          <w:numId w:val="24"/>
        </w:numPr>
      </w:pPr>
      <w:r>
        <w:t xml:space="preserve">The </w:t>
      </w:r>
      <w:r w:rsidRPr="002768C6">
        <w:t xml:space="preserve">information contained in the </w:t>
      </w:r>
      <w:r>
        <w:t>fields</w:t>
      </w:r>
      <w:r w:rsidRPr="002768C6">
        <w:t xml:space="preserve"> entitled “</w:t>
      </w:r>
      <w:r w:rsidRPr="002768C6">
        <w:rPr>
          <w:lang w:val="en-US"/>
        </w:rPr>
        <w:t>No.”, “Description”, “Location”, “Name”, “Type”, “Description of the historical context”, “Applicable criteria in accordance with Resolution 3 (2009)” and “Physical features of the environment and cultural and local context”</w:t>
      </w:r>
      <w:r>
        <w:rPr>
          <w:lang w:val="en-US"/>
        </w:rPr>
        <w:t xml:space="preserve"> will continue to be a formal part of the HSM list and any changes to these fields</w:t>
      </w:r>
      <w:r w:rsidRPr="002768C6">
        <w:rPr>
          <w:lang w:val="en-US"/>
        </w:rPr>
        <w:t xml:space="preserve"> </w:t>
      </w:r>
      <w:r>
        <w:rPr>
          <w:lang w:val="en-US"/>
        </w:rPr>
        <w:t xml:space="preserve">will </w:t>
      </w:r>
      <w:r w:rsidRPr="002768C6">
        <w:t>require adoption through a Measure.</w:t>
      </w:r>
    </w:p>
    <w:p w14:paraId="7D1D9D58" w14:textId="77777777" w:rsidR="00DA1B70" w:rsidRPr="00816BA5" w:rsidRDefault="00DA1B70" w:rsidP="00DA1B70">
      <w:pPr>
        <w:pStyle w:val="ATSNormal"/>
        <w:numPr>
          <w:ilvl w:val="0"/>
          <w:numId w:val="24"/>
        </w:numPr>
        <w:rPr>
          <w:color w:val="011833"/>
        </w:rPr>
      </w:pPr>
      <w:r w:rsidRPr="00816BA5">
        <w:t>Information contained in the fields “Conservation status”, “Management tools”</w:t>
      </w:r>
      <w:r>
        <w:t xml:space="preserve">, </w:t>
      </w:r>
      <w:r w:rsidRPr="00816BA5">
        <w:t>“</w:t>
      </w:r>
      <w:r w:rsidRPr="00816BA5">
        <w:rPr>
          <w:lang w:val="en-US"/>
        </w:rPr>
        <w:t>Designation/Amendment”</w:t>
      </w:r>
      <w:r>
        <w:rPr>
          <w:lang w:val="en-US"/>
        </w:rPr>
        <w:t xml:space="preserve"> and</w:t>
      </w:r>
      <w:r w:rsidRPr="00816BA5">
        <w:t xml:space="preserve"> “Photographs” </w:t>
      </w:r>
      <w:r>
        <w:t xml:space="preserve">will </w:t>
      </w:r>
      <w:r w:rsidRPr="00816BA5">
        <w:t xml:space="preserve">be considered as supplementary information to the HSM list, for which any changes </w:t>
      </w:r>
      <w:r>
        <w:t xml:space="preserve">will </w:t>
      </w:r>
      <w:r w:rsidRPr="00816BA5">
        <w:t xml:space="preserve">be agreed by the </w:t>
      </w:r>
      <w:proofErr w:type="gramStart"/>
      <w:r w:rsidRPr="00816BA5">
        <w:t>CEP</w:t>
      </w:r>
      <w:r>
        <w:t xml:space="preserve">, </w:t>
      </w:r>
      <w:r w:rsidRPr="00816BA5">
        <w:t xml:space="preserve"> </w:t>
      </w:r>
      <w:r>
        <w:t>and</w:t>
      </w:r>
      <w:proofErr w:type="gramEnd"/>
      <w:r>
        <w:t xml:space="preserve"> </w:t>
      </w:r>
      <w:r w:rsidRPr="00816BA5">
        <w:t>noted in its report to the ATCM</w:t>
      </w:r>
      <w:r>
        <w:t xml:space="preserve"> and applied to the HSM database by the Secretariat.</w:t>
      </w:r>
    </w:p>
    <w:p w14:paraId="742A2E14" w14:textId="77777777" w:rsidR="00DA1B70" w:rsidRPr="00914FDB" w:rsidRDefault="00DA1B70" w:rsidP="00DA1B70">
      <w:pPr>
        <w:jc w:val="both"/>
        <w:rPr>
          <w:b/>
        </w:rPr>
      </w:pPr>
    </w:p>
    <w:p w14:paraId="1136B1E0" w14:textId="77777777" w:rsidR="00DA1B70" w:rsidRDefault="00DA1B70" w:rsidP="00DA1B70">
      <w:r>
        <w:br w:type="page"/>
      </w:r>
    </w:p>
    <w:p w14:paraId="7A52948C" w14:textId="77777777" w:rsidR="00DA1B70" w:rsidRDefault="00DA1B70" w:rsidP="00DA1B70">
      <w:pPr>
        <w:pStyle w:val="Prrafodelista"/>
        <w:ind w:left="0"/>
        <w:rPr>
          <w:b/>
          <w:color w:val="011833"/>
        </w:rPr>
      </w:pPr>
      <w:r w:rsidRPr="004D5008">
        <w:rPr>
          <w:b/>
          <w:color w:val="011833"/>
        </w:rPr>
        <w:lastRenderedPageBreak/>
        <w:t xml:space="preserve">Appendix </w:t>
      </w:r>
      <w:r>
        <w:rPr>
          <w:b/>
          <w:color w:val="011833"/>
        </w:rPr>
        <w:t>D</w:t>
      </w:r>
      <w:r w:rsidRPr="004D5008">
        <w:rPr>
          <w:b/>
          <w:color w:val="011833"/>
        </w:rPr>
        <w:t xml:space="preserve">: </w:t>
      </w:r>
      <w:r>
        <w:rPr>
          <w:b/>
          <w:color w:val="011833"/>
        </w:rPr>
        <w:t xml:space="preserve">REVISED GUIDE </w:t>
      </w:r>
    </w:p>
    <w:p w14:paraId="4D19A536" w14:textId="77777777" w:rsidR="00DA1B70" w:rsidRDefault="00DA1B70" w:rsidP="00DA1B70">
      <w:pPr>
        <w:pStyle w:val="Prrafodelista"/>
        <w:ind w:left="0"/>
        <w:rPr>
          <w:b/>
          <w:color w:val="011833"/>
        </w:rPr>
      </w:pPr>
    </w:p>
    <w:p w14:paraId="6BE3E740" w14:textId="77777777" w:rsidR="00DA1B70" w:rsidRDefault="00DA1B70" w:rsidP="00DA1B70">
      <w:pPr>
        <w:pStyle w:val="Prrafodelista"/>
        <w:ind w:left="0"/>
        <w:rPr>
          <w:b/>
          <w:color w:val="011833"/>
        </w:rPr>
      </w:pPr>
    </w:p>
    <w:p w14:paraId="212B6BE7" w14:textId="77777777" w:rsidR="00DA1B70" w:rsidRPr="004D5008" w:rsidRDefault="00DA1B70" w:rsidP="00DA1B70">
      <w:pPr>
        <w:spacing w:after="160" w:line="259" w:lineRule="auto"/>
        <w:rPr>
          <w:b/>
          <w:color w:val="011833"/>
        </w:rPr>
      </w:pPr>
      <w:r w:rsidRPr="00D938C5">
        <w:rPr>
          <w:b/>
        </w:rPr>
        <w:t xml:space="preserve">See Attachment: </w:t>
      </w:r>
      <w:r>
        <w:rPr>
          <w:b/>
        </w:rPr>
        <w:t xml:space="preserve">Revised </w:t>
      </w:r>
      <w:r w:rsidRPr="00184E87">
        <w:rPr>
          <w:b/>
          <w:i/>
          <w:color w:val="011833"/>
        </w:rPr>
        <w:t>Guide to the presentation of Working Papers containing proposals for Antarctic Specially Protected Areas, Antarctic Specially Managed Areas or Historic Sites and Monuments</w:t>
      </w:r>
    </w:p>
    <w:p w14:paraId="19D734E4" w14:textId="77777777" w:rsidR="00DA1B70" w:rsidRDefault="00DA1B70" w:rsidP="00DA1B70">
      <w:r>
        <w:br w:type="page"/>
      </w:r>
    </w:p>
    <w:p w14:paraId="7014DC9A" w14:textId="77777777" w:rsidR="00DA1B70" w:rsidRPr="00184E87" w:rsidRDefault="00DA1B70" w:rsidP="00DA1B70">
      <w:pPr>
        <w:rPr>
          <w:b/>
        </w:rPr>
      </w:pPr>
      <w:r w:rsidRPr="00184E87">
        <w:rPr>
          <w:b/>
        </w:rPr>
        <w:lastRenderedPageBreak/>
        <w:t>Appendix E: DRAFT RESOLUTION</w:t>
      </w:r>
    </w:p>
    <w:p w14:paraId="6B5FEE9D" w14:textId="77777777" w:rsidR="00DA1B70" w:rsidRDefault="00DA1B70" w:rsidP="00DA1B70"/>
    <w:p w14:paraId="5A51E1D0" w14:textId="77777777" w:rsidR="00DA1B70" w:rsidRDefault="00DA1B70" w:rsidP="00DA1B70"/>
    <w:p w14:paraId="1250CE3E" w14:textId="77777777" w:rsidR="00DA1B70" w:rsidRPr="00623328" w:rsidRDefault="00DA1B70" w:rsidP="00DA1B70">
      <w:pPr>
        <w:pStyle w:val="ATSHeading1"/>
      </w:pPr>
      <w:r w:rsidRPr="00623328">
        <w:t>Resolution xxx (2021)</w:t>
      </w:r>
    </w:p>
    <w:p w14:paraId="4104E6A8" w14:textId="77777777" w:rsidR="00DA1B70" w:rsidRPr="00623328" w:rsidRDefault="00DA1B70" w:rsidP="00DA1B70">
      <w:pPr>
        <w:pStyle w:val="ATSHeading1"/>
      </w:pPr>
      <w:r w:rsidRPr="00623328">
        <w:t>Revised Guide to the presentation of Working Papers containing proposals for Antarctic Specially Protected Areas, Antarctic Specially Managed Areas or Historic Sites and Monuments</w:t>
      </w:r>
    </w:p>
    <w:p w14:paraId="74119578" w14:textId="77777777" w:rsidR="00DA1B70" w:rsidRDefault="00DA1B70" w:rsidP="00DA1B70">
      <w:pPr>
        <w:rPr>
          <w:color w:val="011833"/>
        </w:rPr>
      </w:pPr>
    </w:p>
    <w:p w14:paraId="619FFFA6" w14:textId="77777777" w:rsidR="00DA1B70" w:rsidRDefault="00DA1B70" w:rsidP="00DA1B70">
      <w:pPr>
        <w:rPr>
          <w:color w:val="011833"/>
        </w:rPr>
      </w:pPr>
      <w:r>
        <w:rPr>
          <w:color w:val="011833"/>
        </w:rPr>
        <w:br/>
      </w:r>
      <w:r>
        <w:rPr>
          <w:color w:val="011833"/>
        </w:rPr>
        <w:br/>
        <w:t>The Representatives,</w:t>
      </w:r>
      <w:r>
        <w:rPr>
          <w:color w:val="011833"/>
        </w:rPr>
        <w:br/>
      </w:r>
      <w:r>
        <w:rPr>
          <w:color w:val="011833"/>
        </w:rPr>
        <w:br/>
        <w:t xml:space="preserve">Noting that Annex V to the Protocol on Environmental Protection to the Antarctic Treaty provides for the Antarctic Treaty Consultative Meeting (“ATCM”) to adopt proposals to designate an Historic Site and Monument (“HSM”), by a measure in accordance with Article </w:t>
      </w:r>
      <w:proofErr w:type="gramStart"/>
      <w:r>
        <w:rPr>
          <w:color w:val="011833"/>
        </w:rPr>
        <w:t>IX(</w:t>
      </w:r>
      <w:proofErr w:type="gramEnd"/>
      <w:r>
        <w:rPr>
          <w:color w:val="011833"/>
        </w:rPr>
        <w:t>1) of the Antarctic Treaty;</w:t>
      </w:r>
    </w:p>
    <w:p w14:paraId="521F623D" w14:textId="77777777" w:rsidR="00DA1B70" w:rsidRDefault="00DA1B70" w:rsidP="00DA1B70">
      <w:pPr>
        <w:rPr>
          <w:color w:val="011833"/>
        </w:rPr>
      </w:pPr>
      <w:r>
        <w:rPr>
          <w:color w:val="011833"/>
        </w:rPr>
        <w:br/>
        <w:t xml:space="preserve">Conscious of the need to ensure clarity concerning the current status of each </w:t>
      </w:r>
      <w:proofErr w:type="gramStart"/>
      <w:r>
        <w:rPr>
          <w:color w:val="011833"/>
        </w:rPr>
        <w:t>HSM;</w:t>
      </w:r>
      <w:proofErr w:type="gramEnd"/>
    </w:p>
    <w:p w14:paraId="19089D52" w14:textId="77777777" w:rsidR="00DA1B70" w:rsidRDefault="00DA1B70" w:rsidP="00DA1B70">
      <w:pPr>
        <w:rPr>
          <w:color w:val="011833"/>
        </w:rPr>
      </w:pPr>
      <w:r>
        <w:rPr>
          <w:color w:val="011833"/>
        </w:rPr>
        <w:br/>
        <w:t xml:space="preserve">Recalling Resolution 1 (2008), which recommended that the Guide to the presentation of Working Papers containing proposals for Antarctic Specially Protected Areas, Antarctic Specially Managed Areas or Historic Sites and Monuments (“the Guide”), annexed to it, be used by those engaged in the preparation of such Working </w:t>
      </w:r>
      <w:proofErr w:type="gramStart"/>
      <w:r>
        <w:rPr>
          <w:color w:val="011833"/>
        </w:rPr>
        <w:t>Papers;</w:t>
      </w:r>
      <w:proofErr w:type="gramEnd"/>
    </w:p>
    <w:p w14:paraId="7A88207D" w14:textId="77777777" w:rsidR="00DA1B70" w:rsidRDefault="00DA1B70" w:rsidP="00DA1B70">
      <w:pPr>
        <w:rPr>
          <w:color w:val="011833"/>
        </w:rPr>
      </w:pPr>
      <w:r>
        <w:rPr>
          <w:color w:val="011833"/>
        </w:rPr>
        <w:br/>
      </w:r>
      <w:proofErr w:type="gramStart"/>
      <w:r>
        <w:rPr>
          <w:color w:val="011833"/>
        </w:rPr>
        <w:t>Furthermore</w:t>
      </w:r>
      <w:proofErr w:type="gramEnd"/>
      <w:r>
        <w:rPr>
          <w:color w:val="011833"/>
        </w:rPr>
        <w:t xml:space="preserve"> recalling Resolution 3 (2018), which updated the Guide to reflect guidance provided in the Guidelines for the assessment and management of Heritage in Antarctica adopted through Resolution 2 (2018);</w:t>
      </w:r>
    </w:p>
    <w:p w14:paraId="5353431C" w14:textId="77777777" w:rsidR="00DA1B70" w:rsidRDefault="00DA1B70" w:rsidP="00DA1B70">
      <w:pPr>
        <w:rPr>
          <w:color w:val="011833"/>
        </w:rPr>
      </w:pPr>
    </w:p>
    <w:p w14:paraId="3C4271FF" w14:textId="77777777" w:rsidR="00DA1B70" w:rsidRDefault="00DA1B70" w:rsidP="00DA1B70">
      <w:pPr>
        <w:rPr>
          <w:color w:val="011833"/>
        </w:rPr>
      </w:pPr>
      <w:r w:rsidRPr="00623328">
        <w:rPr>
          <w:color w:val="011833"/>
        </w:rPr>
        <w:t xml:space="preserve">Noting Decision 1 (2019) which provides further details as to information to be held for each listing in the list of Historic Sites and Monuments and desiring to update </w:t>
      </w:r>
      <w:r w:rsidRPr="00184E87">
        <w:rPr>
          <w:color w:val="011833"/>
        </w:rPr>
        <w:t>Template B</w:t>
      </w:r>
      <w:r w:rsidRPr="00623328">
        <w:rPr>
          <w:color w:val="011833"/>
        </w:rPr>
        <w:t xml:space="preserve"> of the Guide, to reflect this new </w:t>
      </w:r>
      <w:proofErr w:type="gramStart"/>
      <w:r w:rsidRPr="00623328">
        <w:rPr>
          <w:color w:val="011833"/>
        </w:rPr>
        <w:t>format;</w:t>
      </w:r>
      <w:proofErr w:type="gramEnd"/>
    </w:p>
    <w:p w14:paraId="5C1C21E5" w14:textId="77777777" w:rsidR="00DA1B70" w:rsidRDefault="00DA1B70" w:rsidP="00DA1B70">
      <w:pPr>
        <w:rPr>
          <w:color w:val="011833"/>
        </w:rPr>
      </w:pPr>
      <w:r w:rsidRPr="00623328">
        <w:rPr>
          <w:color w:val="011833"/>
        </w:rPr>
        <w:br/>
      </w:r>
      <w:r w:rsidRPr="00623328">
        <w:rPr>
          <w:color w:val="011833"/>
        </w:rPr>
        <w:br/>
        <w:t>Recommend to their Governments that:</w:t>
      </w:r>
    </w:p>
    <w:p w14:paraId="3E4D3B5D" w14:textId="77777777" w:rsidR="00DA1B70" w:rsidRDefault="00DA1B70" w:rsidP="00DA1B70">
      <w:pPr>
        <w:pStyle w:val="Prrafodelista"/>
        <w:numPr>
          <w:ilvl w:val="0"/>
          <w:numId w:val="25"/>
        </w:numPr>
        <w:rPr>
          <w:color w:val="011833"/>
        </w:rPr>
      </w:pPr>
      <w:r w:rsidRPr="00623328">
        <w:rPr>
          <w:color w:val="011833"/>
        </w:rPr>
        <w:t xml:space="preserve">the revised </w:t>
      </w:r>
      <w:r w:rsidRPr="00184E87">
        <w:rPr>
          <w:i/>
          <w:color w:val="011833"/>
        </w:rPr>
        <w:t>Guide to the presentation of Working Papers containing proposals for Antarctic Specially Protected Areas, Antarctic Specially Managed Areas or Historic Sites and Monuments</w:t>
      </w:r>
      <w:r w:rsidRPr="00623328">
        <w:rPr>
          <w:color w:val="011833"/>
        </w:rPr>
        <w:t xml:space="preserve"> annexed to this Resolution </w:t>
      </w:r>
      <w:r>
        <w:rPr>
          <w:color w:val="011833"/>
        </w:rPr>
        <w:t xml:space="preserve">replace the document attached to Resolution 2 (2018) and to </w:t>
      </w:r>
      <w:proofErr w:type="gramStart"/>
      <w:r>
        <w:rPr>
          <w:color w:val="011833"/>
        </w:rPr>
        <w:t xml:space="preserve">be </w:t>
      </w:r>
      <w:r w:rsidRPr="00623328">
        <w:rPr>
          <w:color w:val="011833"/>
        </w:rPr>
        <w:t xml:space="preserve"> used</w:t>
      </w:r>
      <w:proofErr w:type="gramEnd"/>
      <w:r w:rsidRPr="00623328">
        <w:rPr>
          <w:color w:val="011833"/>
        </w:rPr>
        <w:t xml:space="preserve"> by those engaged in the preparation of such Working Papers; </w:t>
      </w:r>
    </w:p>
    <w:p w14:paraId="33EB2B37" w14:textId="77777777" w:rsidR="00DA1B70" w:rsidRPr="00623328" w:rsidRDefault="00DA1B70" w:rsidP="00DA1B70">
      <w:pPr>
        <w:pStyle w:val="Prrafodelista"/>
        <w:numPr>
          <w:ilvl w:val="0"/>
          <w:numId w:val="25"/>
        </w:numPr>
        <w:rPr>
          <w:color w:val="011833"/>
        </w:rPr>
      </w:pPr>
      <w:r w:rsidRPr="00623328">
        <w:rPr>
          <w:color w:val="011833"/>
        </w:rPr>
        <w:t>the Secretariat of the Antarctic Treaty post the text of Resolution 3 (2018) on its website in a way that makes clear that it is no longer current.</w:t>
      </w:r>
    </w:p>
    <w:p w14:paraId="2D618596" w14:textId="77777777" w:rsidR="00DA1B70" w:rsidRDefault="00DA1B70" w:rsidP="00952E9F"/>
    <w:sectPr w:rsidR="00DA1B70"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49EF" w14:textId="77777777" w:rsidR="00000000" w:rsidRDefault="00592356">
      <w:r>
        <w:separator/>
      </w:r>
    </w:p>
  </w:endnote>
  <w:endnote w:type="continuationSeparator" w:id="0">
    <w:p w14:paraId="6A8E50EC" w14:textId="77777777" w:rsidR="00000000" w:rsidRDefault="00592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955CF" w14:textId="77777777" w:rsidR="00FA0B9F" w:rsidRDefault="00592356" w:rsidP="00CF5C82">
    <w:pPr>
      <w:framePr w:wrap="around" w:vAnchor="text" w:hAnchor="margin" w:xAlign="right" w:y="1"/>
    </w:pPr>
    <w:r>
      <w:fldChar w:fldCharType="begin"/>
    </w:r>
    <w:r>
      <w:instrText xml:space="preserve">PAGE  </w:instrText>
    </w:r>
    <w:r>
      <w:fldChar w:fldCharType="separate"/>
    </w:r>
    <w:r>
      <w:fldChar w:fldCharType="end"/>
    </w:r>
  </w:p>
  <w:p w14:paraId="6B7DBE8A" w14:textId="77777777" w:rsidR="00FA0B9F" w:rsidRDefault="0059235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D710F" w14:textId="77777777" w:rsidR="00FA0B9F" w:rsidRDefault="0059235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930FDD2" w14:textId="77777777" w:rsidR="00DA1B70" w:rsidRDefault="00DA1B70" w:rsidP="00DA1B70">
    <w:pPr>
      <w:ind w:right="360"/>
    </w:pPr>
    <w:r>
      <w:t>Attachments:</w:t>
    </w:r>
  </w:p>
  <w:p w14:paraId="663AFE6D" w14:textId="1FA5516F" w:rsidR="00DA1B70" w:rsidRDefault="00592356" w:rsidP="00DA1B70">
    <w:pPr>
      <w:ind w:right="360"/>
    </w:pPr>
    <w:r>
      <w:t>A</w:t>
    </w:r>
    <w:r w:rsidR="00DA1B70">
      <w:t>tcm43_att126_e.xlsx: L</w:t>
    </w:r>
    <w:r w:rsidR="00DA1B70" w:rsidRPr="00245B3C">
      <w:t>ist of Historic Sites and Monuments reformatted in line with Decision 1 (2019)</w:t>
    </w:r>
  </w:p>
  <w:p w14:paraId="2431E545" w14:textId="426C1E8A" w:rsidR="00592356" w:rsidRDefault="00592356" w:rsidP="00DA1B70">
    <w:pPr>
      <w:ind w:right="360"/>
    </w:pPr>
    <w:r>
      <w:t xml:space="preserve">Atcm43_att142_e.docx: </w:t>
    </w:r>
    <w:r w:rsidRPr="00592356">
      <w:t>Revised Guide to the presentation of W</w:t>
    </w:r>
    <w:r>
      <w:t>P</w:t>
    </w:r>
    <w:r w:rsidRPr="00592356">
      <w:t xml:space="preserve"> containing proposals for </w:t>
    </w:r>
    <w:r>
      <w:t>ASPA, ASMA or HSM</w:t>
    </w:r>
  </w:p>
  <w:p w14:paraId="16547A0A" w14:textId="77777777" w:rsidR="00DA1B70" w:rsidRDefault="00DA1B70" w:rsidP="00DA1B70">
    <w:pPr>
      <w:ind w:right="360"/>
    </w:pPr>
  </w:p>
  <w:p w14:paraId="2BF7477C" w14:textId="3138AC69" w:rsidR="00FA0B9F" w:rsidRDefault="00592356" w:rsidP="00DA1B7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63C2" w14:textId="77777777" w:rsidR="00E311C9" w:rsidRDefault="0059235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D5EE557" w14:textId="77777777" w:rsidR="00E311C9" w:rsidRDefault="0059235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3743" w14:textId="77777777" w:rsidR="00000000" w:rsidRDefault="00592356">
      <w:r>
        <w:separator/>
      </w:r>
    </w:p>
  </w:footnote>
  <w:footnote w:type="continuationSeparator" w:id="0">
    <w:p w14:paraId="7307E0B2" w14:textId="77777777" w:rsidR="00000000" w:rsidRDefault="00592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91FDA" w14:paraId="428EA89E" w14:textId="77777777" w:rsidTr="00490760">
      <w:trPr>
        <w:trHeight w:val="344"/>
        <w:jc w:val="center"/>
      </w:trPr>
      <w:tc>
        <w:tcPr>
          <w:tcW w:w="5495" w:type="dxa"/>
        </w:tcPr>
        <w:p w14:paraId="4A706DA3" w14:textId="77777777" w:rsidR="00DB7C09" w:rsidRDefault="00592356" w:rsidP="00F968D4"/>
      </w:tc>
      <w:tc>
        <w:tcPr>
          <w:tcW w:w="4253" w:type="dxa"/>
          <w:gridSpan w:val="2"/>
        </w:tcPr>
        <w:p w14:paraId="562AE3A6" w14:textId="77777777" w:rsidR="00DB7C09" w:rsidRPr="00BD47E4" w:rsidRDefault="00592356" w:rsidP="002A07BC">
          <w:pPr>
            <w:jc w:val="right"/>
            <w:rPr>
              <w:b/>
              <w:sz w:val="32"/>
              <w:szCs w:val="32"/>
            </w:rPr>
          </w:pPr>
          <w:bookmarkStart w:id="2" w:name="type"/>
          <w:r w:rsidRPr="00BD47E4">
            <w:rPr>
              <w:b/>
              <w:sz w:val="32"/>
              <w:szCs w:val="32"/>
            </w:rPr>
            <w:t>WP</w:t>
          </w:r>
          <w:bookmarkEnd w:id="2"/>
        </w:p>
      </w:tc>
      <w:tc>
        <w:tcPr>
          <w:tcW w:w="1524" w:type="dxa"/>
          <w:gridSpan w:val="2"/>
        </w:tcPr>
        <w:p w14:paraId="466C448D" w14:textId="77777777" w:rsidR="00DB7C09" w:rsidRPr="00BD47E4" w:rsidRDefault="00592356" w:rsidP="00DB7C09">
          <w:pPr>
            <w:rPr>
              <w:b/>
              <w:sz w:val="32"/>
              <w:szCs w:val="32"/>
            </w:rPr>
          </w:pPr>
          <w:bookmarkStart w:id="3" w:name="number"/>
          <w:r w:rsidRPr="00BD47E4">
            <w:rPr>
              <w:b/>
              <w:sz w:val="32"/>
              <w:szCs w:val="32"/>
            </w:rPr>
            <w:t>60 rev. 1</w:t>
          </w:r>
          <w:bookmarkEnd w:id="3"/>
        </w:p>
      </w:tc>
    </w:tr>
    <w:tr w:rsidR="00C91FDA" w14:paraId="0A48358E" w14:textId="77777777" w:rsidTr="00490760">
      <w:trPr>
        <w:trHeight w:val="2165"/>
        <w:jc w:val="center"/>
      </w:trPr>
      <w:tc>
        <w:tcPr>
          <w:tcW w:w="5495" w:type="dxa"/>
        </w:tcPr>
        <w:p w14:paraId="75E7959A" w14:textId="77777777" w:rsidR="00490760" w:rsidRPr="00EE4D48" w:rsidRDefault="00592356" w:rsidP="002A07BC">
          <w:pPr>
            <w:rPr>
              <w:b/>
              <w:sz w:val="28"/>
              <w:szCs w:val="28"/>
            </w:rPr>
          </w:pPr>
          <w:r>
            <w:rPr>
              <w:b/>
              <w:noProof/>
              <w:sz w:val="28"/>
              <w:szCs w:val="28"/>
            </w:rPr>
            <w:drawing>
              <wp:inline distT="0" distB="0" distL="0" distR="0" wp14:anchorId="7B6E69A7" wp14:editId="55D831D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167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0633DD7" w14:textId="77777777" w:rsidR="00490760" w:rsidRPr="00FE5146" w:rsidRDefault="00592356" w:rsidP="00490760">
          <w:pPr>
            <w:jc w:val="right"/>
            <w:rPr>
              <w:sz w:val="144"/>
              <w:szCs w:val="144"/>
            </w:rPr>
          </w:pPr>
          <w:r w:rsidRPr="00FE5146">
            <w:rPr>
              <w:sz w:val="144"/>
              <w:szCs w:val="144"/>
            </w:rPr>
            <w:t>ENG</w:t>
          </w:r>
        </w:p>
      </w:tc>
    </w:tr>
    <w:tr w:rsidR="00C91FDA" w14:paraId="3F0739B3" w14:textId="77777777" w:rsidTr="00BD47E4">
      <w:trPr>
        <w:trHeight w:val="409"/>
        <w:jc w:val="center"/>
      </w:trPr>
      <w:tc>
        <w:tcPr>
          <w:tcW w:w="9039" w:type="dxa"/>
          <w:gridSpan w:val="2"/>
        </w:tcPr>
        <w:p w14:paraId="0F3B30E7" w14:textId="77777777" w:rsidR="00BD47E4" w:rsidRDefault="00592356" w:rsidP="002C30DA">
          <w:pPr>
            <w:jc w:val="right"/>
          </w:pPr>
          <w:r>
            <w:t>Agenda Item:</w:t>
          </w:r>
        </w:p>
      </w:tc>
      <w:tc>
        <w:tcPr>
          <w:tcW w:w="1843" w:type="dxa"/>
          <w:gridSpan w:val="2"/>
        </w:tcPr>
        <w:p w14:paraId="6CCFB6C0" w14:textId="77777777" w:rsidR="00BD47E4" w:rsidRDefault="00592356" w:rsidP="002C30DA">
          <w:pPr>
            <w:jc w:val="right"/>
          </w:pPr>
          <w:bookmarkStart w:id="4" w:name="agenda"/>
          <w:r>
            <w:t>CEP 9b</w:t>
          </w:r>
          <w:bookmarkEnd w:id="4"/>
        </w:p>
      </w:tc>
      <w:tc>
        <w:tcPr>
          <w:tcW w:w="390" w:type="dxa"/>
        </w:tcPr>
        <w:p w14:paraId="77A2E3B9" w14:textId="77777777" w:rsidR="00BD47E4" w:rsidRDefault="00592356" w:rsidP="00387A65">
          <w:pPr>
            <w:jc w:val="right"/>
          </w:pPr>
        </w:p>
      </w:tc>
    </w:tr>
    <w:tr w:rsidR="00C91FDA" w14:paraId="4C81B561" w14:textId="77777777" w:rsidTr="00BD47E4">
      <w:trPr>
        <w:trHeight w:val="397"/>
        <w:jc w:val="center"/>
      </w:trPr>
      <w:tc>
        <w:tcPr>
          <w:tcW w:w="9039" w:type="dxa"/>
          <w:gridSpan w:val="2"/>
        </w:tcPr>
        <w:p w14:paraId="133D6DDC" w14:textId="77777777" w:rsidR="00BD47E4" w:rsidRDefault="00592356" w:rsidP="002C30DA">
          <w:pPr>
            <w:jc w:val="right"/>
          </w:pPr>
          <w:r>
            <w:t>Presented by:</w:t>
          </w:r>
        </w:p>
      </w:tc>
      <w:tc>
        <w:tcPr>
          <w:tcW w:w="1843" w:type="dxa"/>
          <w:gridSpan w:val="2"/>
        </w:tcPr>
        <w:p w14:paraId="36AC3EA1" w14:textId="6EE24621" w:rsidR="00BD47E4" w:rsidRDefault="00592356" w:rsidP="002C30DA">
          <w:pPr>
            <w:jc w:val="right"/>
          </w:pPr>
          <w:bookmarkStart w:id="5" w:name="party"/>
          <w:r>
            <w:t xml:space="preserve">Argentina, Norway, </w:t>
          </w:r>
          <w:r>
            <w:br/>
          </w:r>
          <w:r>
            <w:t>United Kingdom</w:t>
          </w:r>
          <w:bookmarkEnd w:id="5"/>
        </w:p>
      </w:tc>
      <w:tc>
        <w:tcPr>
          <w:tcW w:w="390" w:type="dxa"/>
        </w:tcPr>
        <w:p w14:paraId="08EB78B0" w14:textId="77777777" w:rsidR="00BD47E4" w:rsidRDefault="00592356" w:rsidP="00387A65">
          <w:pPr>
            <w:jc w:val="right"/>
          </w:pPr>
        </w:p>
      </w:tc>
    </w:tr>
    <w:tr w:rsidR="00C91FDA" w14:paraId="45F8CA50" w14:textId="77777777" w:rsidTr="00BD47E4">
      <w:trPr>
        <w:trHeight w:val="409"/>
        <w:jc w:val="center"/>
      </w:trPr>
      <w:tc>
        <w:tcPr>
          <w:tcW w:w="9039" w:type="dxa"/>
          <w:gridSpan w:val="2"/>
        </w:tcPr>
        <w:p w14:paraId="271821FB" w14:textId="77777777" w:rsidR="00BD47E4" w:rsidRDefault="00592356" w:rsidP="002C30DA">
          <w:pPr>
            <w:jc w:val="right"/>
          </w:pPr>
          <w:r>
            <w:t>Original:</w:t>
          </w:r>
        </w:p>
      </w:tc>
      <w:tc>
        <w:tcPr>
          <w:tcW w:w="1843" w:type="dxa"/>
          <w:gridSpan w:val="2"/>
        </w:tcPr>
        <w:p w14:paraId="63DC688F" w14:textId="77777777" w:rsidR="00BD47E4" w:rsidRDefault="00592356" w:rsidP="002C30DA">
          <w:pPr>
            <w:jc w:val="right"/>
          </w:pPr>
          <w:bookmarkStart w:id="6" w:name="language"/>
          <w:r>
            <w:t>English</w:t>
          </w:r>
          <w:bookmarkEnd w:id="6"/>
        </w:p>
      </w:tc>
      <w:tc>
        <w:tcPr>
          <w:tcW w:w="390" w:type="dxa"/>
        </w:tcPr>
        <w:p w14:paraId="19A40FA4" w14:textId="77777777" w:rsidR="00BD47E4" w:rsidRDefault="00592356" w:rsidP="00387A65">
          <w:pPr>
            <w:jc w:val="right"/>
          </w:pPr>
        </w:p>
      </w:tc>
    </w:tr>
    <w:tr w:rsidR="00C91FDA" w14:paraId="0A5C2505" w14:textId="77777777" w:rsidTr="00BD47E4">
      <w:trPr>
        <w:trHeight w:val="409"/>
        <w:jc w:val="center"/>
      </w:trPr>
      <w:tc>
        <w:tcPr>
          <w:tcW w:w="9039" w:type="dxa"/>
          <w:gridSpan w:val="2"/>
        </w:tcPr>
        <w:p w14:paraId="747640B1" w14:textId="77777777" w:rsidR="0097629D" w:rsidRDefault="00592356" w:rsidP="002C30DA">
          <w:pPr>
            <w:jc w:val="right"/>
          </w:pPr>
          <w:r>
            <w:t>Submitted:</w:t>
          </w:r>
        </w:p>
      </w:tc>
      <w:tc>
        <w:tcPr>
          <w:tcW w:w="1843" w:type="dxa"/>
          <w:gridSpan w:val="2"/>
        </w:tcPr>
        <w:p w14:paraId="779CBA23" w14:textId="77777777" w:rsidR="0097629D" w:rsidRDefault="00592356" w:rsidP="0097629D">
          <w:pPr>
            <w:jc w:val="right"/>
          </w:pPr>
          <w:bookmarkStart w:id="7" w:name="date_submission"/>
          <w:r>
            <w:t>11/5/2021</w:t>
          </w:r>
          <w:bookmarkEnd w:id="7"/>
        </w:p>
      </w:tc>
      <w:tc>
        <w:tcPr>
          <w:tcW w:w="390" w:type="dxa"/>
        </w:tcPr>
        <w:p w14:paraId="529DCA06" w14:textId="77777777" w:rsidR="0097629D" w:rsidRDefault="00592356" w:rsidP="00387A65">
          <w:pPr>
            <w:jc w:val="right"/>
          </w:pPr>
        </w:p>
      </w:tc>
    </w:tr>
  </w:tbl>
  <w:p w14:paraId="0C04E652" w14:textId="77777777" w:rsidR="00AE5DD0" w:rsidRDefault="005923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91FDA" w14:paraId="21634B40" w14:textId="77777777">
      <w:trPr>
        <w:trHeight w:val="354"/>
        <w:jc w:val="center"/>
      </w:trPr>
      <w:tc>
        <w:tcPr>
          <w:tcW w:w="9694" w:type="dxa"/>
        </w:tcPr>
        <w:p w14:paraId="3038EFB6" w14:textId="396EB8AF" w:rsidR="00AE5DD0" w:rsidRPr="00BD47E4" w:rsidRDefault="00DA1B70" w:rsidP="00C26F2D">
          <w:pPr>
            <w:jc w:val="right"/>
            <w:rPr>
              <w:b/>
              <w:sz w:val="32"/>
              <w:szCs w:val="32"/>
            </w:rPr>
          </w:pPr>
          <w:r>
            <w:rPr>
              <w:b/>
              <w:sz w:val="32"/>
              <w:szCs w:val="32"/>
            </w:rPr>
            <w:t>WP</w:t>
          </w:r>
        </w:p>
      </w:tc>
      <w:tc>
        <w:tcPr>
          <w:tcW w:w="1332" w:type="dxa"/>
        </w:tcPr>
        <w:p w14:paraId="1350E4B9" w14:textId="0E4C03C2" w:rsidR="00AE5DD0" w:rsidRPr="00BD47E4" w:rsidRDefault="00DA1B70" w:rsidP="00080F4C">
          <w:pPr>
            <w:rPr>
              <w:b/>
              <w:sz w:val="32"/>
              <w:szCs w:val="32"/>
            </w:rPr>
          </w:pPr>
          <w:r>
            <w:rPr>
              <w:b/>
              <w:sz w:val="32"/>
              <w:szCs w:val="32"/>
            </w:rPr>
            <w:t>60 rev.1</w:t>
          </w:r>
        </w:p>
      </w:tc>
    </w:tr>
  </w:tbl>
  <w:p w14:paraId="794A9902" w14:textId="77777777" w:rsidR="00AE5DD0" w:rsidRDefault="005923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D94D9C"/>
    <w:multiLevelType w:val="hybridMultilevel"/>
    <w:tmpl w:val="7826BE6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8F5A169A">
      <w:start w:val="1"/>
      <w:numFmt w:val="bullet"/>
      <w:pStyle w:val="ATSBullet1"/>
      <w:lvlText w:val=""/>
      <w:lvlJc w:val="left"/>
      <w:pPr>
        <w:tabs>
          <w:tab w:val="num" w:pos="360"/>
        </w:tabs>
        <w:ind w:left="360" w:hanging="360"/>
      </w:pPr>
      <w:rPr>
        <w:rFonts w:ascii="Symbol" w:hAnsi="Symbol" w:hint="default"/>
        <w:color w:val="auto"/>
      </w:rPr>
    </w:lvl>
    <w:lvl w:ilvl="1" w:tplc="636C9400" w:tentative="1">
      <w:start w:val="1"/>
      <w:numFmt w:val="bullet"/>
      <w:lvlText w:val="o"/>
      <w:lvlJc w:val="left"/>
      <w:pPr>
        <w:tabs>
          <w:tab w:val="num" w:pos="1440"/>
        </w:tabs>
        <w:ind w:left="1440" w:hanging="360"/>
      </w:pPr>
      <w:rPr>
        <w:rFonts w:ascii="Courier New" w:hAnsi="Courier New" w:cs="Courier New" w:hint="default"/>
      </w:rPr>
    </w:lvl>
    <w:lvl w:ilvl="2" w:tplc="44C0CA14" w:tentative="1">
      <w:start w:val="1"/>
      <w:numFmt w:val="bullet"/>
      <w:lvlText w:val=""/>
      <w:lvlJc w:val="left"/>
      <w:pPr>
        <w:tabs>
          <w:tab w:val="num" w:pos="2160"/>
        </w:tabs>
        <w:ind w:left="2160" w:hanging="360"/>
      </w:pPr>
      <w:rPr>
        <w:rFonts w:ascii="Wingdings" w:hAnsi="Wingdings" w:hint="default"/>
      </w:rPr>
    </w:lvl>
    <w:lvl w:ilvl="3" w:tplc="01D005C8" w:tentative="1">
      <w:start w:val="1"/>
      <w:numFmt w:val="bullet"/>
      <w:lvlText w:val=""/>
      <w:lvlJc w:val="left"/>
      <w:pPr>
        <w:tabs>
          <w:tab w:val="num" w:pos="2880"/>
        </w:tabs>
        <w:ind w:left="2880" w:hanging="360"/>
      </w:pPr>
      <w:rPr>
        <w:rFonts w:ascii="Symbol" w:hAnsi="Symbol" w:hint="default"/>
      </w:rPr>
    </w:lvl>
    <w:lvl w:ilvl="4" w:tplc="18D4FB1C" w:tentative="1">
      <w:start w:val="1"/>
      <w:numFmt w:val="bullet"/>
      <w:lvlText w:val="o"/>
      <w:lvlJc w:val="left"/>
      <w:pPr>
        <w:tabs>
          <w:tab w:val="num" w:pos="3600"/>
        </w:tabs>
        <w:ind w:left="3600" w:hanging="360"/>
      </w:pPr>
      <w:rPr>
        <w:rFonts w:ascii="Courier New" w:hAnsi="Courier New" w:cs="Courier New" w:hint="default"/>
      </w:rPr>
    </w:lvl>
    <w:lvl w:ilvl="5" w:tplc="E94CA3DA" w:tentative="1">
      <w:start w:val="1"/>
      <w:numFmt w:val="bullet"/>
      <w:lvlText w:val=""/>
      <w:lvlJc w:val="left"/>
      <w:pPr>
        <w:tabs>
          <w:tab w:val="num" w:pos="4320"/>
        </w:tabs>
        <w:ind w:left="4320" w:hanging="360"/>
      </w:pPr>
      <w:rPr>
        <w:rFonts w:ascii="Wingdings" w:hAnsi="Wingdings" w:hint="default"/>
      </w:rPr>
    </w:lvl>
    <w:lvl w:ilvl="6" w:tplc="8474E7E4" w:tentative="1">
      <w:start w:val="1"/>
      <w:numFmt w:val="bullet"/>
      <w:lvlText w:val=""/>
      <w:lvlJc w:val="left"/>
      <w:pPr>
        <w:tabs>
          <w:tab w:val="num" w:pos="5040"/>
        </w:tabs>
        <w:ind w:left="5040" w:hanging="360"/>
      </w:pPr>
      <w:rPr>
        <w:rFonts w:ascii="Symbol" w:hAnsi="Symbol" w:hint="default"/>
      </w:rPr>
    </w:lvl>
    <w:lvl w:ilvl="7" w:tplc="A2005530" w:tentative="1">
      <w:start w:val="1"/>
      <w:numFmt w:val="bullet"/>
      <w:lvlText w:val="o"/>
      <w:lvlJc w:val="left"/>
      <w:pPr>
        <w:tabs>
          <w:tab w:val="num" w:pos="5760"/>
        </w:tabs>
        <w:ind w:left="5760" w:hanging="360"/>
      </w:pPr>
      <w:rPr>
        <w:rFonts w:ascii="Courier New" w:hAnsi="Courier New" w:cs="Courier New" w:hint="default"/>
      </w:rPr>
    </w:lvl>
    <w:lvl w:ilvl="8" w:tplc="838039B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91C243"/>
    <w:multiLevelType w:val="hybridMultilevel"/>
    <w:tmpl w:val="5631B37A"/>
    <w:lvl w:ilvl="0" w:tplc="FFFFFFFF">
      <w:start w:val="1"/>
      <w:numFmt w:val="bullet"/>
      <w:lvlText w:val="•"/>
      <w:lvlJc w:val="left"/>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15:restartNumberingAfterBreak="0">
    <w:nsid w:val="40B64D5E"/>
    <w:multiLevelType w:val="hybridMultilevel"/>
    <w:tmpl w:val="AC76AD48"/>
    <w:lvl w:ilvl="0" w:tplc="314A3962">
      <w:numFmt w:val="bullet"/>
      <w:lvlText w:val=""/>
      <w:lvlJc w:val="left"/>
      <w:pPr>
        <w:ind w:left="720" w:hanging="360"/>
      </w:pPr>
      <w:rPr>
        <w:rFonts w:ascii="Symbol" w:eastAsia="Times New Roman"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A0E4C23E">
      <w:start w:val="1"/>
      <w:numFmt w:val="decimal"/>
      <w:lvlText w:val="%1)"/>
      <w:lvlJc w:val="left"/>
      <w:pPr>
        <w:tabs>
          <w:tab w:val="num" w:pos="340"/>
        </w:tabs>
        <w:ind w:left="340" w:hanging="340"/>
      </w:pPr>
      <w:rPr>
        <w:rFonts w:hint="default"/>
      </w:rPr>
    </w:lvl>
    <w:lvl w:ilvl="1" w:tplc="3ACC0F04" w:tentative="1">
      <w:start w:val="1"/>
      <w:numFmt w:val="lowerLetter"/>
      <w:lvlText w:val="%2."/>
      <w:lvlJc w:val="left"/>
      <w:pPr>
        <w:tabs>
          <w:tab w:val="num" w:pos="1440"/>
        </w:tabs>
        <w:ind w:left="1440" w:hanging="360"/>
      </w:pPr>
    </w:lvl>
    <w:lvl w:ilvl="2" w:tplc="4A2E4E6E" w:tentative="1">
      <w:start w:val="1"/>
      <w:numFmt w:val="lowerRoman"/>
      <w:lvlText w:val="%3."/>
      <w:lvlJc w:val="right"/>
      <w:pPr>
        <w:tabs>
          <w:tab w:val="num" w:pos="2160"/>
        </w:tabs>
        <w:ind w:left="2160" w:hanging="180"/>
      </w:pPr>
    </w:lvl>
    <w:lvl w:ilvl="3" w:tplc="515A623C" w:tentative="1">
      <w:start w:val="1"/>
      <w:numFmt w:val="decimal"/>
      <w:lvlText w:val="%4."/>
      <w:lvlJc w:val="left"/>
      <w:pPr>
        <w:tabs>
          <w:tab w:val="num" w:pos="2880"/>
        </w:tabs>
        <w:ind w:left="2880" w:hanging="360"/>
      </w:pPr>
    </w:lvl>
    <w:lvl w:ilvl="4" w:tplc="1EECCA74" w:tentative="1">
      <w:start w:val="1"/>
      <w:numFmt w:val="lowerLetter"/>
      <w:lvlText w:val="%5."/>
      <w:lvlJc w:val="left"/>
      <w:pPr>
        <w:tabs>
          <w:tab w:val="num" w:pos="3600"/>
        </w:tabs>
        <w:ind w:left="3600" w:hanging="360"/>
      </w:pPr>
    </w:lvl>
    <w:lvl w:ilvl="5" w:tplc="80A24374" w:tentative="1">
      <w:start w:val="1"/>
      <w:numFmt w:val="lowerRoman"/>
      <w:lvlText w:val="%6."/>
      <w:lvlJc w:val="right"/>
      <w:pPr>
        <w:tabs>
          <w:tab w:val="num" w:pos="4320"/>
        </w:tabs>
        <w:ind w:left="4320" w:hanging="180"/>
      </w:pPr>
    </w:lvl>
    <w:lvl w:ilvl="6" w:tplc="122EF6E6" w:tentative="1">
      <w:start w:val="1"/>
      <w:numFmt w:val="decimal"/>
      <w:lvlText w:val="%7."/>
      <w:lvlJc w:val="left"/>
      <w:pPr>
        <w:tabs>
          <w:tab w:val="num" w:pos="5040"/>
        </w:tabs>
        <w:ind w:left="5040" w:hanging="360"/>
      </w:pPr>
    </w:lvl>
    <w:lvl w:ilvl="7" w:tplc="9ABED99A" w:tentative="1">
      <w:start w:val="1"/>
      <w:numFmt w:val="lowerLetter"/>
      <w:lvlText w:val="%8."/>
      <w:lvlJc w:val="left"/>
      <w:pPr>
        <w:tabs>
          <w:tab w:val="num" w:pos="5760"/>
        </w:tabs>
        <w:ind w:left="5760" w:hanging="360"/>
      </w:pPr>
    </w:lvl>
    <w:lvl w:ilvl="8" w:tplc="7E0C28C8" w:tentative="1">
      <w:start w:val="1"/>
      <w:numFmt w:val="lowerRoman"/>
      <w:lvlText w:val="%9."/>
      <w:lvlJc w:val="right"/>
      <w:pPr>
        <w:tabs>
          <w:tab w:val="num" w:pos="6480"/>
        </w:tabs>
        <w:ind w:left="6480" w:hanging="180"/>
      </w:pPr>
    </w:lvl>
  </w:abstractNum>
  <w:abstractNum w:abstractNumId="16" w15:restartNumberingAfterBreak="0">
    <w:nsid w:val="4D945E49"/>
    <w:multiLevelType w:val="hybridMultilevel"/>
    <w:tmpl w:val="D7768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2F3AFA"/>
    <w:multiLevelType w:val="hybridMultilevel"/>
    <w:tmpl w:val="9DF09BE6"/>
    <w:lvl w:ilvl="0" w:tplc="F59029BE">
      <w:start w:val="1"/>
      <w:numFmt w:val="decimal"/>
      <w:lvlText w:val="%1."/>
      <w:lvlJc w:val="left"/>
      <w:pPr>
        <w:tabs>
          <w:tab w:val="num" w:pos="1057"/>
        </w:tabs>
        <w:ind w:left="1057" w:hanging="360"/>
      </w:pPr>
      <w:rPr>
        <w:rFonts w:hint="default"/>
      </w:rPr>
    </w:lvl>
    <w:lvl w:ilvl="1" w:tplc="B56EE6D4" w:tentative="1">
      <w:start w:val="1"/>
      <w:numFmt w:val="lowerLetter"/>
      <w:lvlText w:val="%2."/>
      <w:lvlJc w:val="left"/>
      <w:pPr>
        <w:tabs>
          <w:tab w:val="num" w:pos="2137"/>
        </w:tabs>
        <w:ind w:left="2137" w:hanging="360"/>
      </w:pPr>
    </w:lvl>
    <w:lvl w:ilvl="2" w:tplc="DCC64580" w:tentative="1">
      <w:start w:val="1"/>
      <w:numFmt w:val="lowerRoman"/>
      <w:lvlText w:val="%3."/>
      <w:lvlJc w:val="right"/>
      <w:pPr>
        <w:tabs>
          <w:tab w:val="num" w:pos="2857"/>
        </w:tabs>
        <w:ind w:left="2857" w:hanging="180"/>
      </w:pPr>
    </w:lvl>
    <w:lvl w:ilvl="3" w:tplc="ACAA61DE" w:tentative="1">
      <w:start w:val="1"/>
      <w:numFmt w:val="decimal"/>
      <w:lvlText w:val="%4."/>
      <w:lvlJc w:val="left"/>
      <w:pPr>
        <w:tabs>
          <w:tab w:val="num" w:pos="3577"/>
        </w:tabs>
        <w:ind w:left="3577" w:hanging="360"/>
      </w:pPr>
    </w:lvl>
    <w:lvl w:ilvl="4" w:tplc="1E005FC4" w:tentative="1">
      <w:start w:val="1"/>
      <w:numFmt w:val="lowerLetter"/>
      <w:lvlText w:val="%5."/>
      <w:lvlJc w:val="left"/>
      <w:pPr>
        <w:tabs>
          <w:tab w:val="num" w:pos="4297"/>
        </w:tabs>
        <w:ind w:left="4297" w:hanging="360"/>
      </w:pPr>
    </w:lvl>
    <w:lvl w:ilvl="5" w:tplc="52EA3D24" w:tentative="1">
      <w:start w:val="1"/>
      <w:numFmt w:val="lowerRoman"/>
      <w:lvlText w:val="%6."/>
      <w:lvlJc w:val="right"/>
      <w:pPr>
        <w:tabs>
          <w:tab w:val="num" w:pos="5017"/>
        </w:tabs>
        <w:ind w:left="5017" w:hanging="180"/>
      </w:pPr>
    </w:lvl>
    <w:lvl w:ilvl="6" w:tplc="E71EEC1E" w:tentative="1">
      <w:start w:val="1"/>
      <w:numFmt w:val="decimal"/>
      <w:lvlText w:val="%7."/>
      <w:lvlJc w:val="left"/>
      <w:pPr>
        <w:tabs>
          <w:tab w:val="num" w:pos="5737"/>
        </w:tabs>
        <w:ind w:left="5737" w:hanging="360"/>
      </w:pPr>
    </w:lvl>
    <w:lvl w:ilvl="7" w:tplc="D0D8A7BE" w:tentative="1">
      <w:start w:val="1"/>
      <w:numFmt w:val="lowerLetter"/>
      <w:lvlText w:val="%8."/>
      <w:lvlJc w:val="left"/>
      <w:pPr>
        <w:tabs>
          <w:tab w:val="num" w:pos="6457"/>
        </w:tabs>
        <w:ind w:left="6457" w:hanging="360"/>
      </w:pPr>
    </w:lvl>
    <w:lvl w:ilvl="8" w:tplc="D8D623A6" w:tentative="1">
      <w:start w:val="1"/>
      <w:numFmt w:val="lowerRoman"/>
      <w:lvlText w:val="%9."/>
      <w:lvlJc w:val="right"/>
      <w:pPr>
        <w:tabs>
          <w:tab w:val="num" w:pos="7177"/>
        </w:tabs>
        <w:ind w:left="7177" w:hanging="180"/>
      </w:pPr>
    </w:lvl>
  </w:abstractNum>
  <w:abstractNum w:abstractNumId="18" w15:restartNumberingAfterBreak="0">
    <w:nsid w:val="7212657C"/>
    <w:multiLevelType w:val="hybridMultilevel"/>
    <w:tmpl w:val="0A8E2A84"/>
    <w:lvl w:ilvl="0" w:tplc="7B22367C">
      <w:start w:val="1"/>
      <w:numFmt w:val="decimal"/>
      <w:pStyle w:val="ATSNumber1"/>
      <w:lvlText w:val="%1)"/>
      <w:lvlJc w:val="left"/>
      <w:pPr>
        <w:tabs>
          <w:tab w:val="num" w:pos="720"/>
        </w:tabs>
        <w:ind w:left="720" w:hanging="360"/>
      </w:pPr>
    </w:lvl>
    <w:lvl w:ilvl="1" w:tplc="AED47682" w:tentative="1">
      <w:start w:val="1"/>
      <w:numFmt w:val="lowerLetter"/>
      <w:lvlText w:val="%2."/>
      <w:lvlJc w:val="left"/>
      <w:pPr>
        <w:tabs>
          <w:tab w:val="num" w:pos="1440"/>
        </w:tabs>
        <w:ind w:left="1440" w:hanging="360"/>
      </w:pPr>
    </w:lvl>
    <w:lvl w:ilvl="2" w:tplc="C128CA92" w:tentative="1">
      <w:start w:val="1"/>
      <w:numFmt w:val="lowerRoman"/>
      <w:lvlText w:val="%3."/>
      <w:lvlJc w:val="right"/>
      <w:pPr>
        <w:tabs>
          <w:tab w:val="num" w:pos="2160"/>
        </w:tabs>
        <w:ind w:left="2160" w:hanging="180"/>
      </w:pPr>
    </w:lvl>
    <w:lvl w:ilvl="3" w:tplc="C5668C0A" w:tentative="1">
      <w:start w:val="1"/>
      <w:numFmt w:val="decimal"/>
      <w:lvlText w:val="%4."/>
      <w:lvlJc w:val="left"/>
      <w:pPr>
        <w:tabs>
          <w:tab w:val="num" w:pos="2880"/>
        </w:tabs>
        <w:ind w:left="2880" w:hanging="360"/>
      </w:pPr>
    </w:lvl>
    <w:lvl w:ilvl="4" w:tplc="C2804108" w:tentative="1">
      <w:start w:val="1"/>
      <w:numFmt w:val="lowerLetter"/>
      <w:lvlText w:val="%5."/>
      <w:lvlJc w:val="left"/>
      <w:pPr>
        <w:tabs>
          <w:tab w:val="num" w:pos="3600"/>
        </w:tabs>
        <w:ind w:left="3600" w:hanging="360"/>
      </w:pPr>
    </w:lvl>
    <w:lvl w:ilvl="5" w:tplc="3E7476B2" w:tentative="1">
      <w:start w:val="1"/>
      <w:numFmt w:val="lowerRoman"/>
      <w:lvlText w:val="%6."/>
      <w:lvlJc w:val="right"/>
      <w:pPr>
        <w:tabs>
          <w:tab w:val="num" w:pos="4320"/>
        </w:tabs>
        <w:ind w:left="4320" w:hanging="180"/>
      </w:pPr>
    </w:lvl>
    <w:lvl w:ilvl="6" w:tplc="11D8E3B4" w:tentative="1">
      <w:start w:val="1"/>
      <w:numFmt w:val="decimal"/>
      <w:lvlText w:val="%7."/>
      <w:lvlJc w:val="left"/>
      <w:pPr>
        <w:tabs>
          <w:tab w:val="num" w:pos="5040"/>
        </w:tabs>
        <w:ind w:left="5040" w:hanging="360"/>
      </w:pPr>
    </w:lvl>
    <w:lvl w:ilvl="7" w:tplc="F0905652" w:tentative="1">
      <w:start w:val="1"/>
      <w:numFmt w:val="lowerLetter"/>
      <w:lvlText w:val="%8."/>
      <w:lvlJc w:val="left"/>
      <w:pPr>
        <w:tabs>
          <w:tab w:val="num" w:pos="5760"/>
        </w:tabs>
        <w:ind w:left="5760" w:hanging="360"/>
      </w:pPr>
    </w:lvl>
    <w:lvl w:ilvl="8" w:tplc="EE864024" w:tentative="1">
      <w:start w:val="1"/>
      <w:numFmt w:val="lowerRoman"/>
      <w:lvlText w:val="%9."/>
      <w:lvlJc w:val="right"/>
      <w:pPr>
        <w:tabs>
          <w:tab w:val="num" w:pos="6480"/>
        </w:tabs>
        <w:ind w:left="6480" w:hanging="180"/>
      </w:pPr>
    </w:lvl>
  </w:abstractNum>
  <w:abstractNum w:abstractNumId="19" w15:restartNumberingAfterBreak="0">
    <w:nsid w:val="725C0EE2"/>
    <w:multiLevelType w:val="hybridMultilevel"/>
    <w:tmpl w:val="C122EFA2"/>
    <w:lvl w:ilvl="0" w:tplc="314A3962">
      <w:numFmt w:val="bullet"/>
      <w:lvlText w:val=""/>
      <w:lvlJc w:val="left"/>
      <w:pPr>
        <w:ind w:left="720" w:hanging="360"/>
      </w:pPr>
      <w:rPr>
        <w:rFonts w:ascii="Symbol" w:eastAsia="Times New Roman" w:hAnsi="Symbol" w:hint="default"/>
      </w:rPr>
    </w:lvl>
    <w:lvl w:ilvl="1" w:tplc="04140003">
      <w:start w:val="1"/>
      <w:numFmt w:val="bullet"/>
      <w:lvlText w:val="o"/>
      <w:lvlJc w:val="left"/>
      <w:pPr>
        <w:ind w:left="1440" w:hanging="360"/>
      </w:pPr>
      <w:rPr>
        <w:rFonts w:ascii="Courier New" w:hAnsi="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43D2161"/>
    <w:multiLevelType w:val="hybridMultilevel"/>
    <w:tmpl w:val="B0868D9E"/>
    <w:lvl w:ilvl="0" w:tplc="38B8470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D5E6656" w:tentative="1">
      <w:start w:val="1"/>
      <w:numFmt w:val="bullet"/>
      <w:lvlText w:val="o"/>
      <w:lvlJc w:val="left"/>
      <w:pPr>
        <w:tabs>
          <w:tab w:val="num" w:pos="2517"/>
        </w:tabs>
        <w:ind w:left="2517" w:hanging="360"/>
      </w:pPr>
      <w:rPr>
        <w:rFonts w:ascii="Courier New" w:hAnsi="Courier New" w:cs="Courier New" w:hint="default"/>
      </w:rPr>
    </w:lvl>
    <w:lvl w:ilvl="2" w:tplc="90B021B8" w:tentative="1">
      <w:start w:val="1"/>
      <w:numFmt w:val="bullet"/>
      <w:lvlText w:val=""/>
      <w:lvlJc w:val="left"/>
      <w:pPr>
        <w:tabs>
          <w:tab w:val="num" w:pos="3237"/>
        </w:tabs>
        <w:ind w:left="3237" w:hanging="360"/>
      </w:pPr>
      <w:rPr>
        <w:rFonts w:ascii="Wingdings" w:hAnsi="Wingdings" w:hint="default"/>
      </w:rPr>
    </w:lvl>
    <w:lvl w:ilvl="3" w:tplc="D53E42B4" w:tentative="1">
      <w:start w:val="1"/>
      <w:numFmt w:val="bullet"/>
      <w:lvlText w:val=""/>
      <w:lvlJc w:val="left"/>
      <w:pPr>
        <w:tabs>
          <w:tab w:val="num" w:pos="3957"/>
        </w:tabs>
        <w:ind w:left="3957" w:hanging="360"/>
      </w:pPr>
      <w:rPr>
        <w:rFonts w:ascii="Symbol" w:hAnsi="Symbol" w:hint="default"/>
      </w:rPr>
    </w:lvl>
    <w:lvl w:ilvl="4" w:tplc="70D8B11C" w:tentative="1">
      <w:start w:val="1"/>
      <w:numFmt w:val="bullet"/>
      <w:lvlText w:val="o"/>
      <w:lvlJc w:val="left"/>
      <w:pPr>
        <w:tabs>
          <w:tab w:val="num" w:pos="4677"/>
        </w:tabs>
        <w:ind w:left="4677" w:hanging="360"/>
      </w:pPr>
      <w:rPr>
        <w:rFonts w:ascii="Courier New" w:hAnsi="Courier New" w:cs="Courier New" w:hint="default"/>
      </w:rPr>
    </w:lvl>
    <w:lvl w:ilvl="5" w:tplc="21226320" w:tentative="1">
      <w:start w:val="1"/>
      <w:numFmt w:val="bullet"/>
      <w:lvlText w:val=""/>
      <w:lvlJc w:val="left"/>
      <w:pPr>
        <w:tabs>
          <w:tab w:val="num" w:pos="5397"/>
        </w:tabs>
        <w:ind w:left="5397" w:hanging="360"/>
      </w:pPr>
      <w:rPr>
        <w:rFonts w:ascii="Wingdings" w:hAnsi="Wingdings" w:hint="default"/>
      </w:rPr>
    </w:lvl>
    <w:lvl w:ilvl="6" w:tplc="1E3E7072" w:tentative="1">
      <w:start w:val="1"/>
      <w:numFmt w:val="bullet"/>
      <w:lvlText w:val=""/>
      <w:lvlJc w:val="left"/>
      <w:pPr>
        <w:tabs>
          <w:tab w:val="num" w:pos="6117"/>
        </w:tabs>
        <w:ind w:left="6117" w:hanging="360"/>
      </w:pPr>
      <w:rPr>
        <w:rFonts w:ascii="Symbol" w:hAnsi="Symbol" w:hint="default"/>
      </w:rPr>
    </w:lvl>
    <w:lvl w:ilvl="7" w:tplc="67DE0A22" w:tentative="1">
      <w:start w:val="1"/>
      <w:numFmt w:val="bullet"/>
      <w:lvlText w:val="o"/>
      <w:lvlJc w:val="left"/>
      <w:pPr>
        <w:tabs>
          <w:tab w:val="num" w:pos="6837"/>
        </w:tabs>
        <w:ind w:left="6837" w:hanging="360"/>
      </w:pPr>
      <w:rPr>
        <w:rFonts w:ascii="Courier New" w:hAnsi="Courier New" w:cs="Courier New" w:hint="default"/>
      </w:rPr>
    </w:lvl>
    <w:lvl w:ilvl="8" w:tplc="3A82F240" w:tentative="1">
      <w:start w:val="1"/>
      <w:numFmt w:val="bullet"/>
      <w:lvlText w:val=""/>
      <w:lvlJc w:val="left"/>
      <w:pPr>
        <w:tabs>
          <w:tab w:val="num" w:pos="7557"/>
        </w:tabs>
        <w:ind w:left="7557" w:hanging="360"/>
      </w:pPr>
      <w:rPr>
        <w:rFonts w:ascii="Wingdings" w:hAnsi="Wingdings" w:hint="default"/>
      </w:rPr>
    </w:lvl>
  </w:abstractNum>
  <w:abstractNum w:abstractNumId="21" w15:restartNumberingAfterBreak="0">
    <w:nsid w:val="7C866FC0"/>
    <w:multiLevelType w:val="hybridMultilevel"/>
    <w:tmpl w:val="57EA2900"/>
    <w:lvl w:ilvl="0" w:tplc="F8BE493E">
      <w:start w:val="1"/>
      <w:numFmt w:val="decimal"/>
      <w:pStyle w:val="ATSNumber2"/>
      <w:lvlText w:val="%1."/>
      <w:lvlJc w:val="left"/>
      <w:pPr>
        <w:tabs>
          <w:tab w:val="num" w:pos="720"/>
        </w:tabs>
        <w:ind w:left="720" w:hanging="360"/>
      </w:pPr>
      <w:rPr>
        <w:rFonts w:hint="default"/>
      </w:rPr>
    </w:lvl>
    <w:lvl w:ilvl="1" w:tplc="49D83674" w:tentative="1">
      <w:start w:val="1"/>
      <w:numFmt w:val="lowerLetter"/>
      <w:lvlText w:val="%2."/>
      <w:lvlJc w:val="left"/>
      <w:pPr>
        <w:tabs>
          <w:tab w:val="num" w:pos="1440"/>
        </w:tabs>
        <w:ind w:left="1440" w:hanging="360"/>
      </w:pPr>
    </w:lvl>
    <w:lvl w:ilvl="2" w:tplc="754C6C62" w:tentative="1">
      <w:start w:val="1"/>
      <w:numFmt w:val="lowerRoman"/>
      <w:lvlText w:val="%3."/>
      <w:lvlJc w:val="right"/>
      <w:pPr>
        <w:tabs>
          <w:tab w:val="num" w:pos="2160"/>
        </w:tabs>
        <w:ind w:left="2160" w:hanging="180"/>
      </w:pPr>
    </w:lvl>
    <w:lvl w:ilvl="3" w:tplc="82EC4096" w:tentative="1">
      <w:start w:val="1"/>
      <w:numFmt w:val="decimal"/>
      <w:lvlText w:val="%4."/>
      <w:lvlJc w:val="left"/>
      <w:pPr>
        <w:tabs>
          <w:tab w:val="num" w:pos="2880"/>
        </w:tabs>
        <w:ind w:left="2880" w:hanging="360"/>
      </w:pPr>
    </w:lvl>
    <w:lvl w:ilvl="4" w:tplc="16A064EE" w:tentative="1">
      <w:start w:val="1"/>
      <w:numFmt w:val="lowerLetter"/>
      <w:lvlText w:val="%5."/>
      <w:lvlJc w:val="left"/>
      <w:pPr>
        <w:tabs>
          <w:tab w:val="num" w:pos="3600"/>
        </w:tabs>
        <w:ind w:left="3600" w:hanging="360"/>
      </w:pPr>
    </w:lvl>
    <w:lvl w:ilvl="5" w:tplc="6D1A04DA" w:tentative="1">
      <w:start w:val="1"/>
      <w:numFmt w:val="lowerRoman"/>
      <w:lvlText w:val="%6."/>
      <w:lvlJc w:val="right"/>
      <w:pPr>
        <w:tabs>
          <w:tab w:val="num" w:pos="4320"/>
        </w:tabs>
        <w:ind w:left="4320" w:hanging="180"/>
      </w:pPr>
    </w:lvl>
    <w:lvl w:ilvl="6" w:tplc="5776C790" w:tentative="1">
      <w:start w:val="1"/>
      <w:numFmt w:val="decimal"/>
      <w:lvlText w:val="%7."/>
      <w:lvlJc w:val="left"/>
      <w:pPr>
        <w:tabs>
          <w:tab w:val="num" w:pos="5040"/>
        </w:tabs>
        <w:ind w:left="5040" w:hanging="360"/>
      </w:pPr>
    </w:lvl>
    <w:lvl w:ilvl="7" w:tplc="5A944F76" w:tentative="1">
      <w:start w:val="1"/>
      <w:numFmt w:val="lowerLetter"/>
      <w:lvlText w:val="%8."/>
      <w:lvlJc w:val="left"/>
      <w:pPr>
        <w:tabs>
          <w:tab w:val="num" w:pos="5760"/>
        </w:tabs>
        <w:ind w:left="5760" w:hanging="360"/>
      </w:pPr>
    </w:lvl>
    <w:lvl w:ilvl="8" w:tplc="BAEC88B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0"/>
  </w:num>
  <w:num w:numId="13">
    <w:abstractNumId w:val="18"/>
  </w:num>
  <w:num w:numId="14">
    <w:abstractNumId w:val="15"/>
  </w:num>
  <w:num w:numId="15">
    <w:abstractNumId w:val="17"/>
  </w:num>
  <w:num w:numId="16">
    <w:abstractNumId w:val="11"/>
  </w:num>
  <w:num w:numId="17">
    <w:abstractNumId w:val="12"/>
  </w:num>
  <w:num w:numId="18">
    <w:abstractNumId w:val="20"/>
  </w:num>
  <w:num w:numId="19">
    <w:abstractNumId w:val="18"/>
  </w:num>
  <w:num w:numId="20">
    <w:abstractNumId w:val="21"/>
  </w:num>
  <w:num w:numId="21">
    <w:abstractNumId w:val="13"/>
  </w:num>
  <w:num w:numId="22">
    <w:abstractNumId w:val="19"/>
  </w:num>
  <w:num w:numId="23">
    <w:abstractNumId w:val="14"/>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DA"/>
    <w:rsid w:val="00592356"/>
    <w:rsid w:val="00C91FDA"/>
    <w:rsid w:val="00DA1B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79916"/>
  <w15:chartTrackingRefBased/>
  <w15:docId w15:val="{CAE21395-2A30-45CE-8354-BA79E080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DA1B70"/>
    <w:pPr>
      <w:autoSpaceDE w:val="0"/>
      <w:autoSpaceDN w:val="0"/>
      <w:adjustRightInd w:val="0"/>
    </w:pPr>
    <w:rPr>
      <w:rFonts w:ascii="Calibri" w:hAnsi="Calibri" w:cs="Calibri"/>
      <w:color w:val="000000"/>
      <w:sz w:val="24"/>
      <w:szCs w:val="24"/>
      <w:lang w:val="nb-N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ts.aq/devAS/Meetings/Measure/44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s.aq/devAS/Meetings/Measure/694"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2253</Words>
  <Characters>12803</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2021-05-11T16:30:00Z</dcterms:modified>
</cp:coreProperties>
</file>