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60FB" w14:textId="77777777" w:rsidR="00C26F2D" w:rsidRPr="00BF077B" w:rsidRDefault="00B41A84" w:rsidP="00BF077B">
      <w:pPr>
        <w:pStyle w:val="ATSNormal"/>
        <w:rPr>
          <w:rStyle w:val="Ttulodellibro"/>
        </w:rPr>
      </w:pPr>
    </w:p>
    <w:p w14:paraId="08DD5647" w14:textId="77777777" w:rsidR="002F0A13" w:rsidRDefault="00B41A84" w:rsidP="004B4A60">
      <w:pPr>
        <w:rPr>
          <w:b/>
          <w:u w:val="single"/>
          <w:lang w:val="es-ES_tradnl"/>
        </w:rPr>
      </w:pPr>
    </w:p>
    <w:p w14:paraId="2E439425" w14:textId="77777777" w:rsidR="002F0A13" w:rsidRDefault="00B41A84" w:rsidP="004B4A60">
      <w:pPr>
        <w:rPr>
          <w:b/>
          <w:u w:val="single"/>
          <w:lang w:val="es-ES_tradnl"/>
        </w:rPr>
      </w:pPr>
    </w:p>
    <w:p w14:paraId="71972BAD" w14:textId="77777777" w:rsidR="002F0A13" w:rsidRDefault="00B41A84" w:rsidP="004B4A60">
      <w:pPr>
        <w:rPr>
          <w:b/>
          <w:u w:val="single"/>
          <w:lang w:val="es-ES_tradnl"/>
        </w:rPr>
      </w:pPr>
    </w:p>
    <w:p w14:paraId="4F737CB0" w14:textId="77777777" w:rsidR="002F0A13" w:rsidRDefault="00B41A84" w:rsidP="004B4A60">
      <w:pPr>
        <w:rPr>
          <w:b/>
          <w:u w:val="single"/>
          <w:lang w:val="es-ES_tradnl"/>
        </w:rPr>
      </w:pPr>
    </w:p>
    <w:p w14:paraId="1C835B0F" w14:textId="77777777" w:rsidR="00C26F2D" w:rsidRDefault="00B41A84" w:rsidP="004B4A60">
      <w:pPr>
        <w:rPr>
          <w:b/>
          <w:u w:val="single"/>
          <w:lang w:val="es-ES_tradnl"/>
        </w:rPr>
      </w:pPr>
    </w:p>
    <w:p w14:paraId="6FB6A4B4" w14:textId="77777777" w:rsidR="00B41A84" w:rsidRDefault="00B41A84" w:rsidP="001B789F">
      <w:pPr>
        <w:pStyle w:val="ATSTitle"/>
      </w:pPr>
      <w:bookmarkStart w:id="0" w:name="name"/>
      <w:r>
        <w:t>Revised Management Plan for Antarctic Specially Protected Area No. 124</w:t>
      </w:r>
    </w:p>
    <w:p w14:paraId="7649103C" w14:textId="76CE9EFF" w:rsidR="004B4A60" w:rsidRPr="0057246E" w:rsidRDefault="00B41A84" w:rsidP="001B789F">
      <w:pPr>
        <w:pStyle w:val="ATSTitle"/>
      </w:pPr>
      <w:r>
        <w:t xml:space="preserve"> Cape Crozier, Ross Island</w:t>
      </w:r>
    </w:p>
    <w:bookmarkEnd w:id="0"/>
    <w:p w14:paraId="6C00BA11" w14:textId="77777777" w:rsidR="00B6616A" w:rsidRDefault="00B6616A" w:rsidP="001B789F">
      <w:pPr>
        <w:pStyle w:val="ATSTitle"/>
      </w:pPr>
    </w:p>
    <w:p w14:paraId="72EF0A25" w14:textId="77777777" w:rsidR="004B4A60" w:rsidRPr="0057246E" w:rsidRDefault="00B41A84" w:rsidP="00F75424">
      <w:pPr>
        <w:jc w:val="center"/>
      </w:pPr>
    </w:p>
    <w:p w14:paraId="576523E7" w14:textId="77777777" w:rsidR="004B4A60" w:rsidRPr="002F0A13" w:rsidRDefault="00B41A84" w:rsidP="002F0A13"/>
    <w:p w14:paraId="5E1F3580" w14:textId="77777777" w:rsidR="004B4A60" w:rsidRDefault="00B41A84" w:rsidP="00F75424">
      <w:pPr>
        <w:jc w:val="center"/>
      </w:pPr>
      <w:bookmarkStart w:id="1" w:name="memo"/>
      <w:bookmarkEnd w:id="1"/>
    </w:p>
    <w:p w14:paraId="6E544E82" w14:textId="77777777" w:rsidR="0097629D" w:rsidRDefault="00B41A84" w:rsidP="00F75424">
      <w:pPr>
        <w:jc w:val="center"/>
      </w:pPr>
    </w:p>
    <w:p w14:paraId="3354B75B" w14:textId="77777777" w:rsidR="0097629D" w:rsidRDefault="00B41A84" w:rsidP="00F75424">
      <w:pPr>
        <w:jc w:val="center"/>
      </w:pPr>
    </w:p>
    <w:p w14:paraId="540AE7B6" w14:textId="77777777" w:rsidR="0097629D" w:rsidRDefault="00B41A84" w:rsidP="00F75424">
      <w:pPr>
        <w:jc w:val="center"/>
      </w:pPr>
    </w:p>
    <w:p w14:paraId="41682029" w14:textId="77777777" w:rsidR="0097629D" w:rsidRPr="00C26F2D" w:rsidRDefault="00B41A84" w:rsidP="00F75424">
      <w:pPr>
        <w:jc w:val="center"/>
      </w:pPr>
    </w:p>
    <w:p w14:paraId="52A6A613" w14:textId="77777777" w:rsidR="004B4A60" w:rsidRPr="0057246E" w:rsidRDefault="00B41A84" w:rsidP="004B4A60"/>
    <w:p w14:paraId="5E3E174B" w14:textId="77777777" w:rsidR="00C26F2D" w:rsidRDefault="00B41A8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F1083C6" w14:textId="30BECEC3" w:rsidR="004B4A60" w:rsidRDefault="00B41A84" w:rsidP="00952E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390"/>
        <w:gridCol w:w="4105"/>
      </w:tblGrid>
      <w:tr w:rsidR="00B41A84" w:rsidRPr="00323C65" w14:paraId="3BBF7A51" w14:textId="77777777" w:rsidTr="00B41A84">
        <w:trPr>
          <w:cantSplit/>
          <w:trHeight w:val="434"/>
        </w:trPr>
        <w:tc>
          <w:tcPr>
            <w:tcW w:w="8495" w:type="dxa"/>
            <w:gridSpan w:val="2"/>
          </w:tcPr>
          <w:p w14:paraId="03D5CA53" w14:textId="77777777" w:rsidR="00B41A84" w:rsidRPr="009233F3" w:rsidRDefault="00B41A84" w:rsidP="007B1916">
            <w:pPr>
              <w:pStyle w:val="ATSTitle"/>
              <w:rPr>
                <w:rFonts w:ascii="Times New Roman" w:hAnsi="Times New Roman"/>
                <w:sz w:val="20"/>
                <w:szCs w:val="20"/>
              </w:rPr>
            </w:pPr>
            <w:r>
              <w:rPr>
                <w:rFonts w:ascii="Times New Roman" w:hAnsi="Times New Roman"/>
                <w:snapToGrid w:val="0"/>
                <w:sz w:val="20"/>
                <w:szCs w:val="20"/>
              </w:rPr>
              <w:t xml:space="preserve">ASPA No. 124 </w:t>
            </w:r>
            <w:r>
              <w:rPr>
                <w:rFonts w:ascii="Times New Roman" w:hAnsi="Times New Roman"/>
                <w:sz w:val="20"/>
                <w:szCs w:val="20"/>
              </w:rPr>
              <w:t>Cape Crozier, Ross Island</w:t>
            </w:r>
          </w:p>
        </w:tc>
      </w:tr>
      <w:tr w:rsidR="00B41A84" w:rsidRPr="00323C65" w14:paraId="5F005120" w14:textId="77777777" w:rsidTr="00B41A84">
        <w:tc>
          <w:tcPr>
            <w:tcW w:w="4390" w:type="dxa"/>
          </w:tcPr>
          <w:p w14:paraId="3BC436B0" w14:textId="77777777" w:rsidR="00B41A84" w:rsidRPr="00323C65" w:rsidRDefault="00B41A84" w:rsidP="007B1916">
            <w:pPr>
              <w:pStyle w:val="ATSNormal"/>
              <w:rPr>
                <w:b/>
                <w:snapToGrid w:val="0"/>
                <w:sz w:val="20"/>
                <w:szCs w:val="20"/>
              </w:rPr>
            </w:pPr>
            <w:r w:rsidRPr="00323C65">
              <w:rPr>
                <w:b/>
                <w:snapToGrid w:val="0"/>
                <w:sz w:val="20"/>
                <w:szCs w:val="20"/>
              </w:rPr>
              <w:t>1. Is a new ASPA proposed?</w:t>
            </w:r>
          </w:p>
        </w:tc>
        <w:tc>
          <w:tcPr>
            <w:tcW w:w="4105" w:type="dxa"/>
          </w:tcPr>
          <w:p w14:paraId="7172DFCB" w14:textId="77777777" w:rsidR="00B41A84" w:rsidRPr="00323C65" w:rsidRDefault="00B41A84" w:rsidP="007B1916">
            <w:pPr>
              <w:pStyle w:val="ATSNormal"/>
              <w:rPr>
                <w:snapToGrid w:val="0"/>
                <w:sz w:val="20"/>
                <w:szCs w:val="20"/>
              </w:rPr>
            </w:pPr>
            <w:r w:rsidRPr="00323C65">
              <w:rPr>
                <w:snapToGrid w:val="0"/>
                <w:sz w:val="20"/>
                <w:szCs w:val="20"/>
              </w:rPr>
              <w:t>No</w:t>
            </w:r>
          </w:p>
        </w:tc>
      </w:tr>
      <w:tr w:rsidR="00B41A84" w:rsidRPr="00323C65" w14:paraId="2BC7F78A" w14:textId="77777777" w:rsidTr="00B41A84">
        <w:tc>
          <w:tcPr>
            <w:tcW w:w="4390" w:type="dxa"/>
          </w:tcPr>
          <w:p w14:paraId="2A35257F" w14:textId="77777777" w:rsidR="00B41A84" w:rsidRPr="00323C65" w:rsidRDefault="00B41A84" w:rsidP="007B1916">
            <w:pPr>
              <w:pStyle w:val="ATSNormal"/>
              <w:rPr>
                <w:b/>
                <w:snapToGrid w:val="0"/>
                <w:sz w:val="20"/>
                <w:szCs w:val="20"/>
              </w:rPr>
            </w:pPr>
            <w:r w:rsidRPr="00323C65">
              <w:rPr>
                <w:b/>
                <w:snapToGrid w:val="0"/>
                <w:sz w:val="20"/>
                <w:szCs w:val="20"/>
              </w:rPr>
              <w:t>2. Is a new ASMA proposed?</w:t>
            </w:r>
          </w:p>
        </w:tc>
        <w:tc>
          <w:tcPr>
            <w:tcW w:w="4105" w:type="dxa"/>
          </w:tcPr>
          <w:p w14:paraId="53EC500D" w14:textId="77777777" w:rsidR="00B41A84" w:rsidRPr="00323C65" w:rsidRDefault="00B41A84" w:rsidP="007B1916">
            <w:pPr>
              <w:pStyle w:val="ATSNormal"/>
              <w:rPr>
                <w:snapToGrid w:val="0"/>
                <w:sz w:val="20"/>
                <w:szCs w:val="20"/>
              </w:rPr>
            </w:pPr>
            <w:r w:rsidRPr="00323C65">
              <w:rPr>
                <w:snapToGrid w:val="0"/>
                <w:sz w:val="20"/>
                <w:szCs w:val="20"/>
              </w:rPr>
              <w:t>No</w:t>
            </w:r>
          </w:p>
        </w:tc>
      </w:tr>
      <w:tr w:rsidR="00B41A84" w:rsidRPr="00323C65" w14:paraId="0365D36A" w14:textId="77777777" w:rsidTr="00B41A84">
        <w:tc>
          <w:tcPr>
            <w:tcW w:w="4390" w:type="dxa"/>
          </w:tcPr>
          <w:p w14:paraId="3170236E" w14:textId="77777777" w:rsidR="00B41A84" w:rsidRPr="00323C65" w:rsidRDefault="00B41A84" w:rsidP="007B1916">
            <w:pPr>
              <w:pStyle w:val="ATSNormal"/>
              <w:rPr>
                <w:b/>
                <w:snapToGrid w:val="0"/>
                <w:sz w:val="20"/>
                <w:szCs w:val="20"/>
              </w:rPr>
            </w:pPr>
            <w:r w:rsidRPr="00323C65">
              <w:rPr>
                <w:b/>
                <w:snapToGrid w:val="0"/>
                <w:sz w:val="20"/>
                <w:szCs w:val="20"/>
              </w:rPr>
              <w:t>3. Does the proposal relate to an existing ASPA or ASMA?</w:t>
            </w:r>
          </w:p>
        </w:tc>
        <w:tc>
          <w:tcPr>
            <w:tcW w:w="4105" w:type="dxa"/>
          </w:tcPr>
          <w:p w14:paraId="360BF293" w14:textId="77777777" w:rsidR="00B41A84" w:rsidRPr="00323C65" w:rsidRDefault="00B41A84" w:rsidP="007B1916">
            <w:pPr>
              <w:pStyle w:val="ATSNormal"/>
              <w:rPr>
                <w:snapToGrid w:val="0"/>
                <w:sz w:val="20"/>
                <w:szCs w:val="20"/>
              </w:rPr>
            </w:pPr>
            <w:r w:rsidRPr="00323C65">
              <w:rPr>
                <w:snapToGrid w:val="0"/>
                <w:sz w:val="20"/>
                <w:szCs w:val="20"/>
              </w:rPr>
              <w:t>Yes</w:t>
            </w:r>
          </w:p>
        </w:tc>
      </w:tr>
      <w:tr w:rsidR="00B41A84" w:rsidRPr="00323C65" w14:paraId="0476A15B" w14:textId="77777777" w:rsidTr="00B41A84">
        <w:tc>
          <w:tcPr>
            <w:tcW w:w="4390" w:type="dxa"/>
          </w:tcPr>
          <w:p w14:paraId="746C2D19" w14:textId="77777777" w:rsidR="00B41A84" w:rsidRPr="00323C65" w:rsidRDefault="00B41A84" w:rsidP="007B1916">
            <w:pPr>
              <w:pStyle w:val="ATSNormal"/>
              <w:jc w:val="center"/>
              <w:rPr>
                <w:i/>
                <w:sz w:val="20"/>
                <w:szCs w:val="20"/>
              </w:rPr>
            </w:pPr>
            <w:r w:rsidRPr="00323C65">
              <w:rPr>
                <w:i/>
                <w:sz w:val="20"/>
                <w:szCs w:val="20"/>
              </w:rPr>
              <w:t>First designation:</w:t>
            </w:r>
          </w:p>
        </w:tc>
        <w:tc>
          <w:tcPr>
            <w:tcW w:w="4105" w:type="dxa"/>
          </w:tcPr>
          <w:p w14:paraId="750AFCA2" w14:textId="77777777" w:rsidR="00B41A84" w:rsidRPr="00B30738" w:rsidRDefault="00B41A84" w:rsidP="007B1916">
            <w:pPr>
              <w:pStyle w:val="ATSNormal"/>
              <w:rPr>
                <w:sz w:val="20"/>
                <w:szCs w:val="20"/>
              </w:rPr>
            </w:pPr>
            <w:r w:rsidRPr="00B30738">
              <w:rPr>
                <w:sz w:val="20"/>
                <w:szCs w:val="20"/>
              </w:rPr>
              <w:t>Recom</w:t>
            </w:r>
            <w:r>
              <w:rPr>
                <w:sz w:val="20"/>
                <w:szCs w:val="20"/>
              </w:rPr>
              <w:t>mendation IV-6 (1966) SPA No.6</w:t>
            </w:r>
            <w:r w:rsidRPr="00B30738">
              <w:rPr>
                <w:sz w:val="20"/>
                <w:szCs w:val="20"/>
              </w:rPr>
              <w:t>,</w:t>
            </w:r>
          </w:p>
          <w:p w14:paraId="418ACA10" w14:textId="77777777" w:rsidR="00B41A84" w:rsidRPr="00323C65" w:rsidRDefault="00B41A84" w:rsidP="007B1916">
            <w:pPr>
              <w:pStyle w:val="ATSNormal"/>
              <w:rPr>
                <w:snapToGrid w:val="0"/>
                <w:sz w:val="20"/>
                <w:szCs w:val="20"/>
              </w:rPr>
            </w:pPr>
            <w:r w:rsidRPr="00B30738">
              <w:rPr>
                <w:sz w:val="20"/>
                <w:szCs w:val="20"/>
              </w:rPr>
              <w:t>Recommendation VII-4 (1975) SSSI No.4</w:t>
            </w:r>
          </w:p>
        </w:tc>
      </w:tr>
      <w:tr w:rsidR="00B41A84" w:rsidRPr="00323C65" w14:paraId="1E3C9B0E" w14:textId="77777777" w:rsidTr="00B41A84">
        <w:tc>
          <w:tcPr>
            <w:tcW w:w="4390" w:type="dxa"/>
          </w:tcPr>
          <w:p w14:paraId="5618D5DB" w14:textId="77777777" w:rsidR="00B41A84" w:rsidRPr="00323C65" w:rsidRDefault="00B41A84" w:rsidP="007B1916">
            <w:pPr>
              <w:pStyle w:val="ATSNormal"/>
              <w:jc w:val="center"/>
              <w:rPr>
                <w:i/>
                <w:sz w:val="20"/>
                <w:szCs w:val="20"/>
              </w:rPr>
            </w:pPr>
            <w:r w:rsidRPr="00323C65">
              <w:rPr>
                <w:i/>
                <w:sz w:val="20"/>
                <w:szCs w:val="20"/>
              </w:rPr>
              <w:t>First adoption of management plan:</w:t>
            </w:r>
          </w:p>
        </w:tc>
        <w:tc>
          <w:tcPr>
            <w:tcW w:w="4105" w:type="dxa"/>
          </w:tcPr>
          <w:p w14:paraId="11D11C6F" w14:textId="77777777" w:rsidR="00B41A84" w:rsidRPr="00323C65" w:rsidRDefault="00B41A84" w:rsidP="007B1916">
            <w:pPr>
              <w:pStyle w:val="ATSNormal"/>
              <w:rPr>
                <w:snapToGrid w:val="0"/>
                <w:sz w:val="20"/>
                <w:szCs w:val="20"/>
              </w:rPr>
            </w:pPr>
            <w:r w:rsidRPr="00B30738">
              <w:rPr>
                <w:sz w:val="20"/>
                <w:szCs w:val="20"/>
              </w:rPr>
              <w:t>Recommendation VII-4 (1975) SSSI No.4</w:t>
            </w:r>
          </w:p>
        </w:tc>
      </w:tr>
      <w:tr w:rsidR="00B41A84" w:rsidRPr="00323C65" w14:paraId="223080F0" w14:textId="77777777" w:rsidTr="00B41A84">
        <w:tc>
          <w:tcPr>
            <w:tcW w:w="4390" w:type="dxa"/>
          </w:tcPr>
          <w:p w14:paraId="16151B91" w14:textId="77777777" w:rsidR="00B41A84" w:rsidRPr="00323C65" w:rsidRDefault="00B41A84" w:rsidP="007B1916">
            <w:pPr>
              <w:pStyle w:val="ATSNormal"/>
              <w:jc w:val="center"/>
              <w:rPr>
                <w:i/>
                <w:sz w:val="20"/>
                <w:szCs w:val="20"/>
              </w:rPr>
            </w:pPr>
            <w:r w:rsidRPr="00323C65">
              <w:rPr>
                <w:i/>
                <w:sz w:val="20"/>
                <w:szCs w:val="20"/>
              </w:rPr>
              <w:t>Any revisions to management plan:</w:t>
            </w:r>
          </w:p>
        </w:tc>
        <w:tc>
          <w:tcPr>
            <w:tcW w:w="4105" w:type="dxa"/>
          </w:tcPr>
          <w:p w14:paraId="42CF34FC" w14:textId="77777777" w:rsidR="00B41A84" w:rsidRPr="0083144B" w:rsidRDefault="00B41A84" w:rsidP="007B1916">
            <w:pPr>
              <w:pStyle w:val="ATSNormal"/>
              <w:rPr>
                <w:szCs w:val="22"/>
              </w:rPr>
            </w:pPr>
            <w:r w:rsidRPr="00B30738">
              <w:rPr>
                <w:sz w:val="20"/>
                <w:szCs w:val="20"/>
              </w:rPr>
              <w:t>Recommendation VII</w:t>
            </w:r>
            <w:r>
              <w:rPr>
                <w:sz w:val="20"/>
                <w:szCs w:val="20"/>
              </w:rPr>
              <w:t>I</w:t>
            </w:r>
            <w:r w:rsidRPr="00B30738">
              <w:rPr>
                <w:sz w:val="20"/>
                <w:szCs w:val="20"/>
              </w:rPr>
              <w:t>-</w:t>
            </w:r>
            <w:r>
              <w:rPr>
                <w:sz w:val="20"/>
                <w:szCs w:val="20"/>
              </w:rPr>
              <w:t xml:space="preserve">2 (1975), Measure 3 (2001), Measure 1 (2002), </w:t>
            </w:r>
            <w:r w:rsidRPr="00FF0DF4">
              <w:rPr>
                <w:snapToGrid w:val="0"/>
                <w:sz w:val="20"/>
                <w:szCs w:val="20"/>
              </w:rPr>
              <w:t>Measure 7 (2008)</w:t>
            </w:r>
            <w:r>
              <w:rPr>
                <w:snapToGrid w:val="0"/>
                <w:sz w:val="20"/>
                <w:szCs w:val="20"/>
              </w:rPr>
              <w:t>, Measure 3 (2014)</w:t>
            </w:r>
          </w:p>
        </w:tc>
      </w:tr>
      <w:tr w:rsidR="00B41A84" w:rsidRPr="00323C65" w14:paraId="1B043952" w14:textId="77777777" w:rsidTr="00B41A84">
        <w:tc>
          <w:tcPr>
            <w:tcW w:w="4390" w:type="dxa"/>
          </w:tcPr>
          <w:p w14:paraId="39CF456A" w14:textId="77777777" w:rsidR="00B41A84" w:rsidRPr="00323C65" w:rsidRDefault="00B41A84" w:rsidP="007B1916">
            <w:pPr>
              <w:pStyle w:val="ATSNormal"/>
              <w:jc w:val="center"/>
              <w:rPr>
                <w:i/>
                <w:sz w:val="20"/>
                <w:szCs w:val="20"/>
              </w:rPr>
            </w:pPr>
            <w:r w:rsidRPr="00323C65">
              <w:rPr>
                <w:i/>
                <w:sz w:val="20"/>
                <w:szCs w:val="20"/>
              </w:rPr>
              <w:t>Current management plan:</w:t>
            </w:r>
          </w:p>
        </w:tc>
        <w:tc>
          <w:tcPr>
            <w:tcW w:w="4105" w:type="dxa"/>
          </w:tcPr>
          <w:p w14:paraId="5FA6BF42" w14:textId="77777777" w:rsidR="00B41A84" w:rsidRPr="00D40E7A" w:rsidRDefault="00B41A84" w:rsidP="007B1916">
            <w:pPr>
              <w:pStyle w:val="ATSNormal"/>
              <w:rPr>
                <w:snapToGrid w:val="0"/>
                <w:sz w:val="20"/>
                <w:szCs w:val="20"/>
              </w:rPr>
            </w:pPr>
            <w:r>
              <w:rPr>
                <w:snapToGrid w:val="0"/>
                <w:sz w:val="20"/>
                <w:szCs w:val="20"/>
              </w:rPr>
              <w:t>Measure 3 (2014)</w:t>
            </w:r>
          </w:p>
        </w:tc>
      </w:tr>
      <w:tr w:rsidR="00B41A84" w:rsidRPr="00323C65" w14:paraId="25A299FD" w14:textId="77777777" w:rsidTr="00B41A84">
        <w:tc>
          <w:tcPr>
            <w:tcW w:w="4390" w:type="dxa"/>
          </w:tcPr>
          <w:p w14:paraId="0C17B950" w14:textId="77777777" w:rsidR="00B41A84" w:rsidRPr="00323C65" w:rsidRDefault="00B41A84" w:rsidP="007B1916">
            <w:pPr>
              <w:pStyle w:val="ATSNormal"/>
              <w:jc w:val="center"/>
              <w:rPr>
                <w:i/>
                <w:sz w:val="20"/>
                <w:szCs w:val="20"/>
              </w:rPr>
            </w:pPr>
            <w:r w:rsidRPr="00323C65">
              <w:rPr>
                <w:i/>
                <w:sz w:val="20"/>
                <w:szCs w:val="20"/>
              </w:rPr>
              <w:t>Any extensions of expiry dates of management plan:</w:t>
            </w:r>
          </w:p>
        </w:tc>
        <w:tc>
          <w:tcPr>
            <w:tcW w:w="4105" w:type="dxa"/>
          </w:tcPr>
          <w:p w14:paraId="052CE039" w14:textId="77777777" w:rsidR="00B41A84" w:rsidRPr="00D40E7A" w:rsidRDefault="00B41A84" w:rsidP="007B1916">
            <w:pPr>
              <w:pStyle w:val="ATSNormal"/>
              <w:rPr>
                <w:snapToGrid w:val="0"/>
                <w:sz w:val="20"/>
                <w:szCs w:val="20"/>
                <w:highlight w:val="yellow"/>
              </w:rPr>
            </w:pPr>
            <w:r w:rsidRPr="00B30738">
              <w:rPr>
                <w:sz w:val="20"/>
                <w:szCs w:val="20"/>
              </w:rPr>
              <w:t xml:space="preserve">Recommendation </w:t>
            </w:r>
            <w:r>
              <w:rPr>
                <w:sz w:val="20"/>
                <w:szCs w:val="20"/>
              </w:rPr>
              <w:t>X</w:t>
            </w:r>
            <w:r w:rsidRPr="00B30738">
              <w:rPr>
                <w:sz w:val="20"/>
                <w:szCs w:val="20"/>
              </w:rPr>
              <w:t>-</w:t>
            </w:r>
            <w:r>
              <w:rPr>
                <w:sz w:val="20"/>
                <w:szCs w:val="20"/>
              </w:rPr>
              <w:t xml:space="preserve">6 (1979), </w:t>
            </w:r>
            <w:r w:rsidRPr="00B30738">
              <w:rPr>
                <w:sz w:val="20"/>
                <w:szCs w:val="20"/>
              </w:rPr>
              <w:t xml:space="preserve">Recommendation </w:t>
            </w:r>
            <w:r>
              <w:rPr>
                <w:sz w:val="20"/>
                <w:szCs w:val="20"/>
              </w:rPr>
              <w:t>X</w:t>
            </w:r>
            <w:r w:rsidRPr="00B30738">
              <w:rPr>
                <w:sz w:val="20"/>
                <w:szCs w:val="20"/>
              </w:rPr>
              <w:t>I</w:t>
            </w:r>
            <w:r>
              <w:rPr>
                <w:sz w:val="20"/>
                <w:szCs w:val="20"/>
              </w:rPr>
              <w:t>I</w:t>
            </w:r>
            <w:r w:rsidRPr="00B30738">
              <w:rPr>
                <w:sz w:val="20"/>
                <w:szCs w:val="20"/>
              </w:rPr>
              <w:t>-</w:t>
            </w:r>
            <w:r>
              <w:rPr>
                <w:sz w:val="20"/>
                <w:szCs w:val="20"/>
              </w:rPr>
              <w:t xml:space="preserve">5 (1983), </w:t>
            </w:r>
            <w:r w:rsidRPr="00B30738">
              <w:rPr>
                <w:sz w:val="20"/>
                <w:szCs w:val="20"/>
              </w:rPr>
              <w:t xml:space="preserve">Recommendation </w:t>
            </w:r>
            <w:r>
              <w:rPr>
                <w:sz w:val="20"/>
                <w:szCs w:val="20"/>
              </w:rPr>
              <w:t>X</w:t>
            </w:r>
            <w:r w:rsidRPr="00B30738">
              <w:rPr>
                <w:sz w:val="20"/>
                <w:szCs w:val="20"/>
              </w:rPr>
              <w:t>II</w:t>
            </w:r>
            <w:r>
              <w:rPr>
                <w:sz w:val="20"/>
                <w:szCs w:val="20"/>
              </w:rPr>
              <w:t>I</w:t>
            </w:r>
            <w:r w:rsidRPr="00B30738">
              <w:rPr>
                <w:sz w:val="20"/>
                <w:szCs w:val="20"/>
              </w:rPr>
              <w:t>-</w:t>
            </w:r>
            <w:r>
              <w:rPr>
                <w:sz w:val="20"/>
                <w:szCs w:val="20"/>
              </w:rPr>
              <w:t xml:space="preserve">7 (1985), </w:t>
            </w:r>
            <w:r w:rsidRPr="00B30738">
              <w:rPr>
                <w:sz w:val="20"/>
                <w:szCs w:val="20"/>
              </w:rPr>
              <w:t xml:space="preserve">Recommendation </w:t>
            </w:r>
            <w:r>
              <w:rPr>
                <w:sz w:val="20"/>
                <w:szCs w:val="20"/>
              </w:rPr>
              <w:t>X</w:t>
            </w:r>
            <w:r w:rsidRPr="00B30738">
              <w:rPr>
                <w:sz w:val="20"/>
                <w:szCs w:val="20"/>
              </w:rPr>
              <w:t>VI-</w:t>
            </w:r>
            <w:r>
              <w:rPr>
                <w:sz w:val="20"/>
                <w:szCs w:val="20"/>
              </w:rPr>
              <w:t>7 (1991), Measure 3 (2001)</w:t>
            </w:r>
          </w:p>
        </w:tc>
      </w:tr>
      <w:tr w:rsidR="00B41A84" w:rsidRPr="00323C65" w14:paraId="79FA7F29" w14:textId="77777777" w:rsidTr="00B41A84">
        <w:tc>
          <w:tcPr>
            <w:tcW w:w="4390" w:type="dxa"/>
          </w:tcPr>
          <w:p w14:paraId="69FA49FC" w14:textId="77777777" w:rsidR="00B41A84" w:rsidRPr="00323C65" w:rsidRDefault="00B41A84" w:rsidP="007B1916">
            <w:pPr>
              <w:pStyle w:val="ATSNormal"/>
              <w:jc w:val="center"/>
              <w:rPr>
                <w:i/>
                <w:sz w:val="20"/>
                <w:szCs w:val="20"/>
              </w:rPr>
            </w:pPr>
            <w:r w:rsidRPr="00323C65">
              <w:rPr>
                <w:i/>
                <w:sz w:val="20"/>
                <w:szCs w:val="20"/>
              </w:rPr>
              <w:t>Renamed and renumbered by Decision 1 (2002) as:</w:t>
            </w:r>
          </w:p>
        </w:tc>
        <w:tc>
          <w:tcPr>
            <w:tcW w:w="4105" w:type="dxa"/>
          </w:tcPr>
          <w:p w14:paraId="41F548E6" w14:textId="77777777" w:rsidR="00B41A84" w:rsidRPr="00D40E7A" w:rsidRDefault="00B41A84" w:rsidP="007B1916">
            <w:pPr>
              <w:pStyle w:val="ATSNormal"/>
              <w:rPr>
                <w:snapToGrid w:val="0"/>
                <w:sz w:val="20"/>
                <w:szCs w:val="20"/>
                <w:highlight w:val="yellow"/>
              </w:rPr>
            </w:pPr>
            <w:r>
              <w:rPr>
                <w:snapToGrid w:val="0"/>
                <w:sz w:val="20"/>
                <w:szCs w:val="20"/>
              </w:rPr>
              <w:t>ASPA No. 124 Cape Crozier, Ross Island</w:t>
            </w:r>
          </w:p>
        </w:tc>
      </w:tr>
      <w:tr w:rsidR="00B41A84" w:rsidRPr="00323C65" w14:paraId="2F1E820F" w14:textId="77777777" w:rsidTr="00B41A84">
        <w:tc>
          <w:tcPr>
            <w:tcW w:w="4390" w:type="dxa"/>
          </w:tcPr>
          <w:p w14:paraId="19ED3F68" w14:textId="77777777" w:rsidR="00B41A84" w:rsidRPr="00323C65" w:rsidRDefault="00B41A84" w:rsidP="007B1916">
            <w:pPr>
              <w:pStyle w:val="ATSNormal"/>
              <w:jc w:val="center"/>
              <w:rPr>
                <w:i/>
                <w:sz w:val="20"/>
                <w:szCs w:val="20"/>
              </w:rPr>
            </w:pPr>
            <w:r w:rsidRPr="00323C65">
              <w:rPr>
                <w:i/>
                <w:sz w:val="20"/>
                <w:szCs w:val="20"/>
              </w:rPr>
              <w:t>Other relevant measures:</w:t>
            </w:r>
          </w:p>
        </w:tc>
        <w:tc>
          <w:tcPr>
            <w:tcW w:w="4105" w:type="dxa"/>
          </w:tcPr>
          <w:p w14:paraId="3DA647D5" w14:textId="77777777" w:rsidR="00B41A84" w:rsidRPr="00D40E7A" w:rsidRDefault="00B41A84" w:rsidP="007B1916">
            <w:pPr>
              <w:pStyle w:val="ATSNormal"/>
              <w:rPr>
                <w:snapToGrid w:val="0"/>
                <w:sz w:val="20"/>
                <w:szCs w:val="20"/>
                <w:highlight w:val="yellow"/>
              </w:rPr>
            </w:pPr>
            <w:r w:rsidRPr="00E43B21">
              <w:rPr>
                <w:snapToGrid w:val="0"/>
                <w:sz w:val="20"/>
                <w:szCs w:val="20"/>
              </w:rPr>
              <w:t>Res</w:t>
            </w:r>
            <w:r>
              <w:rPr>
                <w:snapToGrid w:val="0"/>
                <w:sz w:val="20"/>
                <w:szCs w:val="20"/>
              </w:rPr>
              <w:t>olution 1 (1998</w:t>
            </w:r>
            <w:r w:rsidRPr="00E43B21">
              <w:rPr>
                <w:snapToGrid w:val="0"/>
                <w:sz w:val="20"/>
                <w:szCs w:val="20"/>
              </w:rPr>
              <w:t>)</w:t>
            </w:r>
            <w:r>
              <w:rPr>
                <w:snapToGrid w:val="0"/>
                <w:sz w:val="20"/>
                <w:szCs w:val="20"/>
              </w:rPr>
              <w:t xml:space="preserve">, </w:t>
            </w:r>
            <w:r w:rsidRPr="00E43B21">
              <w:rPr>
                <w:snapToGrid w:val="0"/>
                <w:sz w:val="20"/>
                <w:szCs w:val="20"/>
              </w:rPr>
              <w:t>Resolution 2 (2011)</w:t>
            </w:r>
          </w:p>
        </w:tc>
      </w:tr>
      <w:tr w:rsidR="00B41A84" w:rsidRPr="00323C65" w14:paraId="2D18F382" w14:textId="77777777" w:rsidTr="00B41A84">
        <w:trPr>
          <w:cantSplit/>
        </w:trPr>
        <w:tc>
          <w:tcPr>
            <w:tcW w:w="8495" w:type="dxa"/>
            <w:gridSpan w:val="2"/>
          </w:tcPr>
          <w:p w14:paraId="40703E75" w14:textId="77777777" w:rsidR="00B41A84" w:rsidRPr="00323C65" w:rsidRDefault="00B41A84" w:rsidP="007B1916">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B41A84" w:rsidRPr="00323C65" w14:paraId="39213388" w14:textId="77777777" w:rsidTr="00B41A84">
        <w:tc>
          <w:tcPr>
            <w:tcW w:w="4390" w:type="dxa"/>
          </w:tcPr>
          <w:p w14:paraId="3142965F" w14:textId="77777777" w:rsidR="00B41A84" w:rsidRPr="00323C65" w:rsidRDefault="00B41A84" w:rsidP="007B1916">
            <w:pPr>
              <w:pStyle w:val="ATSNormal"/>
              <w:jc w:val="center"/>
              <w:rPr>
                <w:i/>
                <w:sz w:val="20"/>
                <w:szCs w:val="20"/>
              </w:rPr>
            </w:pPr>
            <w:r w:rsidRPr="00323C65">
              <w:rPr>
                <w:i/>
                <w:sz w:val="20"/>
                <w:szCs w:val="20"/>
              </w:rPr>
              <w:t>(</w:t>
            </w:r>
            <w:proofErr w:type="spellStart"/>
            <w:r w:rsidRPr="00323C65">
              <w:rPr>
                <w:i/>
                <w:sz w:val="20"/>
                <w:szCs w:val="20"/>
              </w:rPr>
              <w:t>i</w:t>
            </w:r>
            <w:proofErr w:type="spellEnd"/>
            <w:r w:rsidRPr="00323C65">
              <w:rPr>
                <w:i/>
                <w:sz w:val="20"/>
                <w:szCs w:val="20"/>
              </w:rPr>
              <w:t>) major or minor?</w:t>
            </w:r>
          </w:p>
        </w:tc>
        <w:tc>
          <w:tcPr>
            <w:tcW w:w="4105" w:type="dxa"/>
          </w:tcPr>
          <w:p w14:paraId="628F93AD" w14:textId="77777777" w:rsidR="00B41A84" w:rsidRPr="00323C65" w:rsidRDefault="00B41A84" w:rsidP="007B1916">
            <w:pPr>
              <w:pStyle w:val="ATSNormal"/>
              <w:rPr>
                <w:snapToGrid w:val="0"/>
                <w:sz w:val="20"/>
                <w:szCs w:val="20"/>
              </w:rPr>
            </w:pPr>
            <w:r w:rsidRPr="00323C65">
              <w:rPr>
                <w:snapToGrid w:val="0"/>
                <w:sz w:val="20"/>
                <w:szCs w:val="20"/>
              </w:rPr>
              <w:t>Minor.</w:t>
            </w:r>
          </w:p>
        </w:tc>
      </w:tr>
      <w:tr w:rsidR="00B41A84" w:rsidRPr="00323C65" w14:paraId="48D50FDA" w14:textId="77777777" w:rsidTr="00B41A84">
        <w:tc>
          <w:tcPr>
            <w:tcW w:w="4390" w:type="dxa"/>
          </w:tcPr>
          <w:p w14:paraId="49C2C086" w14:textId="77777777" w:rsidR="00B41A84" w:rsidRPr="00323C65" w:rsidRDefault="00B41A84" w:rsidP="007B1916">
            <w:pPr>
              <w:pStyle w:val="ATSNormal"/>
              <w:jc w:val="center"/>
              <w:rPr>
                <w:i/>
                <w:sz w:val="20"/>
                <w:szCs w:val="20"/>
              </w:rPr>
            </w:pPr>
            <w:r w:rsidRPr="00323C65">
              <w:rPr>
                <w:i/>
                <w:sz w:val="20"/>
                <w:szCs w:val="20"/>
              </w:rPr>
              <w:t>(ii) any changes to the boundaries or co-ordinates?</w:t>
            </w:r>
          </w:p>
        </w:tc>
        <w:tc>
          <w:tcPr>
            <w:tcW w:w="4105" w:type="dxa"/>
          </w:tcPr>
          <w:p w14:paraId="4F609F88" w14:textId="77777777" w:rsidR="00B41A84" w:rsidRPr="009C1B77" w:rsidRDefault="00B41A84" w:rsidP="007B1916">
            <w:pPr>
              <w:pStyle w:val="ATSNormal"/>
              <w:rPr>
                <w:snapToGrid w:val="0"/>
                <w:sz w:val="20"/>
                <w:szCs w:val="20"/>
              </w:rPr>
            </w:pPr>
            <w:r>
              <w:rPr>
                <w:snapToGrid w:val="0"/>
                <w:sz w:val="20"/>
                <w:szCs w:val="20"/>
              </w:rPr>
              <w:t>No</w:t>
            </w:r>
            <w:r w:rsidRPr="009C1B77">
              <w:rPr>
                <w:snapToGrid w:val="0"/>
                <w:sz w:val="20"/>
                <w:szCs w:val="20"/>
              </w:rPr>
              <w:t>.</w:t>
            </w:r>
          </w:p>
        </w:tc>
      </w:tr>
      <w:tr w:rsidR="00B41A84" w:rsidRPr="00323C65" w14:paraId="31F20A7B" w14:textId="77777777" w:rsidTr="00B41A84">
        <w:tc>
          <w:tcPr>
            <w:tcW w:w="4390" w:type="dxa"/>
          </w:tcPr>
          <w:p w14:paraId="30CE0A2B" w14:textId="77777777" w:rsidR="00B41A84" w:rsidRPr="00323C65" w:rsidRDefault="00B41A84" w:rsidP="007B1916">
            <w:pPr>
              <w:pStyle w:val="ATSNormal"/>
              <w:jc w:val="center"/>
              <w:rPr>
                <w:i/>
                <w:sz w:val="20"/>
                <w:szCs w:val="20"/>
              </w:rPr>
            </w:pPr>
            <w:r w:rsidRPr="00323C65">
              <w:rPr>
                <w:i/>
                <w:sz w:val="20"/>
                <w:szCs w:val="20"/>
              </w:rPr>
              <w:t>(iii) any changes to the maps? If yes, are the changes in the captions only or also in the graphics?</w:t>
            </w:r>
          </w:p>
        </w:tc>
        <w:tc>
          <w:tcPr>
            <w:tcW w:w="4105" w:type="dxa"/>
          </w:tcPr>
          <w:p w14:paraId="6B68E3A4" w14:textId="77777777" w:rsidR="00B41A84" w:rsidRPr="00323C65" w:rsidRDefault="00B41A84" w:rsidP="007B1916">
            <w:pPr>
              <w:pStyle w:val="ATSNormal"/>
              <w:rPr>
                <w:sz w:val="20"/>
                <w:szCs w:val="20"/>
              </w:rPr>
            </w:pPr>
            <w:r>
              <w:rPr>
                <w:snapToGrid w:val="0"/>
                <w:sz w:val="20"/>
                <w:szCs w:val="20"/>
              </w:rPr>
              <w:t>No.</w:t>
            </w:r>
          </w:p>
        </w:tc>
      </w:tr>
      <w:tr w:rsidR="00B41A84" w:rsidRPr="00323C65" w14:paraId="0C40DA97" w14:textId="77777777" w:rsidTr="00B41A84">
        <w:tc>
          <w:tcPr>
            <w:tcW w:w="4390" w:type="dxa"/>
          </w:tcPr>
          <w:p w14:paraId="2D88ECEC" w14:textId="77777777" w:rsidR="00B41A84" w:rsidRPr="00323C65" w:rsidRDefault="00B41A84" w:rsidP="007B1916">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4105" w:type="dxa"/>
          </w:tcPr>
          <w:p w14:paraId="78F5E436" w14:textId="77777777" w:rsidR="00B41A84" w:rsidRPr="00323C65" w:rsidRDefault="00B41A84" w:rsidP="007B1916">
            <w:pPr>
              <w:pStyle w:val="ATSNormal"/>
              <w:rPr>
                <w:snapToGrid w:val="0"/>
                <w:sz w:val="20"/>
                <w:szCs w:val="20"/>
              </w:rPr>
            </w:pPr>
            <w:r>
              <w:rPr>
                <w:snapToGrid w:val="0"/>
                <w:sz w:val="20"/>
                <w:szCs w:val="20"/>
              </w:rPr>
              <w:t>No.</w:t>
            </w:r>
          </w:p>
        </w:tc>
      </w:tr>
      <w:tr w:rsidR="00B41A84" w:rsidRPr="00323C65" w14:paraId="797A41F4" w14:textId="77777777" w:rsidTr="00B41A84">
        <w:tc>
          <w:tcPr>
            <w:tcW w:w="4390" w:type="dxa"/>
          </w:tcPr>
          <w:p w14:paraId="2F0E86C8" w14:textId="77777777" w:rsidR="00B41A84" w:rsidRPr="00323C65" w:rsidRDefault="00B41A84" w:rsidP="007B1916">
            <w:pPr>
              <w:pStyle w:val="ATSNormal"/>
              <w:jc w:val="center"/>
              <w:rPr>
                <w:i/>
                <w:sz w:val="20"/>
                <w:szCs w:val="20"/>
              </w:rPr>
            </w:pPr>
            <w:r w:rsidRPr="00323C65">
              <w:rPr>
                <w:i/>
                <w:sz w:val="20"/>
                <w:szCs w:val="20"/>
              </w:rPr>
              <w:t xml:space="preserve">(v) any changes that affect any other ASPA, ASMA or HSM within this area or adjacent to it? In particular, please explain any merger </w:t>
            </w:r>
            <w:proofErr w:type="gramStart"/>
            <w:r w:rsidRPr="00323C65">
              <w:rPr>
                <w:i/>
                <w:sz w:val="20"/>
                <w:szCs w:val="20"/>
              </w:rPr>
              <w:t>with,</w:t>
            </w:r>
            <w:proofErr w:type="gramEnd"/>
            <w:r w:rsidRPr="00323C65">
              <w:rPr>
                <w:i/>
                <w:sz w:val="20"/>
                <w:szCs w:val="20"/>
              </w:rPr>
              <w:t xml:space="preserve"> incorporation of or abolition of any existing area or site.</w:t>
            </w:r>
          </w:p>
        </w:tc>
        <w:tc>
          <w:tcPr>
            <w:tcW w:w="4105" w:type="dxa"/>
          </w:tcPr>
          <w:p w14:paraId="5B557BC6" w14:textId="77777777" w:rsidR="00B41A84" w:rsidRPr="00323C65" w:rsidRDefault="00B41A84" w:rsidP="007B1916">
            <w:pPr>
              <w:pStyle w:val="ATSNormal"/>
              <w:rPr>
                <w:snapToGrid w:val="0"/>
                <w:sz w:val="20"/>
                <w:szCs w:val="20"/>
              </w:rPr>
            </w:pPr>
            <w:r>
              <w:rPr>
                <w:snapToGrid w:val="0"/>
                <w:sz w:val="20"/>
                <w:szCs w:val="20"/>
              </w:rPr>
              <w:t>No.</w:t>
            </w:r>
          </w:p>
        </w:tc>
      </w:tr>
      <w:tr w:rsidR="00B41A84" w:rsidRPr="00323C65" w14:paraId="2DA60EE1" w14:textId="77777777" w:rsidTr="00B41A84">
        <w:tc>
          <w:tcPr>
            <w:tcW w:w="4390" w:type="dxa"/>
          </w:tcPr>
          <w:p w14:paraId="6241247A" w14:textId="77777777" w:rsidR="00B41A84" w:rsidRPr="00323C65" w:rsidRDefault="00B41A84" w:rsidP="007B1916">
            <w:pPr>
              <w:pStyle w:val="ATSNormal"/>
              <w:jc w:val="center"/>
              <w:rPr>
                <w:i/>
                <w:sz w:val="20"/>
                <w:szCs w:val="20"/>
              </w:rPr>
            </w:pPr>
            <w:r w:rsidRPr="00323C65">
              <w:rPr>
                <w:i/>
                <w:sz w:val="20"/>
                <w:szCs w:val="20"/>
              </w:rPr>
              <w:t xml:space="preserve">(vi) Other - </w:t>
            </w:r>
            <w:proofErr w:type="gramStart"/>
            <w:r w:rsidRPr="00323C65">
              <w:rPr>
                <w:i/>
                <w:sz w:val="20"/>
                <w:szCs w:val="20"/>
              </w:rPr>
              <w:t>brief summary</w:t>
            </w:r>
            <w:proofErr w:type="gramEnd"/>
            <w:r w:rsidRPr="00323C65">
              <w:rPr>
                <w:i/>
                <w:sz w:val="20"/>
                <w:szCs w:val="20"/>
              </w:rPr>
              <w:t xml:space="preserve"> of other types of changes, indicating the paragraphs of the management plan in which these are located.</w:t>
            </w:r>
          </w:p>
        </w:tc>
        <w:tc>
          <w:tcPr>
            <w:tcW w:w="4105" w:type="dxa"/>
          </w:tcPr>
          <w:p w14:paraId="78213974" w14:textId="77777777" w:rsidR="00B41A84" w:rsidRPr="00323C65" w:rsidRDefault="00B41A84" w:rsidP="007B1916">
            <w:pPr>
              <w:pStyle w:val="ATSNormal"/>
              <w:rPr>
                <w:sz w:val="20"/>
                <w:szCs w:val="20"/>
              </w:rPr>
            </w:pPr>
            <w:r w:rsidRPr="00323C65">
              <w:rPr>
                <w:sz w:val="20"/>
                <w:szCs w:val="20"/>
              </w:rPr>
              <w:t xml:space="preserve">See below for </w:t>
            </w:r>
            <w:r>
              <w:rPr>
                <w:sz w:val="20"/>
                <w:szCs w:val="20"/>
              </w:rPr>
              <w:t>summary</w:t>
            </w:r>
            <w:r w:rsidRPr="00323C65">
              <w:rPr>
                <w:sz w:val="20"/>
                <w:szCs w:val="20"/>
              </w:rPr>
              <w:t xml:space="preserve"> of changes.</w:t>
            </w:r>
          </w:p>
        </w:tc>
      </w:tr>
      <w:tr w:rsidR="00B41A84" w:rsidRPr="00323C65" w14:paraId="420DDD30" w14:textId="77777777" w:rsidTr="00B41A84">
        <w:tc>
          <w:tcPr>
            <w:tcW w:w="4390" w:type="dxa"/>
          </w:tcPr>
          <w:p w14:paraId="56958B67" w14:textId="77777777" w:rsidR="00B41A84" w:rsidRPr="00323C65" w:rsidRDefault="00B41A84" w:rsidP="007B1916">
            <w:pPr>
              <w:pStyle w:val="ATSNormal"/>
              <w:rPr>
                <w:b/>
                <w:snapToGrid w:val="0"/>
                <w:sz w:val="20"/>
                <w:szCs w:val="20"/>
              </w:rPr>
            </w:pPr>
            <w:r w:rsidRPr="00323C65">
              <w:rPr>
                <w:b/>
                <w:snapToGrid w:val="0"/>
                <w:sz w:val="20"/>
                <w:szCs w:val="20"/>
              </w:rPr>
              <w:t>5. If a new ASPA or ASMA is proposed, does it contain any marine area?</w:t>
            </w:r>
          </w:p>
        </w:tc>
        <w:tc>
          <w:tcPr>
            <w:tcW w:w="4105" w:type="dxa"/>
          </w:tcPr>
          <w:p w14:paraId="4211DB10" w14:textId="77777777" w:rsidR="00B41A84" w:rsidRPr="00323C65" w:rsidRDefault="00B41A84" w:rsidP="007B1916">
            <w:pPr>
              <w:pStyle w:val="ATSNormal"/>
              <w:rPr>
                <w:snapToGrid w:val="0"/>
                <w:sz w:val="20"/>
                <w:szCs w:val="20"/>
              </w:rPr>
            </w:pPr>
            <w:r w:rsidRPr="00323C65">
              <w:rPr>
                <w:snapToGrid w:val="0"/>
                <w:sz w:val="20"/>
                <w:szCs w:val="20"/>
              </w:rPr>
              <w:t>N/A</w:t>
            </w:r>
          </w:p>
        </w:tc>
      </w:tr>
      <w:tr w:rsidR="00B41A84" w:rsidRPr="00323C65" w14:paraId="115E8434" w14:textId="77777777" w:rsidTr="00B41A84">
        <w:tc>
          <w:tcPr>
            <w:tcW w:w="4390" w:type="dxa"/>
          </w:tcPr>
          <w:p w14:paraId="28EB5541" w14:textId="77777777" w:rsidR="00B41A84" w:rsidRPr="00323C65" w:rsidRDefault="00B41A84" w:rsidP="007B1916">
            <w:pPr>
              <w:pStyle w:val="ATSNormal"/>
              <w:rPr>
                <w:b/>
                <w:snapToGrid w:val="0"/>
                <w:sz w:val="20"/>
                <w:szCs w:val="20"/>
              </w:rPr>
            </w:pPr>
            <w:r w:rsidRPr="00323C65">
              <w:rPr>
                <w:b/>
                <w:snapToGrid w:val="0"/>
                <w:sz w:val="20"/>
                <w:szCs w:val="20"/>
              </w:rPr>
              <w:lastRenderedPageBreak/>
              <w:t>6. If yes, does the proposal require the prior approval of CCAMLR in accordance with Decision 9 (2005)?</w:t>
            </w:r>
          </w:p>
        </w:tc>
        <w:tc>
          <w:tcPr>
            <w:tcW w:w="4105" w:type="dxa"/>
          </w:tcPr>
          <w:p w14:paraId="673257C8" w14:textId="77777777" w:rsidR="00B41A84" w:rsidRPr="00323C65" w:rsidRDefault="00B41A84" w:rsidP="007B1916">
            <w:pPr>
              <w:pStyle w:val="ATSNormal"/>
              <w:rPr>
                <w:snapToGrid w:val="0"/>
                <w:sz w:val="20"/>
                <w:szCs w:val="20"/>
              </w:rPr>
            </w:pPr>
            <w:r w:rsidRPr="00323C65">
              <w:rPr>
                <w:snapToGrid w:val="0"/>
                <w:sz w:val="20"/>
                <w:szCs w:val="20"/>
              </w:rPr>
              <w:t>N/A</w:t>
            </w:r>
          </w:p>
        </w:tc>
      </w:tr>
      <w:tr w:rsidR="00B41A84" w:rsidRPr="00323C65" w14:paraId="0D908486" w14:textId="77777777" w:rsidTr="00B41A84">
        <w:tc>
          <w:tcPr>
            <w:tcW w:w="4390" w:type="dxa"/>
          </w:tcPr>
          <w:p w14:paraId="72026B9F" w14:textId="77777777" w:rsidR="00B41A84" w:rsidRPr="00323C65" w:rsidRDefault="00B41A84" w:rsidP="007B1916">
            <w:pPr>
              <w:pStyle w:val="ATSNormal"/>
              <w:rPr>
                <w:b/>
                <w:sz w:val="20"/>
                <w:szCs w:val="20"/>
              </w:rPr>
            </w:pPr>
            <w:r w:rsidRPr="00323C65">
              <w:rPr>
                <w:b/>
                <w:sz w:val="20"/>
                <w:szCs w:val="20"/>
              </w:rPr>
              <w:t xml:space="preserve">7. If yes, has the prior approval of CCAMLR been obtained? </w:t>
            </w:r>
          </w:p>
        </w:tc>
        <w:tc>
          <w:tcPr>
            <w:tcW w:w="4105" w:type="dxa"/>
          </w:tcPr>
          <w:p w14:paraId="61E79D75" w14:textId="77777777" w:rsidR="00B41A84" w:rsidRPr="00323C65" w:rsidRDefault="00B41A84" w:rsidP="007B1916">
            <w:pPr>
              <w:pStyle w:val="ATSNormal"/>
              <w:rPr>
                <w:snapToGrid w:val="0"/>
                <w:sz w:val="20"/>
                <w:szCs w:val="20"/>
              </w:rPr>
            </w:pPr>
            <w:r w:rsidRPr="00323C65">
              <w:rPr>
                <w:snapToGrid w:val="0"/>
                <w:sz w:val="20"/>
                <w:szCs w:val="20"/>
              </w:rPr>
              <w:t>N/A</w:t>
            </w:r>
          </w:p>
        </w:tc>
      </w:tr>
      <w:tr w:rsidR="00B41A84" w:rsidRPr="00323C65" w14:paraId="5B8D5886" w14:textId="77777777" w:rsidTr="00B41A84">
        <w:tc>
          <w:tcPr>
            <w:tcW w:w="4390" w:type="dxa"/>
          </w:tcPr>
          <w:p w14:paraId="7C38B52F" w14:textId="77777777" w:rsidR="00B41A84" w:rsidRPr="00323C65" w:rsidRDefault="00B41A84" w:rsidP="007B1916">
            <w:pPr>
              <w:pStyle w:val="ATSNormal"/>
              <w:jc w:val="center"/>
              <w:rPr>
                <w:i/>
                <w:sz w:val="20"/>
                <w:szCs w:val="20"/>
              </w:rPr>
            </w:pPr>
            <w:r w:rsidRPr="00323C65">
              <w:rPr>
                <w:i/>
                <w:sz w:val="20"/>
                <w:szCs w:val="20"/>
              </w:rPr>
              <w:t>If yes, please list the CCAMLR Final Report and Paragraph No.</w:t>
            </w:r>
          </w:p>
        </w:tc>
        <w:tc>
          <w:tcPr>
            <w:tcW w:w="4105" w:type="dxa"/>
          </w:tcPr>
          <w:p w14:paraId="268BC83B" w14:textId="77777777" w:rsidR="00B41A84" w:rsidRPr="00323C65" w:rsidRDefault="00B41A84" w:rsidP="007B1916">
            <w:pPr>
              <w:pStyle w:val="ATSNormal"/>
              <w:rPr>
                <w:snapToGrid w:val="0"/>
                <w:sz w:val="20"/>
                <w:szCs w:val="20"/>
              </w:rPr>
            </w:pPr>
            <w:r w:rsidRPr="00323C65">
              <w:rPr>
                <w:snapToGrid w:val="0"/>
                <w:sz w:val="20"/>
                <w:szCs w:val="20"/>
              </w:rPr>
              <w:t>N/A</w:t>
            </w:r>
          </w:p>
        </w:tc>
      </w:tr>
      <w:tr w:rsidR="00B41A84" w14:paraId="4FB81E89" w14:textId="77777777" w:rsidTr="00B41A84">
        <w:tblPrEx>
          <w:tblLook w:val="04A0" w:firstRow="1" w:lastRow="0" w:firstColumn="1" w:lastColumn="0" w:noHBand="0" w:noVBand="1"/>
        </w:tblPrEx>
        <w:tc>
          <w:tcPr>
            <w:tcW w:w="4390" w:type="dxa"/>
            <w:tcBorders>
              <w:top w:val="single" w:sz="4" w:space="0" w:color="auto"/>
              <w:left w:val="single" w:sz="4" w:space="0" w:color="auto"/>
              <w:bottom w:val="single" w:sz="4" w:space="0" w:color="auto"/>
              <w:right w:val="single" w:sz="4" w:space="0" w:color="auto"/>
            </w:tcBorders>
            <w:hideMark/>
          </w:tcPr>
          <w:p w14:paraId="5889E565" w14:textId="77777777" w:rsidR="00B41A84" w:rsidRDefault="00B41A84" w:rsidP="007B1916">
            <w:pPr>
              <w:pStyle w:val="Default"/>
              <w:autoSpaceDE/>
              <w:adjustRightInd/>
              <w:spacing w:before="120" w:after="120"/>
              <w:rPr>
                <w:b/>
                <w:sz w:val="20"/>
                <w:szCs w:val="20"/>
              </w:rPr>
            </w:pPr>
            <w:r>
              <w:rPr>
                <w:b/>
                <w:sz w:val="20"/>
                <w:szCs w:val="20"/>
              </w:rPr>
              <w:t>8. If the proposal relates to an ASPA, what is the primary reason for designation (</w:t>
            </w:r>
            <w:r>
              <w:rPr>
                <w:b/>
                <w:i/>
                <w:iCs/>
                <w:sz w:val="20"/>
                <w:szCs w:val="20"/>
              </w:rPr>
              <w:t>i.e.</w:t>
            </w:r>
            <w:r>
              <w:rPr>
                <w:b/>
                <w:sz w:val="20"/>
                <w:szCs w:val="20"/>
              </w:rPr>
              <w:t>, which part under Article 3.2 of Annex V)?</w:t>
            </w:r>
          </w:p>
        </w:tc>
        <w:tc>
          <w:tcPr>
            <w:tcW w:w="4105" w:type="dxa"/>
            <w:tcBorders>
              <w:top w:val="single" w:sz="4" w:space="0" w:color="auto"/>
              <w:left w:val="single" w:sz="4" w:space="0" w:color="auto"/>
              <w:bottom w:val="single" w:sz="4" w:space="0" w:color="auto"/>
              <w:right w:val="single" w:sz="4" w:space="0" w:color="auto"/>
            </w:tcBorders>
            <w:hideMark/>
          </w:tcPr>
          <w:p w14:paraId="3D322FEE" w14:textId="77777777" w:rsidR="00B41A84" w:rsidRPr="00FF0DF4" w:rsidRDefault="00B41A84" w:rsidP="007B1916">
            <w:pPr>
              <w:autoSpaceDE w:val="0"/>
              <w:autoSpaceDN w:val="0"/>
              <w:adjustRightInd w:val="0"/>
              <w:rPr>
                <w:sz w:val="20"/>
                <w:szCs w:val="20"/>
                <w:lang w:eastAsia="en-GB"/>
              </w:rPr>
            </w:pPr>
            <w:r w:rsidRPr="00FF0DF4">
              <w:rPr>
                <w:sz w:val="20"/>
                <w:szCs w:val="20"/>
                <w:lang w:eastAsia="en-GB"/>
              </w:rPr>
              <w:t xml:space="preserve">(b) representative examples of major terrestrial, including glacial and aquatic, ecosystems and marine </w:t>
            </w:r>
            <w:proofErr w:type="gramStart"/>
            <w:r w:rsidRPr="00FF0DF4">
              <w:rPr>
                <w:sz w:val="20"/>
                <w:szCs w:val="20"/>
                <w:lang w:eastAsia="en-GB"/>
              </w:rPr>
              <w:t>ecosystems;</w:t>
            </w:r>
            <w:proofErr w:type="gramEnd"/>
          </w:p>
          <w:p w14:paraId="496587F0" w14:textId="77777777" w:rsidR="00B41A84" w:rsidRPr="00FF0DF4" w:rsidRDefault="00B41A84" w:rsidP="007B1916">
            <w:pPr>
              <w:autoSpaceDE w:val="0"/>
              <w:autoSpaceDN w:val="0"/>
              <w:adjustRightInd w:val="0"/>
              <w:rPr>
                <w:sz w:val="20"/>
                <w:szCs w:val="20"/>
                <w:lang w:eastAsia="en-GB"/>
              </w:rPr>
            </w:pPr>
            <w:r w:rsidRPr="00FF0DF4">
              <w:rPr>
                <w:sz w:val="20"/>
                <w:szCs w:val="20"/>
                <w:lang w:eastAsia="en-GB"/>
              </w:rPr>
              <w:t xml:space="preserve">(c) areas with important or unusual assemblages of species, including major colonies of breeding native birds or </w:t>
            </w:r>
            <w:proofErr w:type="gramStart"/>
            <w:r w:rsidRPr="00FF0DF4">
              <w:rPr>
                <w:sz w:val="20"/>
                <w:szCs w:val="20"/>
                <w:lang w:eastAsia="en-GB"/>
              </w:rPr>
              <w:t>mammals;</w:t>
            </w:r>
            <w:proofErr w:type="gramEnd"/>
          </w:p>
          <w:p w14:paraId="571CF128" w14:textId="77777777" w:rsidR="00B41A84" w:rsidRPr="00FF0DF4" w:rsidRDefault="00B41A84" w:rsidP="007B1916">
            <w:pPr>
              <w:autoSpaceDE w:val="0"/>
              <w:autoSpaceDN w:val="0"/>
              <w:adjustRightInd w:val="0"/>
              <w:rPr>
                <w:sz w:val="20"/>
                <w:szCs w:val="20"/>
                <w:lang w:eastAsia="en-GB"/>
              </w:rPr>
            </w:pPr>
            <w:r w:rsidRPr="00FF0DF4">
              <w:rPr>
                <w:sz w:val="20"/>
                <w:szCs w:val="20"/>
                <w:lang w:eastAsia="en-GB"/>
              </w:rPr>
              <w:t xml:space="preserve">(e) areas of particular interest to ongoing or planned scientific </w:t>
            </w:r>
            <w:proofErr w:type="gramStart"/>
            <w:r w:rsidRPr="00FF0DF4">
              <w:rPr>
                <w:sz w:val="20"/>
                <w:szCs w:val="20"/>
                <w:lang w:eastAsia="en-GB"/>
              </w:rPr>
              <w:t>research;</w:t>
            </w:r>
            <w:proofErr w:type="gramEnd"/>
          </w:p>
          <w:p w14:paraId="0C5C65C0" w14:textId="77777777" w:rsidR="00B41A84" w:rsidRPr="00FF0DF4" w:rsidRDefault="00B41A84" w:rsidP="007B1916">
            <w:pPr>
              <w:autoSpaceDE w:val="0"/>
              <w:autoSpaceDN w:val="0"/>
              <w:adjustRightInd w:val="0"/>
              <w:rPr>
                <w:sz w:val="20"/>
                <w:szCs w:val="20"/>
                <w:lang w:eastAsia="en-GB"/>
              </w:rPr>
            </w:pPr>
            <w:r w:rsidRPr="00FF0DF4">
              <w:rPr>
                <w:sz w:val="20"/>
                <w:szCs w:val="20"/>
                <w:lang w:eastAsia="en-GB"/>
              </w:rPr>
              <w:t>(h) sites or monuments of recognized historic value.</w:t>
            </w:r>
          </w:p>
        </w:tc>
      </w:tr>
      <w:tr w:rsidR="00B41A84" w14:paraId="49107F1A" w14:textId="77777777" w:rsidTr="00B41A84">
        <w:tblPrEx>
          <w:tblLook w:val="04A0" w:firstRow="1" w:lastRow="0" w:firstColumn="1" w:lastColumn="0" w:noHBand="0" w:noVBand="1"/>
        </w:tblPrEx>
        <w:tc>
          <w:tcPr>
            <w:tcW w:w="4390" w:type="dxa"/>
            <w:tcBorders>
              <w:top w:val="single" w:sz="4" w:space="0" w:color="auto"/>
              <w:left w:val="single" w:sz="4" w:space="0" w:color="auto"/>
              <w:bottom w:val="single" w:sz="4" w:space="0" w:color="auto"/>
              <w:right w:val="single" w:sz="4" w:space="0" w:color="auto"/>
            </w:tcBorders>
            <w:hideMark/>
          </w:tcPr>
          <w:p w14:paraId="657858EA" w14:textId="77777777" w:rsidR="00B41A84" w:rsidRDefault="00B41A84" w:rsidP="007B1916">
            <w:pPr>
              <w:pStyle w:val="Default"/>
              <w:autoSpaceDE/>
              <w:adjustRightInd/>
              <w:spacing w:before="120" w:after="120"/>
              <w:rPr>
                <w:b/>
                <w:sz w:val="20"/>
                <w:szCs w:val="20"/>
              </w:rPr>
            </w:pPr>
            <w:r>
              <w:rPr>
                <w:b/>
                <w:sz w:val="20"/>
                <w:szCs w:val="20"/>
              </w:rPr>
              <w:t>9. Have you identified the main Environmental Domain represented by the ASPA/ASMA (Resolution 3 (2008))?</w:t>
            </w:r>
          </w:p>
        </w:tc>
        <w:tc>
          <w:tcPr>
            <w:tcW w:w="4105" w:type="dxa"/>
            <w:tcBorders>
              <w:top w:val="single" w:sz="4" w:space="0" w:color="auto"/>
              <w:left w:val="single" w:sz="4" w:space="0" w:color="auto"/>
              <w:bottom w:val="single" w:sz="4" w:space="0" w:color="auto"/>
              <w:right w:val="single" w:sz="4" w:space="0" w:color="auto"/>
            </w:tcBorders>
            <w:hideMark/>
          </w:tcPr>
          <w:p w14:paraId="54F7FF78" w14:textId="77777777" w:rsidR="00B41A84" w:rsidRPr="00BA4368" w:rsidRDefault="00B41A84" w:rsidP="007B1916">
            <w:pPr>
              <w:pStyle w:val="ATSNormal"/>
              <w:rPr>
                <w:snapToGrid w:val="0"/>
                <w:color w:val="000000" w:themeColor="text1"/>
                <w:sz w:val="20"/>
                <w:szCs w:val="20"/>
              </w:rPr>
            </w:pPr>
            <w:r w:rsidRPr="00BA4368">
              <w:rPr>
                <w:snapToGrid w:val="0"/>
                <w:color w:val="000000" w:themeColor="text1"/>
                <w:sz w:val="20"/>
                <w:szCs w:val="20"/>
              </w:rPr>
              <w:t xml:space="preserve">Yes. </w:t>
            </w:r>
            <w:r w:rsidRPr="00BA4368">
              <w:rPr>
                <w:color w:val="000000" w:themeColor="text1"/>
                <w:sz w:val="20"/>
                <w:szCs w:val="20"/>
              </w:rPr>
              <w:t xml:space="preserve">Environment </w:t>
            </w:r>
            <w:r w:rsidRPr="00BA4368">
              <w:rPr>
                <w:sz w:val="20"/>
                <w:szCs w:val="20"/>
              </w:rPr>
              <w:t xml:space="preserve">P – Ross and Ronne-Filchner ice shelves and Environment S </w:t>
            </w:r>
            <w:r>
              <w:rPr>
                <w:sz w:val="20"/>
                <w:szCs w:val="20"/>
              </w:rPr>
              <w:t>–</w:t>
            </w:r>
            <w:r w:rsidRPr="00BA4368">
              <w:rPr>
                <w:sz w:val="20"/>
                <w:szCs w:val="20"/>
              </w:rPr>
              <w:t xml:space="preserve"> McMurdo - South Victoria Land geologic.</w:t>
            </w:r>
          </w:p>
        </w:tc>
      </w:tr>
      <w:tr w:rsidR="00B41A84" w14:paraId="3E9B2FD1" w14:textId="77777777" w:rsidTr="00B41A84">
        <w:tblPrEx>
          <w:tblLook w:val="04A0" w:firstRow="1" w:lastRow="0" w:firstColumn="1" w:lastColumn="0" w:noHBand="0" w:noVBand="1"/>
        </w:tblPrEx>
        <w:tc>
          <w:tcPr>
            <w:tcW w:w="4390" w:type="dxa"/>
            <w:tcBorders>
              <w:top w:val="single" w:sz="4" w:space="0" w:color="auto"/>
              <w:left w:val="single" w:sz="4" w:space="0" w:color="auto"/>
              <w:bottom w:val="single" w:sz="4" w:space="0" w:color="auto"/>
              <w:right w:val="single" w:sz="4" w:space="0" w:color="auto"/>
            </w:tcBorders>
            <w:hideMark/>
          </w:tcPr>
          <w:p w14:paraId="18E8E07D" w14:textId="77777777" w:rsidR="00B41A84" w:rsidRDefault="00B41A84" w:rsidP="007B1916">
            <w:pPr>
              <w:pStyle w:val="Default"/>
              <w:autoSpaceDE/>
              <w:adjustRightInd/>
              <w:spacing w:before="120" w:after="120"/>
              <w:rPr>
                <w:b/>
                <w:sz w:val="20"/>
                <w:szCs w:val="20"/>
              </w:rPr>
            </w:pPr>
            <w:r>
              <w:rPr>
                <w:b/>
                <w:sz w:val="20"/>
                <w:szCs w:val="20"/>
              </w:rPr>
              <w:t>10. Have you identified the main Antarctic Conservation Biogeographic Region represented by the ASPA/ASMA (Resolution 3 (2017))?</w:t>
            </w:r>
          </w:p>
        </w:tc>
        <w:tc>
          <w:tcPr>
            <w:tcW w:w="4105" w:type="dxa"/>
            <w:tcBorders>
              <w:top w:val="single" w:sz="4" w:space="0" w:color="auto"/>
              <w:left w:val="single" w:sz="4" w:space="0" w:color="auto"/>
              <w:bottom w:val="single" w:sz="4" w:space="0" w:color="auto"/>
              <w:right w:val="single" w:sz="4" w:space="0" w:color="auto"/>
            </w:tcBorders>
            <w:hideMark/>
          </w:tcPr>
          <w:p w14:paraId="38F8DF4C" w14:textId="77777777" w:rsidR="00B41A84" w:rsidRPr="00BA4368" w:rsidRDefault="00B41A84" w:rsidP="007B1916">
            <w:pPr>
              <w:pStyle w:val="ATSNormal"/>
              <w:rPr>
                <w:snapToGrid w:val="0"/>
                <w:color w:val="000000" w:themeColor="text1"/>
                <w:sz w:val="20"/>
                <w:szCs w:val="20"/>
              </w:rPr>
            </w:pPr>
            <w:r w:rsidRPr="00BA4368">
              <w:rPr>
                <w:snapToGrid w:val="0"/>
                <w:color w:val="000000" w:themeColor="text1"/>
                <w:sz w:val="20"/>
                <w:szCs w:val="20"/>
              </w:rPr>
              <w:t xml:space="preserve">Yes. </w:t>
            </w:r>
            <w:r w:rsidRPr="00BA4368">
              <w:rPr>
                <w:color w:val="000000" w:themeColor="text1"/>
                <w:sz w:val="20"/>
                <w:szCs w:val="20"/>
              </w:rPr>
              <w:t xml:space="preserve">Region 9 – </w:t>
            </w:r>
            <w:r w:rsidRPr="00BA4368">
              <w:rPr>
                <w:sz w:val="20"/>
                <w:szCs w:val="20"/>
              </w:rPr>
              <w:t>South Victoria Land.</w:t>
            </w:r>
          </w:p>
        </w:tc>
      </w:tr>
      <w:tr w:rsidR="00B41A84" w14:paraId="002AC8D6" w14:textId="77777777" w:rsidTr="00B41A84">
        <w:tblPrEx>
          <w:tblLook w:val="04A0" w:firstRow="1" w:lastRow="0" w:firstColumn="1" w:lastColumn="0" w:noHBand="0" w:noVBand="1"/>
        </w:tblPrEx>
        <w:tc>
          <w:tcPr>
            <w:tcW w:w="4390" w:type="dxa"/>
            <w:tcBorders>
              <w:top w:val="single" w:sz="4" w:space="0" w:color="auto"/>
              <w:left w:val="single" w:sz="4" w:space="0" w:color="auto"/>
              <w:bottom w:val="single" w:sz="4" w:space="0" w:color="auto"/>
              <w:right w:val="single" w:sz="4" w:space="0" w:color="auto"/>
            </w:tcBorders>
            <w:hideMark/>
          </w:tcPr>
          <w:p w14:paraId="62862A28" w14:textId="77777777" w:rsidR="00B41A84" w:rsidRDefault="00B41A84" w:rsidP="007B1916">
            <w:pPr>
              <w:pStyle w:val="Default"/>
              <w:autoSpaceDE/>
              <w:adjustRightInd/>
              <w:spacing w:before="120" w:after="120"/>
              <w:rPr>
                <w:b/>
                <w:sz w:val="20"/>
                <w:szCs w:val="20"/>
              </w:rPr>
            </w:pPr>
            <w:r>
              <w:rPr>
                <w:b/>
                <w:sz w:val="20"/>
                <w:szCs w:val="20"/>
              </w:rPr>
              <w:t xml:space="preserve">11) Have you identified any Antarctic Important Bird Areas represented by the ASPA/ASMA (Resolution 5 (2015))? </w:t>
            </w:r>
          </w:p>
        </w:tc>
        <w:tc>
          <w:tcPr>
            <w:tcW w:w="4105" w:type="dxa"/>
            <w:tcBorders>
              <w:top w:val="single" w:sz="4" w:space="0" w:color="auto"/>
              <w:left w:val="single" w:sz="4" w:space="0" w:color="auto"/>
              <w:bottom w:val="single" w:sz="4" w:space="0" w:color="auto"/>
              <w:right w:val="single" w:sz="4" w:space="0" w:color="auto"/>
            </w:tcBorders>
            <w:hideMark/>
          </w:tcPr>
          <w:p w14:paraId="500C3A70" w14:textId="77777777" w:rsidR="00B41A84" w:rsidRPr="00A360E3" w:rsidRDefault="00B41A84" w:rsidP="007B1916">
            <w:pPr>
              <w:pStyle w:val="ATSNormal"/>
              <w:rPr>
                <w:snapToGrid w:val="0"/>
                <w:sz w:val="20"/>
                <w:szCs w:val="20"/>
                <w:highlight w:val="yellow"/>
              </w:rPr>
            </w:pPr>
            <w:r w:rsidRPr="002E7CDC">
              <w:rPr>
                <w:snapToGrid w:val="0"/>
                <w:color w:val="000000" w:themeColor="text1"/>
                <w:sz w:val="20"/>
                <w:szCs w:val="20"/>
              </w:rPr>
              <w:t xml:space="preserve">Cape </w:t>
            </w:r>
            <w:r w:rsidRPr="00A360E3">
              <w:rPr>
                <w:snapToGrid w:val="0"/>
                <w:color w:val="000000" w:themeColor="text1"/>
                <w:sz w:val="20"/>
                <w:szCs w:val="20"/>
              </w:rPr>
              <w:t xml:space="preserve">Crozier is identified as IBA </w:t>
            </w:r>
            <w:r>
              <w:rPr>
                <w:snapToGrid w:val="0"/>
                <w:color w:val="000000" w:themeColor="text1"/>
                <w:sz w:val="20"/>
                <w:szCs w:val="20"/>
              </w:rPr>
              <w:t xml:space="preserve">No. </w:t>
            </w:r>
            <w:r w:rsidRPr="00A360E3">
              <w:rPr>
                <w:snapToGrid w:val="0"/>
                <w:color w:val="000000" w:themeColor="text1"/>
                <w:sz w:val="20"/>
                <w:szCs w:val="20"/>
              </w:rPr>
              <w:t>187.</w:t>
            </w:r>
            <w:r w:rsidRPr="002E7CDC">
              <w:rPr>
                <w:snapToGrid w:val="0"/>
                <w:color w:val="000000" w:themeColor="text1"/>
                <w:sz w:val="20"/>
                <w:szCs w:val="20"/>
              </w:rPr>
              <w:t xml:space="preserve"> </w:t>
            </w:r>
          </w:p>
        </w:tc>
      </w:tr>
    </w:tbl>
    <w:p w14:paraId="230EE7B5" w14:textId="17DD264B" w:rsidR="00B41A84" w:rsidRDefault="00B41A84" w:rsidP="00952E9F"/>
    <w:p w14:paraId="1A12CD1C" w14:textId="43314C23" w:rsidR="00B41A84" w:rsidRDefault="00B41A84" w:rsidP="00952E9F">
      <w:r>
        <w:br w:type="page"/>
      </w:r>
    </w:p>
    <w:p w14:paraId="789FF994" w14:textId="77777777" w:rsidR="00B41A84" w:rsidRPr="001B4892" w:rsidRDefault="00B41A84" w:rsidP="00B41A84">
      <w:pPr>
        <w:pStyle w:val="ATSHeading1"/>
      </w:pPr>
      <w:r w:rsidRPr="001B4892">
        <w:lastRenderedPageBreak/>
        <w:t>ASPA No. 1</w:t>
      </w:r>
      <w:r>
        <w:t>24</w:t>
      </w:r>
      <w:r w:rsidRPr="001B4892">
        <w:t xml:space="preserve"> </w:t>
      </w:r>
      <w:r>
        <w:t>Cape Crozier, Ross Island</w:t>
      </w:r>
    </w:p>
    <w:p w14:paraId="2C369050" w14:textId="77777777" w:rsidR="00B41A84" w:rsidRPr="00CA75E4" w:rsidRDefault="00B41A84" w:rsidP="00B41A84">
      <w:pPr>
        <w:pStyle w:val="ATSNumber2"/>
      </w:pPr>
      <w:r w:rsidRPr="00CA75E4">
        <w:t>The Management Plan for ASPA No. 12</w:t>
      </w:r>
      <w:r>
        <w:t>4</w:t>
      </w:r>
      <w:r w:rsidRPr="00CA75E4">
        <w:t xml:space="preserve"> Cape </w:t>
      </w:r>
      <w:r>
        <w:t>Crozier</w:t>
      </w:r>
      <w:r w:rsidRPr="00CA75E4">
        <w:t xml:space="preserve"> was last revised in 201</w:t>
      </w:r>
      <w:r>
        <w:t>4</w:t>
      </w:r>
      <w:r w:rsidRPr="00CA75E4">
        <w:t>, and review thus fell due in 20</w:t>
      </w:r>
      <w:r>
        <w:t>19</w:t>
      </w:r>
      <w:r w:rsidRPr="00CA75E4">
        <w:t xml:space="preserve">. Accordingly, the United States has </w:t>
      </w:r>
      <w:r>
        <w:t xml:space="preserve">reviewed the Management Plan and </w:t>
      </w:r>
      <w:r w:rsidRPr="00CA75E4">
        <w:t xml:space="preserve">made </w:t>
      </w:r>
      <w:proofErr w:type="gramStart"/>
      <w:r w:rsidRPr="00CA75E4">
        <w:t>a number of</w:t>
      </w:r>
      <w:proofErr w:type="gramEnd"/>
      <w:r w:rsidRPr="00CA75E4">
        <w:t xml:space="preserve"> revisions</w:t>
      </w:r>
      <w:r>
        <w:t>.</w:t>
      </w:r>
    </w:p>
    <w:p w14:paraId="444B161E" w14:textId="77777777" w:rsidR="00B41A84" w:rsidRPr="0067329C" w:rsidRDefault="00B41A84" w:rsidP="00B41A84">
      <w:pPr>
        <w:pStyle w:val="ATSNumber2"/>
      </w:pPr>
      <w:r w:rsidRPr="005F358A">
        <w:t>Cape Crozier was originally</w:t>
      </w:r>
      <w:r w:rsidRPr="005F358A">
        <w:rPr>
          <w:lang w:val="en-US"/>
        </w:rPr>
        <w:t xml:space="preserve"> designated as</w:t>
      </w:r>
      <w:r w:rsidRPr="005F358A">
        <w:t xml:space="preserve"> </w:t>
      </w:r>
      <w:r>
        <w:t>Specially Protected Area (</w:t>
      </w:r>
      <w:r w:rsidRPr="005F358A">
        <w:t>SPA</w:t>
      </w:r>
      <w:r>
        <w:t>)</w:t>
      </w:r>
      <w:r w:rsidRPr="005F358A">
        <w:t xml:space="preserve"> No.</w:t>
      </w:r>
      <w:r>
        <w:t xml:space="preserve"> </w:t>
      </w:r>
      <w:r w:rsidRPr="005F358A">
        <w:t xml:space="preserve">6 </w:t>
      </w:r>
      <w:r>
        <w:t xml:space="preserve">(1966) </w:t>
      </w:r>
      <w:r w:rsidRPr="005F358A">
        <w:t xml:space="preserve">on the grounds that the region supports a rich bird and mammal fauna as well as microfauna and microflora, </w:t>
      </w:r>
      <w:r w:rsidRPr="005F358A">
        <w:rPr>
          <w:lang w:val="en-US"/>
        </w:rPr>
        <w:t>and that the ecosystem depends on a substantial mixing of marine and terrestrial elements of outstanding scientific interest.</w:t>
      </w:r>
      <w:r>
        <w:rPr>
          <w:lang w:val="en-US"/>
        </w:rPr>
        <w:t xml:space="preserve"> With the re-designation as SSSI No.4 (1975) a protection of the long-term studies of the </w:t>
      </w:r>
      <w:r>
        <w:t>studies of the population dynamics and social behaviour of emperor (</w:t>
      </w:r>
      <w:r>
        <w:rPr>
          <w:i/>
        </w:rPr>
        <w:t xml:space="preserve">Aptenodytes </w:t>
      </w:r>
      <w:proofErr w:type="spellStart"/>
      <w:r>
        <w:rPr>
          <w:i/>
        </w:rPr>
        <w:t>forsteri</w:t>
      </w:r>
      <w:proofErr w:type="spellEnd"/>
      <w:r>
        <w:t xml:space="preserve">) and </w:t>
      </w:r>
      <w:proofErr w:type="spellStart"/>
      <w:r>
        <w:t>Adélie</w:t>
      </w:r>
      <w:proofErr w:type="spellEnd"/>
      <w:r>
        <w:t xml:space="preserve"> (</w:t>
      </w:r>
      <w:proofErr w:type="spellStart"/>
      <w:r>
        <w:rPr>
          <w:i/>
        </w:rPr>
        <w:t>Pygoscelis</w:t>
      </w:r>
      <w:proofErr w:type="spellEnd"/>
      <w:r>
        <w:rPr>
          <w:i/>
        </w:rPr>
        <w:t xml:space="preserve"> </w:t>
      </w:r>
      <w:proofErr w:type="spellStart"/>
      <w:r>
        <w:rPr>
          <w:i/>
        </w:rPr>
        <w:t>adeliae</w:t>
      </w:r>
      <w:proofErr w:type="spellEnd"/>
      <w:r>
        <w:t xml:space="preserve">) penguins was </w:t>
      </w:r>
      <w:r w:rsidRPr="005F358A">
        <w:t>ensured. The current Management Plan reaffirms the values of the Area.</w:t>
      </w:r>
    </w:p>
    <w:p w14:paraId="0F9C5A90" w14:textId="77777777" w:rsidR="00B41A84" w:rsidRDefault="00B41A84" w:rsidP="00B41A84">
      <w:pPr>
        <w:pStyle w:val="ATSNumber2"/>
      </w:pPr>
      <w:r>
        <w:t xml:space="preserve">The values of the Area have been revised to give more recognition to the importance of the habitat associated with persistent sea ice that forms in the large cracks in the Ross Ice Shelf for various species, including emperor and </w:t>
      </w:r>
      <w:proofErr w:type="spellStart"/>
      <w:r>
        <w:t>Adélie</w:t>
      </w:r>
      <w:proofErr w:type="spellEnd"/>
      <w:r>
        <w:t xml:space="preserve"> penguins and Weddell seals. The first record of </w:t>
      </w:r>
      <w:proofErr w:type="spellStart"/>
      <w:r>
        <w:t>Adélie</w:t>
      </w:r>
      <w:proofErr w:type="spellEnd"/>
      <w:r>
        <w:t xml:space="preserve"> penguins apparently breeding on fast ice was made in these cracks near Cape Crozier (LaRue </w:t>
      </w:r>
      <w:r w:rsidRPr="0080274B">
        <w:rPr>
          <w:i/>
        </w:rPr>
        <w:t>et al</w:t>
      </w:r>
      <w:r>
        <w:t>. 2019). While perhaps a rare and transitory event, when considered together with frequent use of this area by non-breeding penguins as well as by seals of several species, this underscores the importance of adjacent sea ice to the ecology of the Area. In addition, the values have been revised to recognize t</w:t>
      </w:r>
      <w:r w:rsidRPr="00347350">
        <w:t xml:space="preserve">he first </w:t>
      </w:r>
      <w:r>
        <w:t>discovery of a</w:t>
      </w:r>
      <w:r w:rsidRPr="00347350">
        <w:t xml:space="preserve"> circovirus in penguins</w:t>
      </w:r>
      <w:r>
        <w:t xml:space="preserve"> at Cape Crozier (Morandini 2019). The circovirus was identified in </w:t>
      </w:r>
      <w:proofErr w:type="spellStart"/>
      <w:r>
        <w:t>Adélie</w:t>
      </w:r>
      <w:proofErr w:type="spellEnd"/>
      <w:r>
        <w:t xml:space="preserve"> penguins and as a new species.</w:t>
      </w:r>
    </w:p>
    <w:p w14:paraId="7C4AFBBC" w14:textId="77777777" w:rsidR="00B41A84" w:rsidRDefault="00B41A84" w:rsidP="00B41A84">
      <w:pPr>
        <w:pStyle w:val="ATSNumber2"/>
      </w:pPr>
      <w:r>
        <w:t xml:space="preserve">Revisions to the scientific description of the Area have been made as well as updates to aircraft access and overflight conditions, including addition of a provision covering Remotely Piloted Aircraft Systems (RPAS). </w:t>
      </w:r>
    </w:p>
    <w:p w14:paraId="63A848B1" w14:textId="77777777" w:rsidR="00B41A84" w:rsidRPr="0055407B" w:rsidRDefault="00B41A84" w:rsidP="00B41A84">
      <w:pPr>
        <w:pStyle w:val="ATSNumber2"/>
      </w:pPr>
      <w:r>
        <w:t xml:space="preserve">No changes have been made to the boundaries of the Area. No substantive changes to overall management policies have been made. </w:t>
      </w:r>
      <w:proofErr w:type="gramStart"/>
      <w:r>
        <w:t>Therefore</w:t>
      </w:r>
      <w:proofErr w:type="gramEnd"/>
      <w:r>
        <w:t xml:space="preserve"> the revisions have been classified as ‘minor’ in nature and in effect.</w:t>
      </w:r>
    </w:p>
    <w:p w14:paraId="49F98FA2" w14:textId="77777777" w:rsidR="00B41A84" w:rsidRPr="0083144B" w:rsidRDefault="00B41A84" w:rsidP="00B41A84">
      <w:pPr>
        <w:pStyle w:val="ATSNumber2"/>
        <w:rPr>
          <w:lang w:val="en-US"/>
        </w:rPr>
      </w:pPr>
      <w:r w:rsidRPr="0083144B">
        <w:t xml:space="preserve">The </w:t>
      </w:r>
      <w:r>
        <w:t xml:space="preserve">principal </w:t>
      </w:r>
      <w:r w:rsidRPr="0083144B">
        <w:t>changes to the provisions of the existing Management Plan include:</w:t>
      </w:r>
    </w:p>
    <w:p w14:paraId="060811D2" w14:textId="77777777" w:rsidR="00B41A84" w:rsidRPr="00FF0DF4" w:rsidRDefault="00B41A84" w:rsidP="00B41A84">
      <w:pPr>
        <w:pStyle w:val="ATSNumber2"/>
        <w:numPr>
          <w:ilvl w:val="1"/>
          <w:numId w:val="20"/>
        </w:numPr>
        <w:tabs>
          <w:tab w:val="clear" w:pos="1440"/>
          <w:tab w:val="num" w:pos="1701"/>
        </w:tabs>
        <w:ind w:left="1701" w:hanging="621"/>
        <w:rPr>
          <w:lang w:val="en-US"/>
        </w:rPr>
      </w:pPr>
      <w:r w:rsidRPr="00FF0DF4">
        <w:t>Revisions to take account of</w:t>
      </w:r>
      <w:r w:rsidRPr="00FF0DF4">
        <w:rPr>
          <w:szCs w:val="22"/>
        </w:rPr>
        <w:t xml:space="preserve"> new agreements and guidance reached by the ATCM since the previous Management Plan was adopted</w:t>
      </w:r>
      <w:r w:rsidRPr="00FF0DF4">
        <w:t xml:space="preserve">, and with other management plans recently adopted by the </w:t>
      </w:r>
      <w:proofErr w:type="gramStart"/>
      <w:r w:rsidRPr="00FF0DF4">
        <w:t>ATCM</w:t>
      </w:r>
      <w:r w:rsidRPr="00FF0DF4">
        <w:rPr>
          <w:szCs w:val="22"/>
        </w:rPr>
        <w:t>;</w:t>
      </w:r>
      <w:proofErr w:type="gramEnd"/>
    </w:p>
    <w:p w14:paraId="7EA06234" w14:textId="77777777" w:rsidR="00B41A84" w:rsidRPr="00FF0DF4" w:rsidRDefault="00B41A84" w:rsidP="00B41A84">
      <w:pPr>
        <w:pStyle w:val="ATSNumber2"/>
        <w:numPr>
          <w:ilvl w:val="1"/>
          <w:numId w:val="20"/>
        </w:numPr>
        <w:tabs>
          <w:tab w:val="clear" w:pos="1440"/>
          <w:tab w:val="num" w:pos="1701"/>
        </w:tabs>
        <w:ind w:left="1701" w:hanging="621"/>
        <w:rPr>
          <w:lang w:val="en-US"/>
        </w:rPr>
      </w:pPr>
      <w:r w:rsidRPr="00FF0DF4">
        <w:rPr>
          <w:i/>
          <w:iCs/>
          <w:lang w:val="en-US"/>
        </w:rPr>
        <w:t>Section 1 Description of values to be protected.</w:t>
      </w:r>
      <w:r>
        <w:rPr>
          <w:lang w:val="en-US"/>
        </w:rPr>
        <w:t xml:space="preserve"> Additional recognition has been noted of the importance of the </w:t>
      </w:r>
      <w:r>
        <w:t xml:space="preserve">habitat associated with persistent sea ice in the large cracks in the Ross Ice Shelf for various species, including emperor and </w:t>
      </w:r>
      <w:proofErr w:type="spellStart"/>
      <w:r>
        <w:t>Adélie</w:t>
      </w:r>
      <w:proofErr w:type="spellEnd"/>
      <w:r>
        <w:t xml:space="preserve"> penguins and Weddell seals. A</w:t>
      </w:r>
      <w:r>
        <w:rPr>
          <w:lang w:val="en-US"/>
        </w:rPr>
        <w:t xml:space="preserve"> small </w:t>
      </w:r>
      <w:proofErr w:type="spellStart"/>
      <w:r>
        <w:t>Adélie</w:t>
      </w:r>
      <w:proofErr w:type="spellEnd"/>
      <w:r>
        <w:t xml:space="preserve"> penguin sub-colony was observed apparently breeding on this fast ice in November 2018, which is the first record of </w:t>
      </w:r>
      <w:proofErr w:type="spellStart"/>
      <w:r>
        <w:t>Adélie</w:t>
      </w:r>
      <w:proofErr w:type="spellEnd"/>
      <w:r>
        <w:t xml:space="preserve"> penguins breeding on sea ice in Antarctica. A new species of circovirus was discovered in </w:t>
      </w:r>
      <w:proofErr w:type="spellStart"/>
      <w:r>
        <w:t>Adélie</w:t>
      </w:r>
      <w:proofErr w:type="spellEnd"/>
      <w:r>
        <w:t xml:space="preserve"> penguins at Cape Crozier, which was the first record of a circovirus in </w:t>
      </w:r>
      <w:proofErr w:type="gramStart"/>
      <w:r>
        <w:t>penguins;</w:t>
      </w:r>
      <w:proofErr w:type="gramEnd"/>
    </w:p>
    <w:p w14:paraId="69E45894" w14:textId="77777777" w:rsidR="00B41A84" w:rsidRPr="00FF0DF4" w:rsidRDefault="00B41A84" w:rsidP="00B41A84">
      <w:pPr>
        <w:pStyle w:val="ATSNumber2"/>
        <w:numPr>
          <w:ilvl w:val="1"/>
          <w:numId w:val="20"/>
        </w:numPr>
        <w:tabs>
          <w:tab w:val="clear" w:pos="1440"/>
          <w:tab w:val="num" w:pos="1701"/>
        </w:tabs>
        <w:ind w:left="1701" w:hanging="621"/>
        <w:rPr>
          <w:lang w:val="en-US"/>
        </w:rPr>
      </w:pPr>
      <w:r>
        <w:rPr>
          <w:i/>
          <w:iCs/>
          <w:lang w:val="en-US"/>
        </w:rPr>
        <w:t>Section 2 Aims and objectives.</w:t>
      </w:r>
      <w:r>
        <w:rPr>
          <w:lang w:val="en-US"/>
        </w:rPr>
        <w:t xml:space="preserve"> Specification that </w:t>
      </w:r>
      <w:r>
        <w:t xml:space="preserve">the potential historic and heritage values of any artefacts should be taken into account before their removal and/or disposal, while allowing for appropriate clean-up and remediation if </w:t>
      </w:r>
      <w:proofErr w:type="gramStart"/>
      <w:r>
        <w:t>required;</w:t>
      </w:r>
      <w:proofErr w:type="gramEnd"/>
    </w:p>
    <w:p w14:paraId="782710FC" w14:textId="77777777" w:rsidR="00B41A84" w:rsidRPr="00C90E33" w:rsidRDefault="00B41A84" w:rsidP="00B41A84">
      <w:pPr>
        <w:pStyle w:val="ATSNumber2"/>
        <w:numPr>
          <w:ilvl w:val="1"/>
          <w:numId w:val="20"/>
        </w:numPr>
        <w:tabs>
          <w:tab w:val="clear" w:pos="1440"/>
          <w:tab w:val="num" w:pos="1701"/>
        </w:tabs>
        <w:ind w:left="1701" w:hanging="621"/>
        <w:rPr>
          <w:lang w:val="en-US"/>
        </w:rPr>
      </w:pPr>
      <w:r>
        <w:rPr>
          <w:i/>
          <w:iCs/>
          <w:lang w:val="en-US"/>
        </w:rPr>
        <w:t>Section 6(</w:t>
      </w:r>
      <w:proofErr w:type="spellStart"/>
      <w:r>
        <w:rPr>
          <w:i/>
          <w:iCs/>
          <w:lang w:val="en-US"/>
        </w:rPr>
        <w:t>i</w:t>
      </w:r>
      <w:proofErr w:type="spellEnd"/>
      <w:r>
        <w:rPr>
          <w:i/>
          <w:iCs/>
          <w:lang w:val="en-US"/>
        </w:rPr>
        <w:t xml:space="preserve">) Geographical co-ordinates, boundary markers and natural features. </w:t>
      </w:r>
      <w:r>
        <w:t>Revisions to the</w:t>
      </w:r>
      <w:r w:rsidRPr="00C90E33">
        <w:t xml:space="preserve"> </w:t>
      </w:r>
      <w:r>
        <w:t xml:space="preserve">scientific description of the Area, including updates on the number of breeding penguins, south polar skuas and Weddell seals within the Area. Designation of the Area as Important Bird Area No. 187 has been </w:t>
      </w:r>
      <w:proofErr w:type="gramStart"/>
      <w:r>
        <w:t>noted</w:t>
      </w:r>
      <w:r w:rsidRPr="00C90E33">
        <w:t>;</w:t>
      </w:r>
      <w:proofErr w:type="gramEnd"/>
    </w:p>
    <w:p w14:paraId="0DC390FB" w14:textId="77777777" w:rsidR="00B41A84" w:rsidRPr="00417668" w:rsidRDefault="00B41A84" w:rsidP="00B41A84">
      <w:pPr>
        <w:pStyle w:val="ATSNumber2"/>
        <w:numPr>
          <w:ilvl w:val="1"/>
          <w:numId w:val="20"/>
        </w:numPr>
        <w:tabs>
          <w:tab w:val="clear" w:pos="1440"/>
          <w:tab w:val="num" w:pos="1701"/>
        </w:tabs>
        <w:ind w:left="1701" w:hanging="621"/>
      </w:pPr>
      <w:r w:rsidRPr="00EF7139">
        <w:rPr>
          <w:i/>
        </w:rPr>
        <w:lastRenderedPageBreak/>
        <w:t xml:space="preserve">Section </w:t>
      </w:r>
      <w:r>
        <w:rPr>
          <w:i/>
        </w:rPr>
        <w:t>7(ii)</w:t>
      </w:r>
      <w:r w:rsidRPr="00507082">
        <w:rPr>
          <w:i/>
        </w:rPr>
        <w:t xml:space="preserve"> </w:t>
      </w:r>
      <w:r w:rsidRPr="00507082">
        <w:rPr>
          <w:i/>
          <w:lang w:val="en-US"/>
        </w:rPr>
        <w:t>Aircraft access and overflight</w:t>
      </w:r>
      <w:r w:rsidRPr="00417668">
        <w:t>.</w:t>
      </w:r>
      <w:r w:rsidRPr="00417668">
        <w:rPr>
          <w:szCs w:val="22"/>
        </w:rPr>
        <w:t xml:space="preserve"> </w:t>
      </w:r>
      <w:r>
        <w:t xml:space="preserve">The recommendation was added that: “pilots should be aware that congregations of penguins commonly occur on the sea ice adjacent to the </w:t>
      </w:r>
      <w:proofErr w:type="gramStart"/>
      <w:r>
        <w:t>coast, and</w:t>
      </w:r>
      <w:proofErr w:type="gramEnd"/>
      <w:r>
        <w:t xml:space="preserve"> associated with the ice shelf ‘canyons’”. Restrictions </w:t>
      </w:r>
      <w:proofErr w:type="gramStart"/>
      <w:r>
        <w:t>regarding  use</w:t>
      </w:r>
      <w:proofErr w:type="gramEnd"/>
      <w:r>
        <w:t xml:space="preserve"> of </w:t>
      </w:r>
      <w:r w:rsidRPr="003F0EAE">
        <w:t>Remotely Piloted Aircraft Systems (RPAS)</w:t>
      </w:r>
      <w:r>
        <w:t xml:space="preserve"> was added;</w:t>
      </w:r>
    </w:p>
    <w:p w14:paraId="229DA35C" w14:textId="77777777" w:rsidR="00B41A84" w:rsidRPr="008A26AA" w:rsidRDefault="00B41A84" w:rsidP="00B41A84">
      <w:pPr>
        <w:pStyle w:val="ATSNumber2"/>
        <w:numPr>
          <w:ilvl w:val="1"/>
          <w:numId w:val="20"/>
        </w:numPr>
        <w:tabs>
          <w:tab w:val="clear" w:pos="1440"/>
          <w:tab w:val="num" w:pos="1701"/>
        </w:tabs>
      </w:pPr>
      <w:r w:rsidRPr="008A26AA">
        <w:rPr>
          <w:i/>
        </w:rPr>
        <w:t>Section 8</w:t>
      </w:r>
      <w:r w:rsidRPr="008A26AA">
        <w:rPr>
          <w:i/>
          <w:szCs w:val="22"/>
        </w:rPr>
        <w:t xml:space="preserve"> - Supporting documentation</w:t>
      </w:r>
      <w:r w:rsidRPr="0083144B">
        <w:t>.</w:t>
      </w:r>
      <w:r w:rsidRPr="008A26AA">
        <w:rPr>
          <w:szCs w:val="22"/>
        </w:rPr>
        <w:t xml:space="preserve"> The reference list has been updated.</w:t>
      </w:r>
    </w:p>
    <w:p w14:paraId="1490C06A" w14:textId="77777777" w:rsidR="00B41A84" w:rsidRPr="0083144B" w:rsidRDefault="00B41A84" w:rsidP="00B41A84">
      <w:pPr>
        <w:pStyle w:val="ATSNumber2"/>
        <w:numPr>
          <w:ilvl w:val="1"/>
          <w:numId w:val="20"/>
        </w:numPr>
        <w:tabs>
          <w:tab w:val="clear" w:pos="1440"/>
          <w:tab w:val="num" w:pos="1701"/>
        </w:tabs>
      </w:pPr>
      <w:r w:rsidRPr="00025C09">
        <w:t xml:space="preserve">The </w:t>
      </w:r>
      <w:r>
        <w:t>scientific</w:t>
      </w:r>
      <w:r w:rsidRPr="00025C09">
        <w:t xml:space="preserve"> name for South polar skua (</w:t>
      </w:r>
      <w:proofErr w:type="spellStart"/>
      <w:r w:rsidRPr="008A26AA">
        <w:rPr>
          <w:i/>
        </w:rPr>
        <w:t>Stercorarius</w:t>
      </w:r>
      <w:proofErr w:type="spellEnd"/>
      <w:r w:rsidRPr="008A26AA">
        <w:rPr>
          <w:i/>
        </w:rPr>
        <w:t xml:space="preserve"> </w:t>
      </w:r>
      <w:proofErr w:type="spellStart"/>
      <w:r w:rsidRPr="008A26AA">
        <w:rPr>
          <w:i/>
        </w:rPr>
        <w:t>maccormicki</w:t>
      </w:r>
      <w:proofErr w:type="spellEnd"/>
      <w:r w:rsidRPr="00025C09">
        <w:t xml:space="preserve">) recently changed to </w:t>
      </w:r>
      <w:proofErr w:type="spellStart"/>
      <w:r w:rsidRPr="008A26AA">
        <w:rPr>
          <w:i/>
        </w:rPr>
        <w:t>Catharacta</w:t>
      </w:r>
      <w:proofErr w:type="spellEnd"/>
      <w:r w:rsidRPr="008A26AA">
        <w:rPr>
          <w:i/>
        </w:rPr>
        <w:t xml:space="preserve"> </w:t>
      </w:r>
      <w:proofErr w:type="spellStart"/>
      <w:r w:rsidRPr="008A26AA">
        <w:rPr>
          <w:i/>
        </w:rPr>
        <w:t>maccormicki</w:t>
      </w:r>
      <w:proofErr w:type="spellEnd"/>
      <w:r w:rsidRPr="008A26AA">
        <w:rPr>
          <w:i/>
        </w:rPr>
        <w:t xml:space="preserve"> </w:t>
      </w:r>
      <w:r w:rsidRPr="00025C09">
        <w:t xml:space="preserve">(see </w:t>
      </w:r>
      <w:proofErr w:type="spellStart"/>
      <w:r w:rsidRPr="00025C09">
        <w:t>BirdLife</w:t>
      </w:r>
      <w:proofErr w:type="spellEnd"/>
      <w:r w:rsidRPr="00025C09">
        <w:t xml:space="preserve"> International Data Zone: </w:t>
      </w:r>
      <w:r w:rsidRPr="005958D2">
        <w:t>http://datazone.birdlife.org/species/factsheet/south-polar-skua-catharacta-maccormicki</w:t>
      </w:r>
      <w:r w:rsidRPr="00025C09">
        <w:t xml:space="preserve"> Accessed </w:t>
      </w:r>
      <w:r>
        <w:t>Mar</w:t>
      </w:r>
      <w:r w:rsidRPr="00025C09">
        <w:t xml:space="preserve"> 202</w:t>
      </w:r>
      <w:r>
        <w:t>2</w:t>
      </w:r>
      <w:r w:rsidRPr="00025C09">
        <w:t>). The management plan has been amended as appropriate.</w:t>
      </w:r>
    </w:p>
    <w:p w14:paraId="10325AA2" w14:textId="77777777" w:rsidR="00B41A84" w:rsidRDefault="00B41A84" w:rsidP="00B41A84">
      <w:pPr>
        <w:pStyle w:val="ATSHeading3"/>
      </w:pPr>
      <w:r>
        <w:t>Recommendation</w:t>
      </w:r>
    </w:p>
    <w:p w14:paraId="76CBAE33" w14:textId="77777777" w:rsidR="00B41A84" w:rsidRPr="002453EC" w:rsidRDefault="00B41A84" w:rsidP="00B41A84">
      <w:pPr>
        <w:pStyle w:val="ATSNormal"/>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7EE6C0F3" w14:textId="77777777" w:rsidR="00B41A84" w:rsidRDefault="00B41A84" w:rsidP="00B41A84"/>
    <w:p w14:paraId="7585362A" w14:textId="77777777" w:rsidR="00B41A84" w:rsidRPr="0080274B" w:rsidRDefault="00B41A84" w:rsidP="00B41A84">
      <w:pPr>
        <w:rPr>
          <w:b/>
        </w:rPr>
      </w:pPr>
      <w:r w:rsidRPr="0080274B">
        <w:rPr>
          <w:b/>
        </w:rPr>
        <w:t>Reference</w:t>
      </w:r>
      <w:r>
        <w:rPr>
          <w:b/>
        </w:rPr>
        <w:t>s</w:t>
      </w:r>
    </w:p>
    <w:p w14:paraId="127BEE42" w14:textId="77777777" w:rsidR="00B41A84" w:rsidRDefault="00B41A84" w:rsidP="00B41A84">
      <w:pPr>
        <w:pStyle w:val="ATSNormal"/>
        <w:ind w:left="993" w:hanging="993"/>
        <w:rPr>
          <w:rFonts w:asciiTheme="majorBidi" w:hAnsiTheme="majorBidi" w:cstheme="majorBidi"/>
          <w:szCs w:val="22"/>
        </w:rPr>
      </w:pPr>
      <w:r w:rsidRPr="009D677D">
        <w:rPr>
          <w:rFonts w:asciiTheme="majorBidi" w:hAnsiTheme="majorBidi" w:cstheme="majorBidi"/>
          <w:szCs w:val="22"/>
        </w:rPr>
        <w:t>LaRue, M.,</w:t>
      </w:r>
      <w:r>
        <w:rPr>
          <w:rFonts w:asciiTheme="majorBidi" w:hAnsiTheme="majorBidi" w:cstheme="majorBidi"/>
          <w:szCs w:val="22"/>
        </w:rPr>
        <w:t xml:space="preserve"> </w:t>
      </w:r>
      <w:r w:rsidRPr="009D677D">
        <w:rPr>
          <w:rFonts w:asciiTheme="majorBidi" w:hAnsiTheme="majorBidi" w:cstheme="majorBidi"/>
          <w:szCs w:val="22"/>
        </w:rPr>
        <w:t xml:space="preserve">D. Iles, S. </w:t>
      </w:r>
      <w:proofErr w:type="spellStart"/>
      <w:r w:rsidRPr="009D677D">
        <w:rPr>
          <w:rFonts w:asciiTheme="majorBidi" w:hAnsiTheme="majorBidi" w:cstheme="majorBidi"/>
          <w:szCs w:val="22"/>
        </w:rPr>
        <w:t>Labrousse</w:t>
      </w:r>
      <w:proofErr w:type="spellEnd"/>
      <w:r w:rsidRPr="009D677D">
        <w:rPr>
          <w:rFonts w:asciiTheme="majorBidi" w:hAnsiTheme="majorBidi" w:cstheme="majorBidi"/>
          <w:szCs w:val="22"/>
        </w:rPr>
        <w:t xml:space="preserve">, G. Ballard, D. </w:t>
      </w:r>
      <w:proofErr w:type="spellStart"/>
      <w:r w:rsidRPr="009D677D">
        <w:rPr>
          <w:rFonts w:asciiTheme="majorBidi" w:hAnsiTheme="majorBidi" w:cstheme="majorBidi"/>
          <w:szCs w:val="22"/>
        </w:rPr>
        <w:t>Ainley</w:t>
      </w:r>
      <w:proofErr w:type="spellEnd"/>
      <w:r w:rsidRPr="009D677D">
        <w:rPr>
          <w:rFonts w:asciiTheme="majorBidi" w:hAnsiTheme="majorBidi" w:cstheme="majorBidi"/>
          <w:szCs w:val="22"/>
        </w:rPr>
        <w:t xml:space="preserve"> &amp; B. Saenz. 2019. </w:t>
      </w:r>
      <w:r w:rsidRPr="009D677D">
        <w:rPr>
          <w:rFonts w:asciiTheme="majorBidi" w:hAnsiTheme="majorBidi" w:cstheme="majorBidi"/>
          <w:color w:val="000000" w:themeColor="text1"/>
          <w:szCs w:val="22"/>
        </w:rPr>
        <w:t xml:space="preserve">A possible </w:t>
      </w:r>
      <w:proofErr w:type="spellStart"/>
      <w:r w:rsidRPr="009D677D">
        <w:rPr>
          <w:rFonts w:asciiTheme="majorBidi" w:hAnsiTheme="majorBidi" w:cstheme="majorBidi"/>
          <w:color w:val="000000" w:themeColor="text1"/>
          <w:szCs w:val="22"/>
        </w:rPr>
        <w:t>Adélie</w:t>
      </w:r>
      <w:proofErr w:type="spellEnd"/>
      <w:r w:rsidRPr="009D677D">
        <w:rPr>
          <w:rFonts w:asciiTheme="majorBidi" w:hAnsiTheme="majorBidi" w:cstheme="majorBidi"/>
          <w:color w:val="000000" w:themeColor="text1"/>
          <w:szCs w:val="22"/>
        </w:rPr>
        <w:t xml:space="preserve"> penguin sub-colony on fast ice by Cape Crozier, Antarctica.</w:t>
      </w:r>
      <w:r w:rsidRPr="009D677D">
        <w:rPr>
          <w:rFonts w:asciiTheme="majorBidi" w:hAnsiTheme="majorBidi" w:cstheme="majorBidi"/>
          <w:color w:val="FF0000"/>
          <w:szCs w:val="22"/>
        </w:rPr>
        <w:t xml:space="preserve"> </w:t>
      </w:r>
      <w:r w:rsidRPr="009D677D">
        <w:rPr>
          <w:rFonts w:asciiTheme="majorBidi" w:hAnsiTheme="majorBidi" w:cstheme="majorBidi"/>
          <w:i/>
          <w:iCs/>
          <w:szCs w:val="22"/>
        </w:rPr>
        <w:t>Antarctic Science</w:t>
      </w:r>
      <w:r w:rsidRPr="009D677D">
        <w:rPr>
          <w:rFonts w:asciiTheme="majorBidi" w:hAnsiTheme="majorBidi" w:cstheme="majorBidi"/>
          <w:szCs w:val="22"/>
        </w:rPr>
        <w:t xml:space="preserve">. </w:t>
      </w:r>
      <w:r w:rsidRPr="009D677D">
        <w:rPr>
          <w:rFonts w:asciiTheme="majorBidi" w:hAnsiTheme="majorBidi" w:cstheme="majorBidi"/>
          <w:b/>
          <w:bCs/>
          <w:szCs w:val="22"/>
        </w:rPr>
        <w:t>31</w:t>
      </w:r>
      <w:r>
        <w:rPr>
          <w:rFonts w:asciiTheme="majorBidi" w:hAnsiTheme="majorBidi" w:cstheme="majorBidi"/>
          <w:szCs w:val="22"/>
        </w:rPr>
        <w:t xml:space="preserve"> (4): 189-194. </w:t>
      </w:r>
    </w:p>
    <w:p w14:paraId="37701D57" w14:textId="77777777" w:rsidR="00B41A84" w:rsidRDefault="00B41A84" w:rsidP="00B41A84">
      <w:r w:rsidRPr="009D677D">
        <w:rPr>
          <w:rFonts w:asciiTheme="majorBidi" w:hAnsiTheme="majorBidi" w:cstheme="majorBidi"/>
          <w:szCs w:val="22"/>
        </w:rPr>
        <w:t xml:space="preserve">Morandini, V., K. </w:t>
      </w:r>
      <w:proofErr w:type="spellStart"/>
      <w:r w:rsidRPr="009D677D">
        <w:rPr>
          <w:rFonts w:asciiTheme="majorBidi" w:hAnsiTheme="majorBidi" w:cstheme="majorBidi"/>
          <w:szCs w:val="22"/>
        </w:rPr>
        <w:t>Dugger</w:t>
      </w:r>
      <w:proofErr w:type="spellEnd"/>
      <w:r w:rsidRPr="009D677D">
        <w:rPr>
          <w:rFonts w:asciiTheme="majorBidi" w:hAnsiTheme="majorBidi" w:cstheme="majorBidi"/>
          <w:szCs w:val="22"/>
        </w:rPr>
        <w:t xml:space="preserve">, G. Ballard, M. Elrod, A. Schmidt, V. </w:t>
      </w:r>
      <w:proofErr w:type="spellStart"/>
      <w:r w:rsidRPr="009D677D">
        <w:rPr>
          <w:rFonts w:asciiTheme="majorBidi" w:hAnsiTheme="majorBidi" w:cstheme="majorBidi"/>
          <w:szCs w:val="22"/>
        </w:rPr>
        <w:t>Ruoppolo</w:t>
      </w:r>
      <w:proofErr w:type="spellEnd"/>
      <w:r w:rsidRPr="009D677D">
        <w:rPr>
          <w:rFonts w:asciiTheme="majorBidi" w:hAnsiTheme="majorBidi" w:cstheme="majorBidi"/>
          <w:szCs w:val="22"/>
        </w:rPr>
        <w:t xml:space="preserve">, A. </w:t>
      </w:r>
      <w:proofErr w:type="spellStart"/>
      <w:r w:rsidRPr="009D677D">
        <w:rPr>
          <w:rFonts w:asciiTheme="majorBidi" w:hAnsiTheme="majorBidi" w:cstheme="majorBidi"/>
          <w:szCs w:val="22"/>
        </w:rPr>
        <w:t>Lescroel</w:t>
      </w:r>
      <w:proofErr w:type="spellEnd"/>
      <w:r w:rsidRPr="009D677D">
        <w:rPr>
          <w:rFonts w:asciiTheme="majorBidi" w:hAnsiTheme="majorBidi" w:cstheme="majorBidi"/>
          <w:szCs w:val="22"/>
        </w:rPr>
        <w:t xml:space="preserve">, D. </w:t>
      </w:r>
      <w:proofErr w:type="spellStart"/>
      <w:r w:rsidRPr="009D677D">
        <w:rPr>
          <w:rFonts w:asciiTheme="majorBidi" w:hAnsiTheme="majorBidi" w:cstheme="majorBidi"/>
          <w:szCs w:val="22"/>
        </w:rPr>
        <w:t>Jongsomjit</w:t>
      </w:r>
      <w:proofErr w:type="spellEnd"/>
      <w:r w:rsidRPr="009D677D">
        <w:rPr>
          <w:rFonts w:asciiTheme="majorBidi" w:hAnsiTheme="majorBidi" w:cstheme="majorBidi"/>
          <w:szCs w:val="22"/>
        </w:rPr>
        <w:t xml:space="preserve">, M. Massaro, J. Pennycook, G. </w:t>
      </w:r>
      <w:proofErr w:type="spellStart"/>
      <w:r w:rsidRPr="009D677D">
        <w:rPr>
          <w:rFonts w:asciiTheme="majorBidi" w:hAnsiTheme="majorBidi" w:cstheme="majorBidi"/>
          <w:szCs w:val="22"/>
        </w:rPr>
        <w:t>Kooyman</w:t>
      </w:r>
      <w:proofErr w:type="spellEnd"/>
      <w:r w:rsidRPr="009D677D">
        <w:rPr>
          <w:rFonts w:asciiTheme="majorBidi" w:hAnsiTheme="majorBidi" w:cstheme="majorBidi"/>
          <w:szCs w:val="22"/>
        </w:rPr>
        <w:t xml:space="preserve">, K. </w:t>
      </w:r>
      <w:proofErr w:type="spellStart"/>
      <w:r w:rsidRPr="009D677D">
        <w:rPr>
          <w:rFonts w:asciiTheme="majorBidi" w:hAnsiTheme="majorBidi" w:cstheme="majorBidi"/>
          <w:szCs w:val="22"/>
        </w:rPr>
        <w:t>Schmidlin</w:t>
      </w:r>
      <w:proofErr w:type="spellEnd"/>
      <w:r w:rsidRPr="009D677D">
        <w:rPr>
          <w:rFonts w:asciiTheme="majorBidi" w:hAnsiTheme="majorBidi" w:cstheme="majorBidi"/>
          <w:szCs w:val="22"/>
        </w:rPr>
        <w:t xml:space="preserve">, S. </w:t>
      </w:r>
      <w:proofErr w:type="spellStart"/>
      <w:r w:rsidRPr="009D677D">
        <w:rPr>
          <w:rFonts w:asciiTheme="majorBidi" w:hAnsiTheme="majorBidi" w:cstheme="majorBidi"/>
          <w:szCs w:val="22"/>
        </w:rPr>
        <w:t>Kraberger</w:t>
      </w:r>
      <w:proofErr w:type="spellEnd"/>
      <w:r w:rsidRPr="009D677D">
        <w:rPr>
          <w:rFonts w:asciiTheme="majorBidi" w:hAnsiTheme="majorBidi" w:cstheme="majorBidi"/>
          <w:szCs w:val="22"/>
        </w:rPr>
        <w:t xml:space="preserve">, D. </w:t>
      </w:r>
      <w:proofErr w:type="spellStart"/>
      <w:r w:rsidRPr="009D677D">
        <w:rPr>
          <w:rFonts w:asciiTheme="majorBidi" w:hAnsiTheme="majorBidi" w:cstheme="majorBidi"/>
          <w:szCs w:val="22"/>
        </w:rPr>
        <w:t>Ainley</w:t>
      </w:r>
      <w:proofErr w:type="spellEnd"/>
      <w:r w:rsidRPr="009D677D">
        <w:rPr>
          <w:rFonts w:asciiTheme="majorBidi" w:hAnsiTheme="majorBidi" w:cstheme="majorBidi"/>
          <w:szCs w:val="22"/>
        </w:rPr>
        <w:t xml:space="preserve"> &amp; A. </w:t>
      </w:r>
      <w:proofErr w:type="spellStart"/>
      <w:r w:rsidRPr="009D677D">
        <w:rPr>
          <w:rFonts w:asciiTheme="majorBidi" w:hAnsiTheme="majorBidi" w:cstheme="majorBidi"/>
          <w:szCs w:val="22"/>
        </w:rPr>
        <w:t>Varsani</w:t>
      </w:r>
      <w:proofErr w:type="spellEnd"/>
      <w:r w:rsidRPr="009D677D">
        <w:rPr>
          <w:rFonts w:asciiTheme="majorBidi" w:hAnsiTheme="majorBidi" w:cstheme="majorBidi"/>
          <w:szCs w:val="22"/>
        </w:rPr>
        <w:t xml:space="preserve">. 2019. </w:t>
      </w:r>
      <w:r w:rsidRPr="009D677D">
        <w:rPr>
          <w:rFonts w:asciiTheme="majorBidi" w:hAnsiTheme="majorBidi" w:cstheme="majorBidi"/>
          <w:color w:val="000000" w:themeColor="text1"/>
          <w:szCs w:val="22"/>
        </w:rPr>
        <w:t xml:space="preserve">Identification of a </w:t>
      </w:r>
      <w:r>
        <w:rPr>
          <w:rFonts w:asciiTheme="majorBidi" w:hAnsiTheme="majorBidi" w:cstheme="majorBidi"/>
          <w:color w:val="000000" w:themeColor="text1"/>
          <w:szCs w:val="22"/>
        </w:rPr>
        <w:t>n</w:t>
      </w:r>
      <w:r w:rsidRPr="009D677D">
        <w:rPr>
          <w:rFonts w:asciiTheme="majorBidi" w:hAnsiTheme="majorBidi" w:cstheme="majorBidi"/>
          <w:color w:val="000000" w:themeColor="text1"/>
          <w:szCs w:val="22"/>
        </w:rPr>
        <w:t xml:space="preserve">ovel </w:t>
      </w:r>
      <w:proofErr w:type="spellStart"/>
      <w:r w:rsidRPr="009D677D">
        <w:rPr>
          <w:rFonts w:asciiTheme="majorBidi" w:hAnsiTheme="majorBidi" w:cstheme="majorBidi"/>
          <w:color w:val="000000" w:themeColor="text1"/>
          <w:szCs w:val="22"/>
        </w:rPr>
        <w:t>Adélie</w:t>
      </w:r>
      <w:proofErr w:type="spellEnd"/>
      <w:r w:rsidRPr="009D677D">
        <w:rPr>
          <w:rFonts w:asciiTheme="majorBidi" w:hAnsiTheme="majorBidi" w:cstheme="majorBidi"/>
          <w:color w:val="000000" w:themeColor="text1"/>
          <w:szCs w:val="22"/>
        </w:rPr>
        <w:t xml:space="preserve"> Penguin Circovirus at Cape Crozier (Ross Island, Antarctica). </w:t>
      </w:r>
      <w:r w:rsidRPr="009D677D">
        <w:rPr>
          <w:rFonts w:asciiTheme="majorBidi" w:hAnsiTheme="majorBidi" w:cstheme="majorBidi"/>
          <w:i/>
          <w:iCs/>
          <w:szCs w:val="22"/>
        </w:rPr>
        <w:t>Viruses</w:t>
      </w:r>
      <w:r w:rsidRPr="009D677D">
        <w:rPr>
          <w:rFonts w:asciiTheme="majorBidi" w:hAnsiTheme="majorBidi" w:cstheme="majorBidi"/>
          <w:szCs w:val="22"/>
        </w:rPr>
        <w:t xml:space="preserve">. </w:t>
      </w:r>
      <w:r w:rsidRPr="009D677D">
        <w:rPr>
          <w:rFonts w:asciiTheme="majorBidi" w:hAnsiTheme="majorBidi" w:cstheme="majorBidi"/>
          <w:b/>
          <w:bCs/>
          <w:szCs w:val="22"/>
        </w:rPr>
        <w:t>11</w:t>
      </w:r>
      <w:r>
        <w:rPr>
          <w:rFonts w:asciiTheme="majorBidi" w:hAnsiTheme="majorBidi" w:cstheme="majorBidi"/>
          <w:b/>
          <w:bCs/>
          <w:szCs w:val="22"/>
        </w:rPr>
        <w:t xml:space="preserve"> </w:t>
      </w:r>
      <w:r>
        <w:rPr>
          <w:rFonts w:asciiTheme="majorBidi" w:hAnsiTheme="majorBidi" w:cstheme="majorBidi"/>
          <w:szCs w:val="22"/>
        </w:rPr>
        <w:t>(12): 1088.</w:t>
      </w:r>
    </w:p>
    <w:p w14:paraId="5542A425" w14:textId="77777777" w:rsidR="00B41A84" w:rsidRDefault="00B41A84" w:rsidP="00952E9F"/>
    <w:sectPr w:rsidR="00B41A84"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804C" w14:textId="77777777" w:rsidR="00000000" w:rsidRDefault="00B41A84">
      <w:r>
        <w:separator/>
      </w:r>
    </w:p>
  </w:endnote>
  <w:endnote w:type="continuationSeparator" w:id="0">
    <w:p w14:paraId="2B62B980" w14:textId="77777777" w:rsidR="00000000" w:rsidRDefault="00B4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1086" w14:textId="77777777" w:rsidR="00FA0B9F" w:rsidRDefault="00B41A84" w:rsidP="00CF5C82">
    <w:pPr>
      <w:framePr w:wrap="around" w:vAnchor="text" w:hAnchor="margin" w:xAlign="right" w:y="1"/>
    </w:pPr>
    <w:r>
      <w:fldChar w:fldCharType="begin"/>
    </w:r>
    <w:r>
      <w:instrText xml:space="preserve">PAGE  </w:instrText>
    </w:r>
    <w:r>
      <w:fldChar w:fldCharType="separate"/>
    </w:r>
    <w:r>
      <w:fldChar w:fldCharType="end"/>
    </w:r>
  </w:p>
  <w:p w14:paraId="1B24A798" w14:textId="77777777" w:rsidR="00FA0B9F" w:rsidRDefault="00B41A8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C1C2" w14:textId="77777777" w:rsidR="00FA0B9F" w:rsidRDefault="00B41A8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523FE26" w14:textId="16590D06" w:rsidR="00FA0B9F" w:rsidRDefault="00B41A84" w:rsidP="00FA0B9F">
    <w:pPr>
      <w:ind w:right="360"/>
    </w:pPr>
    <w:r>
      <w:t>Attachments: atcm44_att028_e.docx: ASPA 124 Revised Management Plan</w:t>
    </w:r>
  </w:p>
  <w:p w14:paraId="7155550D" w14:textId="77A41A68" w:rsidR="00B41A84" w:rsidRDefault="00B41A84" w:rsidP="00FA0B9F">
    <w:pPr>
      <w:ind w:right="360"/>
    </w:pPr>
    <w:r w:rsidRPr="00B41A84">
      <w:t>Atcm44_att029_e.pdf: ASPA 124 Map</w:t>
    </w:r>
    <w:r>
      <w:t xml:space="preserve"> 1</w:t>
    </w:r>
  </w:p>
  <w:p w14:paraId="6D960116" w14:textId="5601A4AF" w:rsidR="00B41A84" w:rsidRPr="00B41A84" w:rsidRDefault="00B41A84" w:rsidP="00FA0B9F">
    <w:pPr>
      <w:ind w:right="360"/>
    </w:pPr>
    <w:r w:rsidRPr="00B41A84">
      <w:t>Atcm44_att030_e.pdf: ASPA 124 Map</w:t>
    </w:r>
    <w:r>
      <w:t xml:space="preserv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4A82" w14:textId="77777777" w:rsidR="00E311C9" w:rsidRDefault="00B41A8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FA8387D" w14:textId="77777777" w:rsidR="00E311C9" w:rsidRDefault="00B41A8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E926" w14:textId="77777777" w:rsidR="00000000" w:rsidRDefault="00B41A84">
      <w:r>
        <w:separator/>
      </w:r>
    </w:p>
  </w:footnote>
  <w:footnote w:type="continuationSeparator" w:id="0">
    <w:p w14:paraId="151C95E3" w14:textId="77777777" w:rsidR="00000000" w:rsidRDefault="00B41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6616A" w14:paraId="7FD38E9D" w14:textId="77777777" w:rsidTr="00490760">
      <w:trPr>
        <w:trHeight w:val="344"/>
        <w:jc w:val="center"/>
      </w:trPr>
      <w:tc>
        <w:tcPr>
          <w:tcW w:w="5495" w:type="dxa"/>
        </w:tcPr>
        <w:p w14:paraId="2BD7DFE6" w14:textId="77777777" w:rsidR="00DB7C09" w:rsidRDefault="00B41A84" w:rsidP="00F968D4"/>
      </w:tc>
      <w:tc>
        <w:tcPr>
          <w:tcW w:w="4253" w:type="dxa"/>
          <w:gridSpan w:val="2"/>
        </w:tcPr>
        <w:p w14:paraId="13B54197" w14:textId="77777777" w:rsidR="00DB7C09" w:rsidRPr="00BD47E4" w:rsidRDefault="00B41A84" w:rsidP="002A07BC">
          <w:pPr>
            <w:jc w:val="right"/>
            <w:rPr>
              <w:b/>
              <w:sz w:val="32"/>
              <w:szCs w:val="32"/>
            </w:rPr>
          </w:pPr>
          <w:bookmarkStart w:id="2" w:name="type"/>
          <w:r w:rsidRPr="00BD47E4">
            <w:rPr>
              <w:b/>
              <w:sz w:val="32"/>
              <w:szCs w:val="32"/>
            </w:rPr>
            <w:t>WP</w:t>
          </w:r>
          <w:bookmarkEnd w:id="2"/>
        </w:p>
      </w:tc>
      <w:tc>
        <w:tcPr>
          <w:tcW w:w="1524" w:type="dxa"/>
          <w:gridSpan w:val="2"/>
        </w:tcPr>
        <w:p w14:paraId="2BA1F8D3" w14:textId="77777777" w:rsidR="00DB7C09" w:rsidRPr="00BD47E4" w:rsidRDefault="00B41A84" w:rsidP="00DB7C09">
          <w:pPr>
            <w:rPr>
              <w:b/>
              <w:sz w:val="32"/>
              <w:szCs w:val="32"/>
            </w:rPr>
          </w:pPr>
          <w:bookmarkStart w:id="3" w:name="number"/>
          <w:r w:rsidRPr="00BD47E4">
            <w:rPr>
              <w:b/>
              <w:sz w:val="32"/>
              <w:szCs w:val="32"/>
            </w:rPr>
            <w:t>4</w:t>
          </w:r>
          <w:bookmarkEnd w:id="3"/>
        </w:p>
      </w:tc>
    </w:tr>
    <w:tr w:rsidR="00B6616A" w14:paraId="4B9A88F0" w14:textId="77777777" w:rsidTr="00490760">
      <w:trPr>
        <w:trHeight w:val="2165"/>
        <w:jc w:val="center"/>
      </w:trPr>
      <w:tc>
        <w:tcPr>
          <w:tcW w:w="5495" w:type="dxa"/>
        </w:tcPr>
        <w:p w14:paraId="721326AD" w14:textId="77777777" w:rsidR="00490760" w:rsidRPr="00EE4D48" w:rsidRDefault="00B41A84" w:rsidP="002A07BC">
          <w:pPr>
            <w:rPr>
              <w:b/>
              <w:sz w:val="28"/>
              <w:szCs w:val="28"/>
            </w:rPr>
          </w:pPr>
          <w:r>
            <w:rPr>
              <w:noProof/>
            </w:rPr>
            <w:drawing>
              <wp:inline distT="0" distB="0" distL="0" distR="0" wp14:anchorId="3D288AC9" wp14:editId="5761169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086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3BFAE9C" w14:textId="77777777" w:rsidR="00490760" w:rsidRPr="00FE5146" w:rsidRDefault="00B41A84" w:rsidP="00490760">
          <w:pPr>
            <w:jc w:val="right"/>
            <w:rPr>
              <w:sz w:val="144"/>
              <w:szCs w:val="144"/>
            </w:rPr>
          </w:pPr>
          <w:r w:rsidRPr="00FE5146">
            <w:rPr>
              <w:sz w:val="144"/>
              <w:szCs w:val="144"/>
            </w:rPr>
            <w:t>ENG</w:t>
          </w:r>
        </w:p>
      </w:tc>
    </w:tr>
    <w:tr w:rsidR="00B6616A" w14:paraId="076137F2" w14:textId="77777777" w:rsidTr="00BD47E4">
      <w:trPr>
        <w:trHeight w:val="409"/>
        <w:jc w:val="center"/>
      </w:trPr>
      <w:tc>
        <w:tcPr>
          <w:tcW w:w="9039" w:type="dxa"/>
          <w:gridSpan w:val="2"/>
        </w:tcPr>
        <w:p w14:paraId="0284391B" w14:textId="77777777" w:rsidR="00BD47E4" w:rsidRDefault="00B41A84" w:rsidP="002C30DA">
          <w:pPr>
            <w:jc w:val="right"/>
          </w:pPr>
          <w:r>
            <w:t>Agenda Item:</w:t>
          </w:r>
        </w:p>
      </w:tc>
      <w:tc>
        <w:tcPr>
          <w:tcW w:w="1843" w:type="dxa"/>
          <w:gridSpan w:val="2"/>
        </w:tcPr>
        <w:p w14:paraId="258F7316" w14:textId="77777777" w:rsidR="00BD47E4" w:rsidRDefault="00B41A84" w:rsidP="002C30DA">
          <w:pPr>
            <w:jc w:val="right"/>
          </w:pPr>
          <w:bookmarkStart w:id="4" w:name="agenda"/>
          <w:r>
            <w:t>CEP 9a</w:t>
          </w:r>
          <w:bookmarkEnd w:id="4"/>
        </w:p>
      </w:tc>
      <w:tc>
        <w:tcPr>
          <w:tcW w:w="390" w:type="dxa"/>
        </w:tcPr>
        <w:p w14:paraId="0B3EE844" w14:textId="77777777" w:rsidR="00BD47E4" w:rsidRDefault="00B41A84" w:rsidP="00387A65">
          <w:pPr>
            <w:jc w:val="right"/>
          </w:pPr>
        </w:p>
      </w:tc>
    </w:tr>
    <w:tr w:rsidR="00B6616A" w14:paraId="3CD3F72F" w14:textId="77777777" w:rsidTr="00BD47E4">
      <w:trPr>
        <w:trHeight w:val="397"/>
        <w:jc w:val="center"/>
      </w:trPr>
      <w:tc>
        <w:tcPr>
          <w:tcW w:w="9039" w:type="dxa"/>
          <w:gridSpan w:val="2"/>
        </w:tcPr>
        <w:p w14:paraId="37ABFE14" w14:textId="77777777" w:rsidR="00BD47E4" w:rsidRDefault="00B41A84" w:rsidP="002C30DA">
          <w:pPr>
            <w:jc w:val="right"/>
          </w:pPr>
          <w:r>
            <w:t>Presented by:</w:t>
          </w:r>
        </w:p>
      </w:tc>
      <w:tc>
        <w:tcPr>
          <w:tcW w:w="1843" w:type="dxa"/>
          <w:gridSpan w:val="2"/>
        </w:tcPr>
        <w:p w14:paraId="5C3F23D3" w14:textId="77777777" w:rsidR="00BD47E4" w:rsidRDefault="00B41A84" w:rsidP="002C30DA">
          <w:pPr>
            <w:jc w:val="right"/>
          </w:pPr>
          <w:bookmarkStart w:id="5" w:name="party"/>
          <w:r>
            <w:t>United States</w:t>
          </w:r>
          <w:bookmarkEnd w:id="5"/>
        </w:p>
      </w:tc>
      <w:tc>
        <w:tcPr>
          <w:tcW w:w="390" w:type="dxa"/>
        </w:tcPr>
        <w:p w14:paraId="7D4E3854" w14:textId="77777777" w:rsidR="00BD47E4" w:rsidRDefault="00B41A84" w:rsidP="00387A65">
          <w:pPr>
            <w:jc w:val="right"/>
          </w:pPr>
        </w:p>
      </w:tc>
    </w:tr>
    <w:tr w:rsidR="00B6616A" w14:paraId="6E654BAF" w14:textId="77777777" w:rsidTr="00BD47E4">
      <w:trPr>
        <w:trHeight w:val="409"/>
        <w:jc w:val="center"/>
      </w:trPr>
      <w:tc>
        <w:tcPr>
          <w:tcW w:w="9039" w:type="dxa"/>
          <w:gridSpan w:val="2"/>
        </w:tcPr>
        <w:p w14:paraId="2ABEABE7" w14:textId="77777777" w:rsidR="00BD47E4" w:rsidRDefault="00B41A84" w:rsidP="002C30DA">
          <w:pPr>
            <w:jc w:val="right"/>
          </w:pPr>
          <w:r>
            <w:t>Original:</w:t>
          </w:r>
        </w:p>
      </w:tc>
      <w:tc>
        <w:tcPr>
          <w:tcW w:w="1843" w:type="dxa"/>
          <w:gridSpan w:val="2"/>
        </w:tcPr>
        <w:p w14:paraId="6FD590FC" w14:textId="77777777" w:rsidR="00BD47E4" w:rsidRDefault="00B41A84" w:rsidP="002C30DA">
          <w:pPr>
            <w:jc w:val="right"/>
          </w:pPr>
          <w:bookmarkStart w:id="6" w:name="language"/>
          <w:r>
            <w:t>English</w:t>
          </w:r>
          <w:bookmarkEnd w:id="6"/>
        </w:p>
      </w:tc>
      <w:tc>
        <w:tcPr>
          <w:tcW w:w="390" w:type="dxa"/>
        </w:tcPr>
        <w:p w14:paraId="6F280C1B" w14:textId="77777777" w:rsidR="00BD47E4" w:rsidRDefault="00B41A84" w:rsidP="00387A65">
          <w:pPr>
            <w:jc w:val="right"/>
          </w:pPr>
        </w:p>
      </w:tc>
    </w:tr>
    <w:tr w:rsidR="00B6616A" w14:paraId="7FEC26C2" w14:textId="77777777" w:rsidTr="00BD47E4">
      <w:trPr>
        <w:trHeight w:val="409"/>
        <w:jc w:val="center"/>
      </w:trPr>
      <w:tc>
        <w:tcPr>
          <w:tcW w:w="9039" w:type="dxa"/>
          <w:gridSpan w:val="2"/>
        </w:tcPr>
        <w:p w14:paraId="3F157DB9" w14:textId="77777777" w:rsidR="0097629D" w:rsidRDefault="00B41A84" w:rsidP="002C30DA">
          <w:pPr>
            <w:jc w:val="right"/>
          </w:pPr>
          <w:r>
            <w:t>Submitted:</w:t>
          </w:r>
        </w:p>
      </w:tc>
      <w:tc>
        <w:tcPr>
          <w:tcW w:w="1843" w:type="dxa"/>
          <w:gridSpan w:val="2"/>
        </w:tcPr>
        <w:p w14:paraId="3684F381" w14:textId="77777777" w:rsidR="0097629D" w:rsidRDefault="00B41A84" w:rsidP="0097629D">
          <w:pPr>
            <w:jc w:val="right"/>
          </w:pPr>
          <w:bookmarkStart w:id="7" w:name="date_submission"/>
          <w:r>
            <w:t>4/4/2022</w:t>
          </w:r>
          <w:bookmarkEnd w:id="7"/>
        </w:p>
      </w:tc>
      <w:tc>
        <w:tcPr>
          <w:tcW w:w="390" w:type="dxa"/>
        </w:tcPr>
        <w:p w14:paraId="257E78C7" w14:textId="77777777" w:rsidR="0097629D" w:rsidRDefault="00B41A84" w:rsidP="00387A65">
          <w:pPr>
            <w:jc w:val="right"/>
          </w:pPr>
        </w:p>
      </w:tc>
    </w:tr>
  </w:tbl>
  <w:p w14:paraId="2197D0B9" w14:textId="77777777" w:rsidR="00AE5DD0" w:rsidRDefault="00B41A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B6616A" w14:paraId="418226D9" w14:textId="77777777" w:rsidTr="00B41A84">
      <w:trPr>
        <w:trHeight w:val="354"/>
        <w:jc w:val="center"/>
      </w:trPr>
      <w:tc>
        <w:tcPr>
          <w:tcW w:w="9356" w:type="dxa"/>
        </w:tcPr>
        <w:p w14:paraId="337408C4" w14:textId="120C2923" w:rsidR="00AE5DD0" w:rsidRPr="00BD47E4" w:rsidRDefault="00B41A84" w:rsidP="00C26F2D">
          <w:pPr>
            <w:jc w:val="right"/>
            <w:rPr>
              <w:b/>
              <w:sz w:val="32"/>
              <w:szCs w:val="32"/>
            </w:rPr>
          </w:pPr>
          <w:r>
            <w:rPr>
              <w:b/>
              <w:sz w:val="32"/>
              <w:szCs w:val="32"/>
            </w:rPr>
            <w:t>WP</w:t>
          </w:r>
        </w:p>
      </w:tc>
      <w:tc>
        <w:tcPr>
          <w:tcW w:w="1670" w:type="dxa"/>
        </w:tcPr>
        <w:p w14:paraId="058103F9" w14:textId="5AE57B7A" w:rsidR="00AE5DD0" w:rsidRPr="00BD47E4" w:rsidRDefault="00B41A84" w:rsidP="00080F4C">
          <w:pPr>
            <w:rPr>
              <w:b/>
              <w:sz w:val="32"/>
              <w:szCs w:val="32"/>
            </w:rPr>
          </w:pPr>
          <w:r>
            <w:rPr>
              <w:b/>
              <w:sz w:val="32"/>
              <w:szCs w:val="32"/>
            </w:rPr>
            <w:t>4</w:t>
          </w:r>
        </w:p>
      </w:tc>
    </w:tr>
  </w:tbl>
  <w:p w14:paraId="39191FEF" w14:textId="77777777" w:rsidR="00AE5DD0" w:rsidRDefault="00B41A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6E02632">
      <w:start w:val="1"/>
      <w:numFmt w:val="bullet"/>
      <w:pStyle w:val="ATSBullet1"/>
      <w:lvlText w:val=""/>
      <w:lvlJc w:val="left"/>
      <w:pPr>
        <w:tabs>
          <w:tab w:val="num" w:pos="360"/>
        </w:tabs>
        <w:ind w:left="360" w:hanging="360"/>
      </w:pPr>
      <w:rPr>
        <w:rFonts w:ascii="Symbol" w:hAnsi="Symbol" w:hint="default"/>
        <w:color w:val="auto"/>
      </w:rPr>
    </w:lvl>
    <w:lvl w:ilvl="1" w:tplc="9D74D288" w:tentative="1">
      <w:start w:val="1"/>
      <w:numFmt w:val="bullet"/>
      <w:lvlText w:val="o"/>
      <w:lvlJc w:val="left"/>
      <w:pPr>
        <w:tabs>
          <w:tab w:val="num" w:pos="1440"/>
        </w:tabs>
        <w:ind w:left="1440" w:hanging="360"/>
      </w:pPr>
      <w:rPr>
        <w:rFonts w:ascii="Courier New" w:hAnsi="Courier New" w:cs="Courier New" w:hint="default"/>
      </w:rPr>
    </w:lvl>
    <w:lvl w:ilvl="2" w:tplc="6ADA90D8" w:tentative="1">
      <w:start w:val="1"/>
      <w:numFmt w:val="bullet"/>
      <w:lvlText w:val=""/>
      <w:lvlJc w:val="left"/>
      <w:pPr>
        <w:tabs>
          <w:tab w:val="num" w:pos="2160"/>
        </w:tabs>
        <w:ind w:left="2160" w:hanging="360"/>
      </w:pPr>
      <w:rPr>
        <w:rFonts w:ascii="Wingdings" w:hAnsi="Wingdings" w:hint="default"/>
      </w:rPr>
    </w:lvl>
    <w:lvl w:ilvl="3" w:tplc="383CA326" w:tentative="1">
      <w:start w:val="1"/>
      <w:numFmt w:val="bullet"/>
      <w:lvlText w:val=""/>
      <w:lvlJc w:val="left"/>
      <w:pPr>
        <w:tabs>
          <w:tab w:val="num" w:pos="2880"/>
        </w:tabs>
        <w:ind w:left="2880" w:hanging="360"/>
      </w:pPr>
      <w:rPr>
        <w:rFonts w:ascii="Symbol" w:hAnsi="Symbol" w:hint="default"/>
      </w:rPr>
    </w:lvl>
    <w:lvl w:ilvl="4" w:tplc="513A9110" w:tentative="1">
      <w:start w:val="1"/>
      <w:numFmt w:val="bullet"/>
      <w:lvlText w:val="o"/>
      <w:lvlJc w:val="left"/>
      <w:pPr>
        <w:tabs>
          <w:tab w:val="num" w:pos="3600"/>
        </w:tabs>
        <w:ind w:left="3600" w:hanging="360"/>
      </w:pPr>
      <w:rPr>
        <w:rFonts w:ascii="Courier New" w:hAnsi="Courier New" w:cs="Courier New" w:hint="default"/>
      </w:rPr>
    </w:lvl>
    <w:lvl w:ilvl="5" w:tplc="9DDA30D8" w:tentative="1">
      <w:start w:val="1"/>
      <w:numFmt w:val="bullet"/>
      <w:lvlText w:val=""/>
      <w:lvlJc w:val="left"/>
      <w:pPr>
        <w:tabs>
          <w:tab w:val="num" w:pos="4320"/>
        </w:tabs>
        <w:ind w:left="4320" w:hanging="360"/>
      </w:pPr>
      <w:rPr>
        <w:rFonts w:ascii="Wingdings" w:hAnsi="Wingdings" w:hint="default"/>
      </w:rPr>
    </w:lvl>
    <w:lvl w:ilvl="6" w:tplc="3E780066" w:tentative="1">
      <w:start w:val="1"/>
      <w:numFmt w:val="bullet"/>
      <w:lvlText w:val=""/>
      <w:lvlJc w:val="left"/>
      <w:pPr>
        <w:tabs>
          <w:tab w:val="num" w:pos="5040"/>
        </w:tabs>
        <w:ind w:left="5040" w:hanging="360"/>
      </w:pPr>
      <w:rPr>
        <w:rFonts w:ascii="Symbol" w:hAnsi="Symbol" w:hint="default"/>
      </w:rPr>
    </w:lvl>
    <w:lvl w:ilvl="7" w:tplc="88D28266" w:tentative="1">
      <w:start w:val="1"/>
      <w:numFmt w:val="bullet"/>
      <w:lvlText w:val="o"/>
      <w:lvlJc w:val="left"/>
      <w:pPr>
        <w:tabs>
          <w:tab w:val="num" w:pos="5760"/>
        </w:tabs>
        <w:ind w:left="5760" w:hanging="360"/>
      </w:pPr>
      <w:rPr>
        <w:rFonts w:ascii="Courier New" w:hAnsi="Courier New" w:cs="Courier New" w:hint="default"/>
      </w:rPr>
    </w:lvl>
    <w:lvl w:ilvl="8" w:tplc="22CAEB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8C89314">
      <w:start w:val="1"/>
      <w:numFmt w:val="decimal"/>
      <w:lvlText w:val="%1)"/>
      <w:lvlJc w:val="left"/>
      <w:pPr>
        <w:tabs>
          <w:tab w:val="num" w:pos="340"/>
        </w:tabs>
        <w:ind w:left="340" w:hanging="340"/>
      </w:pPr>
      <w:rPr>
        <w:rFonts w:hint="default"/>
      </w:rPr>
    </w:lvl>
    <w:lvl w:ilvl="1" w:tplc="E6B2EFCA" w:tentative="1">
      <w:start w:val="1"/>
      <w:numFmt w:val="lowerLetter"/>
      <w:lvlText w:val="%2."/>
      <w:lvlJc w:val="left"/>
      <w:pPr>
        <w:tabs>
          <w:tab w:val="num" w:pos="1440"/>
        </w:tabs>
        <w:ind w:left="1440" w:hanging="360"/>
      </w:pPr>
    </w:lvl>
    <w:lvl w:ilvl="2" w:tplc="DF28997A" w:tentative="1">
      <w:start w:val="1"/>
      <w:numFmt w:val="lowerRoman"/>
      <w:lvlText w:val="%3."/>
      <w:lvlJc w:val="right"/>
      <w:pPr>
        <w:tabs>
          <w:tab w:val="num" w:pos="2160"/>
        </w:tabs>
        <w:ind w:left="2160" w:hanging="180"/>
      </w:pPr>
    </w:lvl>
    <w:lvl w:ilvl="3" w:tplc="812E59E8" w:tentative="1">
      <w:start w:val="1"/>
      <w:numFmt w:val="decimal"/>
      <w:lvlText w:val="%4."/>
      <w:lvlJc w:val="left"/>
      <w:pPr>
        <w:tabs>
          <w:tab w:val="num" w:pos="2880"/>
        </w:tabs>
        <w:ind w:left="2880" w:hanging="360"/>
      </w:pPr>
    </w:lvl>
    <w:lvl w:ilvl="4" w:tplc="94447E80" w:tentative="1">
      <w:start w:val="1"/>
      <w:numFmt w:val="lowerLetter"/>
      <w:lvlText w:val="%5."/>
      <w:lvlJc w:val="left"/>
      <w:pPr>
        <w:tabs>
          <w:tab w:val="num" w:pos="3600"/>
        </w:tabs>
        <w:ind w:left="3600" w:hanging="360"/>
      </w:pPr>
    </w:lvl>
    <w:lvl w:ilvl="5" w:tplc="946A2AD6" w:tentative="1">
      <w:start w:val="1"/>
      <w:numFmt w:val="lowerRoman"/>
      <w:lvlText w:val="%6."/>
      <w:lvlJc w:val="right"/>
      <w:pPr>
        <w:tabs>
          <w:tab w:val="num" w:pos="4320"/>
        </w:tabs>
        <w:ind w:left="4320" w:hanging="180"/>
      </w:pPr>
    </w:lvl>
    <w:lvl w:ilvl="6" w:tplc="AE162D94" w:tentative="1">
      <w:start w:val="1"/>
      <w:numFmt w:val="decimal"/>
      <w:lvlText w:val="%7."/>
      <w:lvlJc w:val="left"/>
      <w:pPr>
        <w:tabs>
          <w:tab w:val="num" w:pos="5040"/>
        </w:tabs>
        <w:ind w:left="5040" w:hanging="360"/>
      </w:pPr>
    </w:lvl>
    <w:lvl w:ilvl="7" w:tplc="D6005FE0" w:tentative="1">
      <w:start w:val="1"/>
      <w:numFmt w:val="lowerLetter"/>
      <w:lvlText w:val="%8."/>
      <w:lvlJc w:val="left"/>
      <w:pPr>
        <w:tabs>
          <w:tab w:val="num" w:pos="5760"/>
        </w:tabs>
        <w:ind w:left="5760" w:hanging="360"/>
      </w:pPr>
    </w:lvl>
    <w:lvl w:ilvl="8" w:tplc="7D384F8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512F068">
      <w:start w:val="1"/>
      <w:numFmt w:val="decimal"/>
      <w:lvlText w:val="%1."/>
      <w:lvlJc w:val="left"/>
      <w:pPr>
        <w:tabs>
          <w:tab w:val="num" w:pos="1057"/>
        </w:tabs>
        <w:ind w:left="1057" w:hanging="360"/>
      </w:pPr>
      <w:rPr>
        <w:rFonts w:hint="default"/>
      </w:rPr>
    </w:lvl>
    <w:lvl w:ilvl="1" w:tplc="7092EA56" w:tentative="1">
      <w:start w:val="1"/>
      <w:numFmt w:val="lowerLetter"/>
      <w:lvlText w:val="%2."/>
      <w:lvlJc w:val="left"/>
      <w:pPr>
        <w:tabs>
          <w:tab w:val="num" w:pos="2137"/>
        </w:tabs>
        <w:ind w:left="2137" w:hanging="360"/>
      </w:pPr>
    </w:lvl>
    <w:lvl w:ilvl="2" w:tplc="A9AC9F20" w:tentative="1">
      <w:start w:val="1"/>
      <w:numFmt w:val="lowerRoman"/>
      <w:lvlText w:val="%3."/>
      <w:lvlJc w:val="right"/>
      <w:pPr>
        <w:tabs>
          <w:tab w:val="num" w:pos="2857"/>
        </w:tabs>
        <w:ind w:left="2857" w:hanging="180"/>
      </w:pPr>
    </w:lvl>
    <w:lvl w:ilvl="3" w:tplc="F83A6212" w:tentative="1">
      <w:start w:val="1"/>
      <w:numFmt w:val="decimal"/>
      <w:lvlText w:val="%4."/>
      <w:lvlJc w:val="left"/>
      <w:pPr>
        <w:tabs>
          <w:tab w:val="num" w:pos="3577"/>
        </w:tabs>
        <w:ind w:left="3577" w:hanging="360"/>
      </w:pPr>
    </w:lvl>
    <w:lvl w:ilvl="4" w:tplc="BC522740" w:tentative="1">
      <w:start w:val="1"/>
      <w:numFmt w:val="lowerLetter"/>
      <w:lvlText w:val="%5."/>
      <w:lvlJc w:val="left"/>
      <w:pPr>
        <w:tabs>
          <w:tab w:val="num" w:pos="4297"/>
        </w:tabs>
        <w:ind w:left="4297" w:hanging="360"/>
      </w:pPr>
    </w:lvl>
    <w:lvl w:ilvl="5" w:tplc="0E2880F4" w:tentative="1">
      <w:start w:val="1"/>
      <w:numFmt w:val="lowerRoman"/>
      <w:lvlText w:val="%6."/>
      <w:lvlJc w:val="right"/>
      <w:pPr>
        <w:tabs>
          <w:tab w:val="num" w:pos="5017"/>
        </w:tabs>
        <w:ind w:left="5017" w:hanging="180"/>
      </w:pPr>
    </w:lvl>
    <w:lvl w:ilvl="6" w:tplc="77AEC108" w:tentative="1">
      <w:start w:val="1"/>
      <w:numFmt w:val="decimal"/>
      <w:lvlText w:val="%7."/>
      <w:lvlJc w:val="left"/>
      <w:pPr>
        <w:tabs>
          <w:tab w:val="num" w:pos="5737"/>
        </w:tabs>
        <w:ind w:left="5737" w:hanging="360"/>
      </w:pPr>
    </w:lvl>
    <w:lvl w:ilvl="7" w:tplc="C82607EA" w:tentative="1">
      <w:start w:val="1"/>
      <w:numFmt w:val="lowerLetter"/>
      <w:lvlText w:val="%8."/>
      <w:lvlJc w:val="left"/>
      <w:pPr>
        <w:tabs>
          <w:tab w:val="num" w:pos="6457"/>
        </w:tabs>
        <w:ind w:left="6457" w:hanging="360"/>
      </w:pPr>
    </w:lvl>
    <w:lvl w:ilvl="8" w:tplc="02F823C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F7C3568">
      <w:start w:val="1"/>
      <w:numFmt w:val="decimal"/>
      <w:pStyle w:val="ATSNumber1"/>
      <w:lvlText w:val="%1)"/>
      <w:lvlJc w:val="left"/>
      <w:pPr>
        <w:tabs>
          <w:tab w:val="num" w:pos="720"/>
        </w:tabs>
        <w:ind w:left="720" w:hanging="360"/>
      </w:pPr>
    </w:lvl>
    <w:lvl w:ilvl="1" w:tplc="32FEC5D2" w:tentative="1">
      <w:start w:val="1"/>
      <w:numFmt w:val="lowerLetter"/>
      <w:lvlText w:val="%2."/>
      <w:lvlJc w:val="left"/>
      <w:pPr>
        <w:tabs>
          <w:tab w:val="num" w:pos="1440"/>
        </w:tabs>
        <w:ind w:left="1440" w:hanging="360"/>
      </w:pPr>
    </w:lvl>
    <w:lvl w:ilvl="2" w:tplc="853EFE2A" w:tentative="1">
      <w:start w:val="1"/>
      <w:numFmt w:val="lowerRoman"/>
      <w:lvlText w:val="%3."/>
      <w:lvlJc w:val="right"/>
      <w:pPr>
        <w:tabs>
          <w:tab w:val="num" w:pos="2160"/>
        </w:tabs>
        <w:ind w:left="2160" w:hanging="180"/>
      </w:pPr>
    </w:lvl>
    <w:lvl w:ilvl="3" w:tplc="562EA594" w:tentative="1">
      <w:start w:val="1"/>
      <w:numFmt w:val="decimal"/>
      <w:lvlText w:val="%4."/>
      <w:lvlJc w:val="left"/>
      <w:pPr>
        <w:tabs>
          <w:tab w:val="num" w:pos="2880"/>
        </w:tabs>
        <w:ind w:left="2880" w:hanging="360"/>
      </w:pPr>
    </w:lvl>
    <w:lvl w:ilvl="4" w:tplc="A8927384" w:tentative="1">
      <w:start w:val="1"/>
      <w:numFmt w:val="lowerLetter"/>
      <w:lvlText w:val="%5."/>
      <w:lvlJc w:val="left"/>
      <w:pPr>
        <w:tabs>
          <w:tab w:val="num" w:pos="3600"/>
        </w:tabs>
        <w:ind w:left="3600" w:hanging="360"/>
      </w:pPr>
    </w:lvl>
    <w:lvl w:ilvl="5" w:tplc="13C2703E" w:tentative="1">
      <w:start w:val="1"/>
      <w:numFmt w:val="lowerRoman"/>
      <w:lvlText w:val="%6."/>
      <w:lvlJc w:val="right"/>
      <w:pPr>
        <w:tabs>
          <w:tab w:val="num" w:pos="4320"/>
        </w:tabs>
        <w:ind w:left="4320" w:hanging="180"/>
      </w:pPr>
    </w:lvl>
    <w:lvl w:ilvl="6" w:tplc="725215C0" w:tentative="1">
      <w:start w:val="1"/>
      <w:numFmt w:val="decimal"/>
      <w:lvlText w:val="%7."/>
      <w:lvlJc w:val="left"/>
      <w:pPr>
        <w:tabs>
          <w:tab w:val="num" w:pos="5040"/>
        </w:tabs>
        <w:ind w:left="5040" w:hanging="360"/>
      </w:pPr>
    </w:lvl>
    <w:lvl w:ilvl="7" w:tplc="DE8EA20A" w:tentative="1">
      <w:start w:val="1"/>
      <w:numFmt w:val="lowerLetter"/>
      <w:lvlText w:val="%8."/>
      <w:lvlJc w:val="left"/>
      <w:pPr>
        <w:tabs>
          <w:tab w:val="num" w:pos="5760"/>
        </w:tabs>
        <w:ind w:left="5760" w:hanging="360"/>
      </w:pPr>
    </w:lvl>
    <w:lvl w:ilvl="8" w:tplc="DE5ABE3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AAC7A1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10A460A" w:tentative="1">
      <w:start w:val="1"/>
      <w:numFmt w:val="bullet"/>
      <w:lvlText w:val="o"/>
      <w:lvlJc w:val="left"/>
      <w:pPr>
        <w:tabs>
          <w:tab w:val="num" w:pos="2517"/>
        </w:tabs>
        <w:ind w:left="2517" w:hanging="360"/>
      </w:pPr>
      <w:rPr>
        <w:rFonts w:ascii="Courier New" w:hAnsi="Courier New" w:cs="Courier New" w:hint="default"/>
      </w:rPr>
    </w:lvl>
    <w:lvl w:ilvl="2" w:tplc="51CEAC68" w:tentative="1">
      <w:start w:val="1"/>
      <w:numFmt w:val="bullet"/>
      <w:lvlText w:val=""/>
      <w:lvlJc w:val="left"/>
      <w:pPr>
        <w:tabs>
          <w:tab w:val="num" w:pos="3237"/>
        </w:tabs>
        <w:ind w:left="3237" w:hanging="360"/>
      </w:pPr>
      <w:rPr>
        <w:rFonts w:ascii="Wingdings" w:hAnsi="Wingdings" w:hint="default"/>
      </w:rPr>
    </w:lvl>
    <w:lvl w:ilvl="3" w:tplc="882C8EC4" w:tentative="1">
      <w:start w:val="1"/>
      <w:numFmt w:val="bullet"/>
      <w:lvlText w:val=""/>
      <w:lvlJc w:val="left"/>
      <w:pPr>
        <w:tabs>
          <w:tab w:val="num" w:pos="3957"/>
        </w:tabs>
        <w:ind w:left="3957" w:hanging="360"/>
      </w:pPr>
      <w:rPr>
        <w:rFonts w:ascii="Symbol" w:hAnsi="Symbol" w:hint="default"/>
      </w:rPr>
    </w:lvl>
    <w:lvl w:ilvl="4" w:tplc="A07A0DFA" w:tentative="1">
      <w:start w:val="1"/>
      <w:numFmt w:val="bullet"/>
      <w:lvlText w:val="o"/>
      <w:lvlJc w:val="left"/>
      <w:pPr>
        <w:tabs>
          <w:tab w:val="num" w:pos="4677"/>
        </w:tabs>
        <w:ind w:left="4677" w:hanging="360"/>
      </w:pPr>
      <w:rPr>
        <w:rFonts w:ascii="Courier New" w:hAnsi="Courier New" w:cs="Courier New" w:hint="default"/>
      </w:rPr>
    </w:lvl>
    <w:lvl w:ilvl="5" w:tplc="8C52BCB2" w:tentative="1">
      <w:start w:val="1"/>
      <w:numFmt w:val="bullet"/>
      <w:lvlText w:val=""/>
      <w:lvlJc w:val="left"/>
      <w:pPr>
        <w:tabs>
          <w:tab w:val="num" w:pos="5397"/>
        </w:tabs>
        <w:ind w:left="5397" w:hanging="360"/>
      </w:pPr>
      <w:rPr>
        <w:rFonts w:ascii="Wingdings" w:hAnsi="Wingdings" w:hint="default"/>
      </w:rPr>
    </w:lvl>
    <w:lvl w:ilvl="6" w:tplc="6B9CD0C4" w:tentative="1">
      <w:start w:val="1"/>
      <w:numFmt w:val="bullet"/>
      <w:lvlText w:val=""/>
      <w:lvlJc w:val="left"/>
      <w:pPr>
        <w:tabs>
          <w:tab w:val="num" w:pos="6117"/>
        </w:tabs>
        <w:ind w:left="6117" w:hanging="360"/>
      </w:pPr>
      <w:rPr>
        <w:rFonts w:ascii="Symbol" w:hAnsi="Symbol" w:hint="default"/>
      </w:rPr>
    </w:lvl>
    <w:lvl w:ilvl="7" w:tplc="6988025E" w:tentative="1">
      <w:start w:val="1"/>
      <w:numFmt w:val="bullet"/>
      <w:lvlText w:val="o"/>
      <w:lvlJc w:val="left"/>
      <w:pPr>
        <w:tabs>
          <w:tab w:val="num" w:pos="6837"/>
        </w:tabs>
        <w:ind w:left="6837" w:hanging="360"/>
      </w:pPr>
      <w:rPr>
        <w:rFonts w:ascii="Courier New" w:hAnsi="Courier New" w:cs="Courier New" w:hint="default"/>
      </w:rPr>
    </w:lvl>
    <w:lvl w:ilvl="8" w:tplc="0A06057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1FAED8E">
      <w:start w:val="1"/>
      <w:numFmt w:val="decimal"/>
      <w:pStyle w:val="ATSNumber2"/>
      <w:lvlText w:val="%1."/>
      <w:lvlJc w:val="left"/>
      <w:pPr>
        <w:tabs>
          <w:tab w:val="num" w:pos="720"/>
        </w:tabs>
        <w:ind w:left="720" w:hanging="360"/>
      </w:pPr>
      <w:rPr>
        <w:rFonts w:hint="default"/>
      </w:rPr>
    </w:lvl>
    <w:lvl w:ilvl="1" w:tplc="2560269A">
      <w:start w:val="1"/>
      <w:numFmt w:val="lowerLetter"/>
      <w:lvlText w:val="%2."/>
      <w:lvlJc w:val="left"/>
      <w:pPr>
        <w:tabs>
          <w:tab w:val="num" w:pos="1440"/>
        </w:tabs>
        <w:ind w:left="1440" w:hanging="360"/>
      </w:pPr>
    </w:lvl>
    <w:lvl w:ilvl="2" w:tplc="52C49876" w:tentative="1">
      <w:start w:val="1"/>
      <w:numFmt w:val="lowerRoman"/>
      <w:lvlText w:val="%3."/>
      <w:lvlJc w:val="right"/>
      <w:pPr>
        <w:tabs>
          <w:tab w:val="num" w:pos="2160"/>
        </w:tabs>
        <w:ind w:left="2160" w:hanging="180"/>
      </w:pPr>
    </w:lvl>
    <w:lvl w:ilvl="3" w:tplc="5FCEE2EE" w:tentative="1">
      <w:start w:val="1"/>
      <w:numFmt w:val="decimal"/>
      <w:lvlText w:val="%4."/>
      <w:lvlJc w:val="left"/>
      <w:pPr>
        <w:tabs>
          <w:tab w:val="num" w:pos="2880"/>
        </w:tabs>
        <w:ind w:left="2880" w:hanging="360"/>
      </w:pPr>
    </w:lvl>
    <w:lvl w:ilvl="4" w:tplc="40709BC2" w:tentative="1">
      <w:start w:val="1"/>
      <w:numFmt w:val="lowerLetter"/>
      <w:lvlText w:val="%5."/>
      <w:lvlJc w:val="left"/>
      <w:pPr>
        <w:tabs>
          <w:tab w:val="num" w:pos="3600"/>
        </w:tabs>
        <w:ind w:left="3600" w:hanging="360"/>
      </w:pPr>
    </w:lvl>
    <w:lvl w:ilvl="5" w:tplc="D8640EF8" w:tentative="1">
      <w:start w:val="1"/>
      <w:numFmt w:val="lowerRoman"/>
      <w:lvlText w:val="%6."/>
      <w:lvlJc w:val="right"/>
      <w:pPr>
        <w:tabs>
          <w:tab w:val="num" w:pos="4320"/>
        </w:tabs>
        <w:ind w:left="4320" w:hanging="180"/>
      </w:pPr>
    </w:lvl>
    <w:lvl w:ilvl="6" w:tplc="A5AE840C" w:tentative="1">
      <w:start w:val="1"/>
      <w:numFmt w:val="decimal"/>
      <w:lvlText w:val="%7."/>
      <w:lvlJc w:val="left"/>
      <w:pPr>
        <w:tabs>
          <w:tab w:val="num" w:pos="5040"/>
        </w:tabs>
        <w:ind w:left="5040" w:hanging="360"/>
      </w:pPr>
    </w:lvl>
    <w:lvl w:ilvl="7" w:tplc="4B324A8E" w:tentative="1">
      <w:start w:val="1"/>
      <w:numFmt w:val="lowerLetter"/>
      <w:lvlText w:val="%8."/>
      <w:lvlJc w:val="left"/>
      <w:pPr>
        <w:tabs>
          <w:tab w:val="num" w:pos="5760"/>
        </w:tabs>
        <w:ind w:left="5760" w:hanging="360"/>
      </w:pPr>
    </w:lvl>
    <w:lvl w:ilvl="8" w:tplc="ACB41B78" w:tentative="1">
      <w:start w:val="1"/>
      <w:numFmt w:val="lowerRoman"/>
      <w:lvlText w:val="%9."/>
      <w:lvlJc w:val="right"/>
      <w:pPr>
        <w:tabs>
          <w:tab w:val="num" w:pos="6480"/>
        </w:tabs>
        <w:ind w:left="6480" w:hanging="180"/>
      </w:pPr>
    </w:lvl>
  </w:abstractNum>
  <w:num w:numId="1" w16cid:durableId="1958488052">
    <w:abstractNumId w:val="9"/>
  </w:num>
  <w:num w:numId="2" w16cid:durableId="226770489">
    <w:abstractNumId w:val="7"/>
  </w:num>
  <w:num w:numId="3" w16cid:durableId="1404136012">
    <w:abstractNumId w:val="6"/>
  </w:num>
  <w:num w:numId="4" w16cid:durableId="511264074">
    <w:abstractNumId w:val="5"/>
  </w:num>
  <w:num w:numId="5" w16cid:durableId="1323660333">
    <w:abstractNumId w:val="4"/>
  </w:num>
  <w:num w:numId="6" w16cid:durableId="833648246">
    <w:abstractNumId w:val="8"/>
  </w:num>
  <w:num w:numId="7" w16cid:durableId="1091851855">
    <w:abstractNumId w:val="3"/>
  </w:num>
  <w:num w:numId="8" w16cid:durableId="350109882">
    <w:abstractNumId w:val="2"/>
  </w:num>
  <w:num w:numId="9" w16cid:durableId="1315337357">
    <w:abstractNumId w:val="1"/>
  </w:num>
  <w:num w:numId="10" w16cid:durableId="1790515692">
    <w:abstractNumId w:val="0"/>
  </w:num>
  <w:num w:numId="11" w16cid:durableId="1554580653">
    <w:abstractNumId w:val="11"/>
  </w:num>
  <w:num w:numId="12" w16cid:durableId="901138098">
    <w:abstractNumId w:val="15"/>
  </w:num>
  <w:num w:numId="13" w16cid:durableId="1922786494">
    <w:abstractNumId w:val="14"/>
  </w:num>
  <w:num w:numId="14" w16cid:durableId="719404180">
    <w:abstractNumId w:val="12"/>
  </w:num>
  <w:num w:numId="15" w16cid:durableId="1557819757">
    <w:abstractNumId w:val="13"/>
  </w:num>
  <w:num w:numId="16" w16cid:durableId="1569461181">
    <w:abstractNumId w:val="10"/>
  </w:num>
  <w:num w:numId="17" w16cid:durableId="87389646">
    <w:abstractNumId w:val="11"/>
  </w:num>
  <w:num w:numId="18" w16cid:durableId="311570068">
    <w:abstractNumId w:val="15"/>
  </w:num>
  <w:num w:numId="19" w16cid:durableId="572084167">
    <w:abstractNumId w:val="14"/>
  </w:num>
  <w:num w:numId="20" w16cid:durableId="1566406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6A"/>
    <w:rsid w:val="00B41A84"/>
    <w:rsid w:val="00B661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D7BD7"/>
  <w15:chartTrackingRefBased/>
  <w15:docId w15:val="{1C996CFC-C028-46B3-8493-049A0CD1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B41A84"/>
    <w:rPr>
      <w:sz w:val="22"/>
      <w:szCs w:val="24"/>
      <w:lang w:val="en-GB" w:eastAsia="en-GB"/>
    </w:rPr>
  </w:style>
  <w:style w:type="paragraph" w:customStyle="1" w:styleId="Default">
    <w:name w:val="Default"/>
    <w:rsid w:val="00B41A84"/>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1267</Words>
  <Characters>6821</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2022-04-05T11:37:00Z</dcterms:modified>
</cp:coreProperties>
</file>