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CD84" w14:textId="77777777" w:rsidR="00C26F2D" w:rsidRPr="00BF077B" w:rsidRDefault="009700AA" w:rsidP="00BF077B">
      <w:pPr>
        <w:pStyle w:val="ATSNormal"/>
        <w:rPr>
          <w:rStyle w:val="Ttulodellibro"/>
        </w:rPr>
      </w:pPr>
    </w:p>
    <w:p w14:paraId="065608E4" w14:textId="77777777" w:rsidR="002F0A13" w:rsidRDefault="009700AA" w:rsidP="004B4A60">
      <w:pPr>
        <w:rPr>
          <w:b/>
          <w:u w:val="single"/>
          <w:lang w:val="es-ES_tradnl"/>
        </w:rPr>
      </w:pPr>
    </w:p>
    <w:p w14:paraId="2D9FB9D4" w14:textId="77777777" w:rsidR="002F0A13" w:rsidRDefault="009700AA" w:rsidP="004B4A60">
      <w:pPr>
        <w:rPr>
          <w:b/>
          <w:u w:val="single"/>
          <w:lang w:val="es-ES_tradnl"/>
        </w:rPr>
      </w:pPr>
    </w:p>
    <w:p w14:paraId="63A8D58A" w14:textId="77777777" w:rsidR="002F0A13" w:rsidRDefault="009700AA" w:rsidP="004B4A60">
      <w:pPr>
        <w:rPr>
          <w:b/>
          <w:u w:val="single"/>
          <w:lang w:val="es-ES_tradnl"/>
        </w:rPr>
      </w:pPr>
    </w:p>
    <w:p w14:paraId="5F14F752" w14:textId="77777777" w:rsidR="002F0A13" w:rsidRDefault="009700AA" w:rsidP="004B4A60">
      <w:pPr>
        <w:rPr>
          <w:b/>
          <w:u w:val="single"/>
          <w:lang w:val="es-ES_tradnl"/>
        </w:rPr>
      </w:pPr>
    </w:p>
    <w:p w14:paraId="4260E167" w14:textId="77777777" w:rsidR="00C26F2D" w:rsidRDefault="009700AA" w:rsidP="004B4A60">
      <w:pPr>
        <w:rPr>
          <w:b/>
          <w:u w:val="single"/>
          <w:lang w:val="es-ES_tradnl"/>
        </w:rPr>
      </w:pPr>
    </w:p>
    <w:p w14:paraId="19B3F361" w14:textId="77777777" w:rsidR="004B4A60" w:rsidRPr="0057246E" w:rsidRDefault="009700AA" w:rsidP="001B789F">
      <w:pPr>
        <w:pStyle w:val="ATSTitle"/>
      </w:pPr>
      <w:bookmarkStart w:id="0" w:name="name"/>
      <w:r>
        <w:t>Further steps towards a structured sample and data collection of environmental contamination</w:t>
      </w:r>
      <w:bookmarkEnd w:id="0"/>
    </w:p>
    <w:p w14:paraId="278C843E" w14:textId="77777777" w:rsidR="004B4A60" w:rsidRPr="0057246E" w:rsidRDefault="009700AA" w:rsidP="00F75424">
      <w:pPr>
        <w:jc w:val="center"/>
      </w:pPr>
    </w:p>
    <w:p w14:paraId="54B9F43F" w14:textId="77777777" w:rsidR="004B4A60" w:rsidRPr="002F0A13" w:rsidRDefault="009700AA" w:rsidP="002F0A13"/>
    <w:p w14:paraId="7CDBF7CA" w14:textId="77777777" w:rsidR="004B4A60" w:rsidRDefault="009700AA" w:rsidP="00F75424">
      <w:pPr>
        <w:jc w:val="center"/>
      </w:pPr>
      <w:bookmarkStart w:id="1" w:name="memo"/>
      <w:bookmarkEnd w:id="1"/>
    </w:p>
    <w:p w14:paraId="1DBDF799" w14:textId="77777777" w:rsidR="0097629D" w:rsidRDefault="009700AA" w:rsidP="00F75424">
      <w:pPr>
        <w:jc w:val="center"/>
      </w:pPr>
    </w:p>
    <w:p w14:paraId="1BD05BC3" w14:textId="77777777" w:rsidR="0097629D" w:rsidRDefault="009700AA" w:rsidP="00F75424">
      <w:pPr>
        <w:jc w:val="center"/>
      </w:pPr>
    </w:p>
    <w:p w14:paraId="235CFDA4" w14:textId="77777777" w:rsidR="0097629D" w:rsidRDefault="009700AA" w:rsidP="00F75424">
      <w:pPr>
        <w:jc w:val="center"/>
      </w:pPr>
    </w:p>
    <w:p w14:paraId="417B4017" w14:textId="77777777" w:rsidR="0097629D" w:rsidRPr="00C26F2D" w:rsidRDefault="009700AA" w:rsidP="00F75424">
      <w:pPr>
        <w:jc w:val="center"/>
      </w:pPr>
    </w:p>
    <w:p w14:paraId="30567F15" w14:textId="77777777" w:rsidR="004B4A60" w:rsidRPr="0057246E" w:rsidRDefault="009700AA" w:rsidP="004B4A60"/>
    <w:p w14:paraId="01562279" w14:textId="77777777" w:rsidR="00C26F2D" w:rsidRDefault="009700AA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05E3E5AB" w14:textId="77777777" w:rsidR="009700AA" w:rsidRPr="002B03A3" w:rsidRDefault="009700AA" w:rsidP="009700AA">
      <w:pPr>
        <w:pStyle w:val="ATSNormal"/>
        <w:jc w:val="center"/>
        <w:rPr>
          <w:rFonts w:ascii="Arial" w:hAnsi="Arial" w:cs="Arial"/>
          <w:b/>
          <w:color w:val="000000"/>
          <w:sz w:val="30"/>
          <w:szCs w:val="30"/>
          <w:highlight w:val="yellow"/>
          <w:lang w:eastAsia="en-US"/>
        </w:rPr>
      </w:pPr>
      <w:r w:rsidRPr="002B03A3">
        <w:rPr>
          <w:rFonts w:ascii="Arial" w:hAnsi="Arial" w:cs="Arial"/>
          <w:b/>
          <w:color w:val="000000"/>
          <w:sz w:val="30"/>
          <w:szCs w:val="30"/>
          <w:lang w:eastAsia="en-US"/>
        </w:rPr>
        <w:lastRenderedPageBreak/>
        <w:t>Further steps towards a structured sample and data collection of environmental contamination in the Antarctic</w:t>
      </w:r>
    </w:p>
    <w:p w14:paraId="12EE88B9" w14:textId="77777777" w:rsidR="009700AA" w:rsidRPr="000A04A5" w:rsidRDefault="009700AA" w:rsidP="009700AA">
      <w:pPr>
        <w:spacing w:before="480" w:after="120"/>
        <w:jc w:val="center"/>
        <w:rPr>
          <w:rFonts w:ascii="Arial" w:hAnsi="Arial" w:cs="Arial"/>
          <w:b/>
          <w:color w:val="000000"/>
          <w:szCs w:val="22"/>
          <w:highlight w:val="yellow"/>
        </w:rPr>
      </w:pPr>
      <w:r>
        <w:rPr>
          <w:rFonts w:ascii="Arial" w:hAnsi="Arial" w:cs="Arial"/>
          <w:b/>
          <w:color w:val="000000"/>
          <w:szCs w:val="22"/>
        </w:rPr>
        <w:t>Working Paper s</w:t>
      </w:r>
      <w:r w:rsidRPr="000A04A5">
        <w:rPr>
          <w:rFonts w:ascii="Arial" w:hAnsi="Arial" w:cs="Arial"/>
          <w:b/>
          <w:color w:val="000000"/>
          <w:szCs w:val="22"/>
        </w:rPr>
        <w:t>ubmitted by Germany</w:t>
      </w:r>
      <w:r>
        <w:rPr>
          <w:rFonts w:ascii="Arial" w:hAnsi="Arial" w:cs="Arial"/>
          <w:b/>
          <w:color w:val="000000"/>
          <w:szCs w:val="22"/>
        </w:rPr>
        <w:t>,</w:t>
      </w:r>
      <w:r w:rsidRPr="000A04A5">
        <w:rPr>
          <w:rFonts w:ascii="Arial" w:hAnsi="Arial" w:cs="Arial"/>
          <w:b/>
          <w:color w:val="000000"/>
          <w:szCs w:val="22"/>
        </w:rPr>
        <w:t xml:space="preserve"> Italy</w:t>
      </w:r>
      <w:r>
        <w:rPr>
          <w:rFonts w:ascii="Arial" w:hAnsi="Arial" w:cs="Arial"/>
          <w:b/>
          <w:color w:val="000000"/>
          <w:szCs w:val="22"/>
        </w:rPr>
        <w:t xml:space="preserve">, Australia, United Kingdom, </w:t>
      </w:r>
      <w:r w:rsidRPr="009279DD">
        <w:rPr>
          <w:rFonts w:ascii="Arial" w:hAnsi="Arial" w:cs="Arial"/>
          <w:b/>
          <w:szCs w:val="22"/>
        </w:rPr>
        <w:t>United States of America</w:t>
      </w:r>
      <w:r>
        <w:rPr>
          <w:rFonts w:ascii="Arial" w:hAnsi="Arial" w:cs="Arial"/>
          <w:b/>
          <w:szCs w:val="22"/>
        </w:rPr>
        <w:t xml:space="preserve"> and Sweden</w:t>
      </w:r>
    </w:p>
    <w:p w14:paraId="63FFCC24" w14:textId="77777777" w:rsidR="009700AA" w:rsidRPr="00BE652C" w:rsidRDefault="009700AA" w:rsidP="009700AA">
      <w:pPr>
        <w:pStyle w:val="ATSNormal"/>
        <w:spacing w:before="240"/>
        <w:jc w:val="both"/>
        <w:rPr>
          <w:rFonts w:ascii="Arial" w:hAnsi="Arial" w:cs="Arial"/>
          <w:b/>
          <w:i/>
          <w:color w:val="000000"/>
          <w:sz w:val="24"/>
          <w:lang w:eastAsia="en-US"/>
        </w:rPr>
      </w:pPr>
      <w:r w:rsidRPr="00BE652C">
        <w:rPr>
          <w:rFonts w:ascii="Arial" w:hAnsi="Arial" w:cs="Arial"/>
          <w:b/>
          <w:i/>
          <w:color w:val="000000"/>
          <w:sz w:val="24"/>
          <w:lang w:eastAsia="en-US"/>
        </w:rPr>
        <w:t>Summary</w:t>
      </w:r>
    </w:p>
    <w:p w14:paraId="67475DFD" w14:textId="77777777" w:rsidR="009700AA" w:rsidRDefault="009700AA" w:rsidP="009700AA">
      <w:pPr>
        <w:pStyle w:val="ATSNormal"/>
        <w:spacing w:before="0" w:after="0"/>
        <w:jc w:val="both"/>
        <w:rPr>
          <w:bCs/>
          <w:color w:val="000000"/>
          <w:szCs w:val="22"/>
          <w:lang w:eastAsia="en-US"/>
        </w:rPr>
      </w:pPr>
      <w:r>
        <w:rPr>
          <w:bCs/>
          <w:color w:val="000000"/>
          <w:szCs w:val="22"/>
          <w:lang w:eastAsia="en-US"/>
        </w:rPr>
        <w:t>Increasing levels of chemical contamination in the Antarctica environment are resulting from global and regional human activities. Unlike other areas of the world, Antarctica lacks continent-wide systematic and coordinated monitoring of contaminants.</w:t>
      </w:r>
    </w:p>
    <w:p w14:paraId="37ED95BE" w14:textId="77777777" w:rsidR="009700AA" w:rsidRDefault="009700AA" w:rsidP="009700AA">
      <w:pPr>
        <w:pStyle w:val="ATSNormal"/>
        <w:spacing w:before="0" w:after="0"/>
        <w:jc w:val="both"/>
        <w:rPr>
          <w:bCs/>
          <w:color w:val="000000"/>
          <w:szCs w:val="22"/>
          <w:lang w:eastAsia="en-US"/>
        </w:rPr>
      </w:pPr>
    </w:p>
    <w:p w14:paraId="309663E7" w14:textId="77777777" w:rsidR="009700AA" w:rsidRDefault="009700AA" w:rsidP="009700AA">
      <w:r>
        <w:t xml:space="preserve">Germany, Italy, </w:t>
      </w:r>
      <w:r w:rsidRPr="00202F6F">
        <w:t>Australia, United Kingdom</w:t>
      </w:r>
      <w:r>
        <w:t>,</w:t>
      </w:r>
      <w:r w:rsidRPr="00202F6F">
        <w:t xml:space="preserve"> United States of America </w:t>
      </w:r>
      <w:r>
        <w:t xml:space="preserve">and Sweden </w:t>
      </w:r>
      <w:r w:rsidRPr="00903C77">
        <w:t>recommended that the CEP:</w:t>
      </w:r>
    </w:p>
    <w:p w14:paraId="14837282" w14:textId="77777777" w:rsidR="009700AA" w:rsidRPr="00903C77" w:rsidRDefault="009700AA" w:rsidP="009700AA">
      <w:pPr>
        <w:ind w:left="426" w:hanging="426"/>
      </w:pPr>
    </w:p>
    <w:p w14:paraId="11CC93AF" w14:textId="77777777" w:rsidR="009700AA" w:rsidRPr="001F3A62" w:rsidRDefault="009700AA" w:rsidP="009700AA">
      <w:pPr>
        <w:pStyle w:val="Prrafodelista"/>
        <w:numPr>
          <w:ilvl w:val="0"/>
          <w:numId w:val="22"/>
        </w:numPr>
        <w:spacing w:after="120"/>
        <w:ind w:left="425" w:hanging="425"/>
        <w:rPr>
          <w:szCs w:val="22"/>
        </w:rPr>
      </w:pPr>
      <w:r>
        <w:t xml:space="preserve">request </w:t>
      </w:r>
      <w:r w:rsidRPr="000D5843">
        <w:t xml:space="preserve">SCAR, in particular SCARs ImPACT Action Group, to consider the outcomes of </w:t>
      </w:r>
      <w:r w:rsidRPr="00847D53">
        <w:rPr>
          <w:szCs w:val="22"/>
        </w:rPr>
        <w:t>the Expert Workshop ‘Act now – Legacy and Emerging Contaminants in Polar Regions’ and the report ‘Emerging and legacy organic contaminants in the polar regions’</w:t>
      </w:r>
      <w:r>
        <w:rPr>
          <w:szCs w:val="22"/>
        </w:rPr>
        <w:t>;</w:t>
      </w:r>
      <w:r w:rsidRPr="00847D53">
        <w:rPr>
          <w:szCs w:val="22"/>
        </w:rPr>
        <w:t xml:space="preserve"> </w:t>
      </w:r>
    </w:p>
    <w:p w14:paraId="704A6BBA" w14:textId="77777777" w:rsidR="009700AA" w:rsidRDefault="009700AA" w:rsidP="009700AA">
      <w:pPr>
        <w:pStyle w:val="Prrafodelista"/>
        <w:numPr>
          <w:ilvl w:val="0"/>
          <w:numId w:val="22"/>
        </w:numPr>
        <w:spacing w:after="120"/>
        <w:ind w:left="425" w:hanging="425"/>
        <w:rPr>
          <w:szCs w:val="22"/>
        </w:rPr>
      </w:pPr>
      <w:r w:rsidRPr="001F3A62">
        <w:rPr>
          <w:szCs w:val="22"/>
        </w:rPr>
        <w:t>request</w:t>
      </w:r>
      <w:r w:rsidRPr="00E00117">
        <w:rPr>
          <w:szCs w:val="22"/>
        </w:rPr>
        <w:t xml:space="preserve"> SCAR to </w:t>
      </w:r>
      <w:r w:rsidRPr="00847D53">
        <w:rPr>
          <w:szCs w:val="22"/>
        </w:rPr>
        <w:t xml:space="preserve">submit recommendations to CEP </w:t>
      </w:r>
      <w:r w:rsidRPr="001F3A62">
        <w:rPr>
          <w:szCs w:val="22"/>
        </w:rPr>
        <w:t>X</w:t>
      </w:r>
      <w:r w:rsidRPr="00E00117">
        <w:rPr>
          <w:szCs w:val="22"/>
        </w:rPr>
        <w:t>XV</w:t>
      </w:r>
      <w:r w:rsidRPr="00847D53">
        <w:rPr>
          <w:szCs w:val="22"/>
        </w:rPr>
        <w:t xml:space="preserve"> on how a more systematic sampling and data collection of chemical contamination in the Antarctic </w:t>
      </w:r>
      <w:r w:rsidRPr="00102C71">
        <w:rPr>
          <w:szCs w:val="22"/>
          <w:lang w:eastAsia="en-GB"/>
        </w:rPr>
        <w:t>could be delivered, including by taking the objectives detail in this report into consideration</w:t>
      </w:r>
      <w:r>
        <w:rPr>
          <w:szCs w:val="22"/>
          <w:lang w:eastAsia="en-GB"/>
        </w:rPr>
        <w:t>; and</w:t>
      </w:r>
    </w:p>
    <w:p w14:paraId="72139F86" w14:textId="77777777" w:rsidR="009700AA" w:rsidRPr="00F669CF" w:rsidRDefault="009700AA" w:rsidP="009700AA">
      <w:pPr>
        <w:pStyle w:val="Prrafodelista"/>
        <w:numPr>
          <w:ilvl w:val="0"/>
          <w:numId w:val="22"/>
        </w:numPr>
        <w:spacing w:after="120"/>
        <w:ind w:left="425" w:hanging="425"/>
        <w:rPr>
          <w:szCs w:val="22"/>
        </w:rPr>
      </w:pPr>
      <w:r w:rsidRPr="00F669CF">
        <w:rPr>
          <w:szCs w:val="22"/>
        </w:rPr>
        <w:t>encourages Parties to intensify cooperation between all stakeholders, e.g., National Antarctic Programs, National Competent authorities and Environmental Specimen Banks, to initiate a more structured sample</w:t>
      </w:r>
      <w:r w:rsidRPr="000D5843">
        <w:t xml:space="preserve"> and data collection of environmental contamination in the Antarctic</w:t>
      </w:r>
      <w:r>
        <w:t>.</w:t>
      </w:r>
    </w:p>
    <w:p w14:paraId="75DBD9AD" w14:textId="77777777" w:rsidR="009700AA" w:rsidRPr="00BE652C" w:rsidRDefault="009700AA" w:rsidP="009700AA">
      <w:pPr>
        <w:pStyle w:val="ATSNormal"/>
        <w:spacing w:before="240"/>
        <w:jc w:val="both"/>
        <w:rPr>
          <w:rFonts w:ascii="Arial" w:hAnsi="Arial" w:cs="Arial"/>
          <w:b/>
          <w:i/>
          <w:color w:val="000000"/>
          <w:sz w:val="24"/>
          <w:lang w:eastAsia="en-US"/>
        </w:rPr>
      </w:pPr>
      <w:r w:rsidRPr="00BE652C">
        <w:rPr>
          <w:rFonts w:ascii="Arial" w:hAnsi="Arial" w:cs="Arial"/>
          <w:b/>
          <w:i/>
          <w:color w:val="000000"/>
          <w:sz w:val="24"/>
          <w:lang w:eastAsia="en-US"/>
        </w:rPr>
        <w:t xml:space="preserve">Introduction </w:t>
      </w:r>
    </w:p>
    <w:p w14:paraId="0E3AC7BF" w14:textId="77777777" w:rsidR="009700AA" w:rsidRPr="00C12881" w:rsidRDefault="009700AA" w:rsidP="009700AA">
      <w:pPr>
        <w:pStyle w:val="ATSNormal"/>
        <w:jc w:val="both"/>
        <w:rPr>
          <w:color w:val="000000"/>
          <w:szCs w:val="22"/>
          <w:lang w:eastAsia="en-US"/>
        </w:rPr>
      </w:pPr>
      <w:r w:rsidRPr="00C12881">
        <w:rPr>
          <w:color w:val="000000"/>
          <w:szCs w:val="22"/>
          <w:lang w:eastAsia="en-US"/>
        </w:rPr>
        <w:t>There is growing evidence that Antarctica is increasingly exposed to chemical stressors</w:t>
      </w:r>
      <w:r>
        <w:rPr>
          <w:color w:val="000000"/>
          <w:szCs w:val="22"/>
          <w:lang w:eastAsia="en-US"/>
        </w:rPr>
        <w:t xml:space="preserve">. </w:t>
      </w:r>
      <w:r w:rsidRPr="00C12881">
        <w:rPr>
          <w:color w:val="000000"/>
          <w:szCs w:val="22"/>
          <w:lang w:eastAsia="en-US"/>
        </w:rPr>
        <w:t>Antarctica is impacted by global issues such as climate change and long-range transport of chemical</w:t>
      </w:r>
      <w:r>
        <w:rPr>
          <w:color w:val="000000"/>
          <w:szCs w:val="22"/>
          <w:lang w:eastAsia="en-US"/>
        </w:rPr>
        <w:t xml:space="preserve"> contaminants and pollutants</w:t>
      </w:r>
      <w:r w:rsidRPr="00C12881">
        <w:rPr>
          <w:color w:val="000000"/>
          <w:szCs w:val="22"/>
          <w:lang w:eastAsia="en-US"/>
        </w:rPr>
        <w:t xml:space="preserve">. Furthermore, expanding tourism and research activities (including logistical activities serving their conduct or preparation) can affect the pristine environment. To date, there </w:t>
      </w:r>
      <w:r>
        <w:rPr>
          <w:color w:val="000000"/>
          <w:szCs w:val="22"/>
          <w:lang w:eastAsia="en-US"/>
        </w:rPr>
        <w:t xml:space="preserve">has been </w:t>
      </w:r>
      <w:r w:rsidRPr="00C12881">
        <w:rPr>
          <w:color w:val="000000"/>
          <w:szCs w:val="22"/>
          <w:lang w:eastAsia="en-US"/>
        </w:rPr>
        <w:t xml:space="preserve">a lack of systematic approaches </w:t>
      </w:r>
      <w:r>
        <w:rPr>
          <w:color w:val="000000"/>
          <w:szCs w:val="22"/>
          <w:lang w:eastAsia="en-US"/>
        </w:rPr>
        <w:t>for gathering</w:t>
      </w:r>
      <w:r w:rsidRPr="00C12881">
        <w:rPr>
          <w:color w:val="000000"/>
          <w:szCs w:val="22"/>
          <w:lang w:eastAsia="en-US"/>
        </w:rPr>
        <w:t xml:space="preserve"> data to study and assess chemical pollution of the Antarctic environment and to derive knowledge-based measures for its protection. </w:t>
      </w:r>
    </w:p>
    <w:p w14:paraId="000DB4A5" w14:textId="77777777" w:rsidR="009700AA" w:rsidRDefault="009700AA" w:rsidP="009700AA">
      <w:pPr>
        <w:pStyle w:val="ATSNormal"/>
        <w:jc w:val="both"/>
        <w:rPr>
          <w:color w:val="000000"/>
          <w:szCs w:val="22"/>
          <w:lang w:eastAsia="en-US"/>
        </w:rPr>
      </w:pPr>
      <w:r>
        <w:rPr>
          <w:color w:val="000000"/>
          <w:szCs w:val="22"/>
          <w:lang w:eastAsia="en-US"/>
        </w:rPr>
        <w:t xml:space="preserve">Therefore, </w:t>
      </w:r>
      <w:r w:rsidRPr="00845C2F">
        <w:rPr>
          <w:color w:val="000000"/>
          <w:szCs w:val="22"/>
          <w:lang w:eastAsia="en-US"/>
        </w:rPr>
        <w:t xml:space="preserve">an international network </w:t>
      </w:r>
      <w:r>
        <w:rPr>
          <w:color w:val="000000"/>
          <w:szCs w:val="22"/>
          <w:lang w:eastAsia="en-US"/>
        </w:rPr>
        <w:t>that</w:t>
      </w:r>
      <w:r w:rsidRPr="00845C2F">
        <w:rPr>
          <w:color w:val="000000"/>
          <w:szCs w:val="22"/>
          <w:lang w:eastAsia="en-US"/>
        </w:rPr>
        <w:t xml:space="preserve"> brings together all relevant actors and stakeholders, including the </w:t>
      </w:r>
      <w:r>
        <w:rPr>
          <w:color w:val="000000"/>
          <w:szCs w:val="22"/>
          <w:lang w:eastAsia="en-US"/>
        </w:rPr>
        <w:t>N</w:t>
      </w:r>
      <w:r w:rsidRPr="00845C2F">
        <w:rPr>
          <w:color w:val="000000"/>
          <w:szCs w:val="22"/>
          <w:lang w:eastAsia="en-US"/>
        </w:rPr>
        <w:t xml:space="preserve">ational </w:t>
      </w:r>
      <w:r>
        <w:rPr>
          <w:color w:val="000000"/>
          <w:szCs w:val="22"/>
          <w:lang w:eastAsia="en-US"/>
        </w:rPr>
        <w:t>Antarctic P</w:t>
      </w:r>
      <w:r w:rsidRPr="00845C2F">
        <w:rPr>
          <w:color w:val="000000"/>
          <w:szCs w:val="22"/>
          <w:lang w:eastAsia="en-US"/>
        </w:rPr>
        <w:t>rograms</w:t>
      </w:r>
      <w:r>
        <w:rPr>
          <w:color w:val="000000"/>
          <w:szCs w:val="22"/>
          <w:lang w:eastAsia="en-US"/>
        </w:rPr>
        <w:t xml:space="preserve"> (NAPs),</w:t>
      </w:r>
      <w:r w:rsidRPr="00623D94">
        <w:rPr>
          <w:color w:val="000000"/>
          <w:szCs w:val="22"/>
          <w:lang w:eastAsia="en-US"/>
        </w:rPr>
        <w:t xml:space="preserve"> </w:t>
      </w:r>
      <w:r w:rsidRPr="00C12881">
        <w:rPr>
          <w:color w:val="000000"/>
          <w:szCs w:val="22"/>
          <w:lang w:eastAsia="en-US"/>
        </w:rPr>
        <w:t>Environmental Specimen Banks</w:t>
      </w:r>
      <w:r>
        <w:rPr>
          <w:color w:val="000000"/>
          <w:szCs w:val="22"/>
          <w:lang w:eastAsia="en-US"/>
        </w:rPr>
        <w:t xml:space="preserve"> (</w:t>
      </w:r>
      <w:r w:rsidRPr="00845C2F">
        <w:rPr>
          <w:color w:val="000000"/>
          <w:szCs w:val="22"/>
          <w:lang w:eastAsia="en-US"/>
        </w:rPr>
        <w:t>ESBs</w:t>
      </w:r>
      <w:r>
        <w:rPr>
          <w:color w:val="000000"/>
          <w:szCs w:val="22"/>
          <w:lang w:eastAsia="en-US"/>
        </w:rPr>
        <w:t>)</w:t>
      </w:r>
      <w:r w:rsidRPr="00845C2F">
        <w:rPr>
          <w:color w:val="000000"/>
          <w:szCs w:val="22"/>
          <w:lang w:eastAsia="en-US"/>
        </w:rPr>
        <w:t xml:space="preserve"> and policy makers</w:t>
      </w:r>
      <w:r>
        <w:rPr>
          <w:color w:val="000000"/>
          <w:szCs w:val="22"/>
          <w:lang w:eastAsia="en-US"/>
        </w:rPr>
        <w:t xml:space="preserve"> is necessary to develop a</w:t>
      </w:r>
      <w:r w:rsidRPr="00845C2F">
        <w:rPr>
          <w:color w:val="000000"/>
          <w:szCs w:val="22"/>
          <w:lang w:eastAsia="en-US"/>
        </w:rPr>
        <w:t xml:space="preserve"> more structured sampling and data collection o</w:t>
      </w:r>
      <w:r>
        <w:rPr>
          <w:color w:val="000000"/>
          <w:szCs w:val="22"/>
          <w:lang w:eastAsia="en-US"/>
        </w:rPr>
        <w:t>n</w:t>
      </w:r>
      <w:r w:rsidRPr="00845C2F">
        <w:rPr>
          <w:color w:val="000000"/>
          <w:szCs w:val="22"/>
          <w:lang w:eastAsia="en-US"/>
        </w:rPr>
        <w:t xml:space="preserve"> chemical contamination in </w:t>
      </w:r>
      <w:r>
        <w:rPr>
          <w:color w:val="000000"/>
          <w:szCs w:val="22"/>
          <w:lang w:eastAsia="en-US"/>
        </w:rPr>
        <w:t xml:space="preserve">the </w:t>
      </w:r>
      <w:r w:rsidRPr="00845C2F">
        <w:rPr>
          <w:color w:val="000000"/>
          <w:szCs w:val="22"/>
          <w:lang w:eastAsia="en-US"/>
        </w:rPr>
        <w:t>Antarctic</w:t>
      </w:r>
      <w:r>
        <w:rPr>
          <w:color w:val="000000"/>
          <w:szCs w:val="22"/>
          <w:lang w:eastAsia="en-US"/>
        </w:rPr>
        <w:t xml:space="preserve"> S</w:t>
      </w:r>
      <w:r w:rsidRPr="00C12881">
        <w:rPr>
          <w:color w:val="000000"/>
          <w:szCs w:val="22"/>
          <w:lang w:eastAsia="en-US"/>
        </w:rPr>
        <w:t>ynerg</w:t>
      </w:r>
      <w:r>
        <w:rPr>
          <w:color w:val="000000"/>
          <w:szCs w:val="22"/>
          <w:lang w:eastAsia="en-US"/>
        </w:rPr>
        <w:t>ies</w:t>
      </w:r>
      <w:r w:rsidRPr="00C12881">
        <w:rPr>
          <w:color w:val="000000"/>
          <w:szCs w:val="22"/>
          <w:lang w:eastAsia="en-US"/>
        </w:rPr>
        <w:t xml:space="preserve"> between ESBs and </w:t>
      </w:r>
      <w:r>
        <w:rPr>
          <w:color w:val="000000"/>
          <w:szCs w:val="22"/>
          <w:lang w:eastAsia="en-US"/>
        </w:rPr>
        <w:t>NAPs</w:t>
      </w:r>
      <w:r w:rsidRPr="00C12881">
        <w:rPr>
          <w:color w:val="000000"/>
          <w:szCs w:val="22"/>
          <w:lang w:eastAsia="en-US"/>
        </w:rPr>
        <w:t xml:space="preserve"> c</w:t>
      </w:r>
      <w:r>
        <w:rPr>
          <w:color w:val="000000"/>
          <w:szCs w:val="22"/>
          <w:lang w:eastAsia="en-US"/>
        </w:rPr>
        <w:t>ould</w:t>
      </w:r>
      <w:r w:rsidRPr="00C12881">
        <w:rPr>
          <w:color w:val="000000"/>
          <w:szCs w:val="22"/>
          <w:lang w:eastAsia="en-US"/>
        </w:rPr>
        <w:t xml:space="preserve"> </w:t>
      </w:r>
      <w:r>
        <w:rPr>
          <w:color w:val="000000"/>
          <w:szCs w:val="22"/>
          <w:lang w:eastAsia="en-US"/>
        </w:rPr>
        <w:t xml:space="preserve">be </w:t>
      </w:r>
      <w:r w:rsidRPr="00C12881">
        <w:rPr>
          <w:color w:val="000000"/>
          <w:szCs w:val="22"/>
          <w:lang w:eastAsia="en-US"/>
        </w:rPr>
        <w:t>a valuable way to guarantee</w:t>
      </w:r>
      <w:r>
        <w:rPr>
          <w:color w:val="000000"/>
          <w:szCs w:val="22"/>
          <w:lang w:eastAsia="en-US"/>
        </w:rPr>
        <w:t xml:space="preserve"> that:</w:t>
      </w:r>
    </w:p>
    <w:p w14:paraId="28D7D1A5" w14:textId="77777777" w:rsidR="009700AA" w:rsidRDefault="009700AA" w:rsidP="009700AA">
      <w:pPr>
        <w:pStyle w:val="ATSNormal"/>
        <w:numPr>
          <w:ilvl w:val="0"/>
          <w:numId w:val="24"/>
        </w:numPr>
        <w:spacing w:after="0"/>
        <w:ind w:left="357" w:hanging="357"/>
        <w:jc w:val="both"/>
        <w:rPr>
          <w:color w:val="000000"/>
          <w:szCs w:val="22"/>
          <w:lang w:eastAsia="en-US"/>
        </w:rPr>
      </w:pPr>
      <w:r>
        <w:rPr>
          <w:color w:val="000000"/>
          <w:szCs w:val="22"/>
          <w:lang w:eastAsia="en-US"/>
        </w:rPr>
        <w:t>current</w:t>
      </w:r>
      <w:r w:rsidRPr="00C12881">
        <w:rPr>
          <w:color w:val="000000"/>
          <w:szCs w:val="22"/>
          <w:lang w:eastAsia="en-US"/>
        </w:rPr>
        <w:t xml:space="preserve"> and future monitoring actions</w:t>
      </w:r>
      <w:r>
        <w:rPr>
          <w:color w:val="000000"/>
          <w:szCs w:val="22"/>
          <w:lang w:eastAsia="en-US"/>
        </w:rPr>
        <w:t xml:space="preserve"> will be representative and continuous</w:t>
      </w:r>
      <w:r w:rsidRPr="00C12881">
        <w:rPr>
          <w:color w:val="000000"/>
          <w:szCs w:val="22"/>
          <w:lang w:eastAsia="en-US"/>
        </w:rPr>
        <w:t xml:space="preserve">, </w:t>
      </w:r>
    </w:p>
    <w:p w14:paraId="7A926727" w14:textId="77777777" w:rsidR="009700AA" w:rsidRDefault="009700AA" w:rsidP="009700AA">
      <w:pPr>
        <w:pStyle w:val="ATSNormal"/>
        <w:numPr>
          <w:ilvl w:val="0"/>
          <w:numId w:val="24"/>
        </w:numPr>
        <w:spacing w:after="0"/>
        <w:ind w:left="357" w:hanging="357"/>
        <w:jc w:val="both"/>
        <w:rPr>
          <w:color w:val="000000"/>
          <w:szCs w:val="22"/>
          <w:lang w:eastAsia="en-US"/>
        </w:rPr>
      </w:pPr>
      <w:r w:rsidRPr="00C12881">
        <w:rPr>
          <w:color w:val="000000"/>
          <w:szCs w:val="22"/>
          <w:lang w:eastAsia="en-US"/>
        </w:rPr>
        <w:t>procedures</w:t>
      </w:r>
      <w:r>
        <w:rPr>
          <w:color w:val="000000"/>
          <w:szCs w:val="22"/>
          <w:lang w:eastAsia="en-US"/>
        </w:rPr>
        <w:t xml:space="preserve"> will be harmonized</w:t>
      </w:r>
      <w:r w:rsidRPr="00C12881">
        <w:rPr>
          <w:color w:val="000000"/>
          <w:szCs w:val="22"/>
          <w:lang w:eastAsia="en-US"/>
        </w:rPr>
        <w:t xml:space="preserve">, </w:t>
      </w:r>
    </w:p>
    <w:p w14:paraId="5D8C4431" w14:textId="77777777" w:rsidR="009700AA" w:rsidRDefault="009700AA" w:rsidP="009700AA">
      <w:pPr>
        <w:pStyle w:val="ATSNormal"/>
        <w:numPr>
          <w:ilvl w:val="0"/>
          <w:numId w:val="24"/>
        </w:numPr>
        <w:spacing w:after="0"/>
        <w:ind w:left="357" w:hanging="357"/>
        <w:jc w:val="both"/>
        <w:rPr>
          <w:color w:val="000000"/>
          <w:szCs w:val="22"/>
          <w:lang w:eastAsia="en-US"/>
        </w:rPr>
      </w:pPr>
      <w:r w:rsidRPr="00C12881">
        <w:rPr>
          <w:color w:val="000000"/>
          <w:szCs w:val="22"/>
          <w:lang w:eastAsia="en-US"/>
        </w:rPr>
        <w:t>quality control of the analytical data</w:t>
      </w:r>
      <w:r>
        <w:rPr>
          <w:color w:val="000000"/>
          <w:szCs w:val="22"/>
          <w:lang w:eastAsia="en-US"/>
        </w:rPr>
        <w:t xml:space="preserve"> will be established</w:t>
      </w:r>
      <w:r w:rsidRPr="00C12881">
        <w:rPr>
          <w:color w:val="000000"/>
          <w:szCs w:val="22"/>
          <w:lang w:eastAsia="en-US"/>
        </w:rPr>
        <w:t xml:space="preserve">, and </w:t>
      </w:r>
    </w:p>
    <w:p w14:paraId="692103E9" w14:textId="77777777" w:rsidR="009700AA" w:rsidRDefault="009700AA" w:rsidP="009700AA">
      <w:pPr>
        <w:pStyle w:val="ATSNormal"/>
        <w:numPr>
          <w:ilvl w:val="0"/>
          <w:numId w:val="24"/>
        </w:numPr>
        <w:spacing w:after="0"/>
        <w:ind w:left="357" w:hanging="357"/>
        <w:jc w:val="both"/>
        <w:rPr>
          <w:color w:val="000000"/>
          <w:szCs w:val="22"/>
          <w:lang w:eastAsia="en-US"/>
        </w:rPr>
      </w:pPr>
      <w:r>
        <w:rPr>
          <w:color w:val="000000"/>
          <w:szCs w:val="22"/>
          <w:lang w:eastAsia="en-US"/>
        </w:rPr>
        <w:t xml:space="preserve">that </w:t>
      </w:r>
      <w:r w:rsidRPr="00C12881">
        <w:rPr>
          <w:color w:val="000000"/>
          <w:szCs w:val="22"/>
          <w:lang w:eastAsia="en-US"/>
        </w:rPr>
        <w:t>future generations</w:t>
      </w:r>
      <w:r>
        <w:rPr>
          <w:color w:val="000000"/>
          <w:szCs w:val="22"/>
          <w:lang w:eastAsia="en-US"/>
        </w:rPr>
        <w:t xml:space="preserve"> will be enabled to retrospectively assess data</w:t>
      </w:r>
      <w:r w:rsidRPr="00C12881">
        <w:rPr>
          <w:color w:val="000000"/>
          <w:szCs w:val="22"/>
          <w:lang w:eastAsia="en-US"/>
        </w:rPr>
        <w:t xml:space="preserve">. </w:t>
      </w:r>
    </w:p>
    <w:p w14:paraId="329FE201" w14:textId="77777777" w:rsidR="009700AA" w:rsidRPr="00C12881" w:rsidRDefault="009700AA" w:rsidP="009700AA">
      <w:pPr>
        <w:pStyle w:val="ATSNormal"/>
        <w:jc w:val="both"/>
        <w:rPr>
          <w:color w:val="000000"/>
          <w:szCs w:val="22"/>
          <w:lang w:eastAsia="en-US"/>
        </w:rPr>
      </w:pPr>
      <w:r>
        <w:rPr>
          <w:color w:val="000000"/>
          <w:szCs w:val="22"/>
          <w:lang w:eastAsia="en-US"/>
        </w:rPr>
        <w:t xml:space="preserve">It is expected that </w:t>
      </w:r>
      <w:r w:rsidRPr="00C12881">
        <w:rPr>
          <w:color w:val="000000"/>
          <w:szCs w:val="22"/>
          <w:lang w:eastAsia="en-US"/>
        </w:rPr>
        <w:t>systematic and efficient sampl</w:t>
      </w:r>
      <w:r>
        <w:rPr>
          <w:color w:val="000000"/>
          <w:szCs w:val="22"/>
          <w:lang w:eastAsia="en-US"/>
        </w:rPr>
        <w:t>ing</w:t>
      </w:r>
      <w:r w:rsidRPr="00C12881">
        <w:rPr>
          <w:color w:val="000000"/>
          <w:szCs w:val="22"/>
          <w:lang w:eastAsia="en-US"/>
        </w:rPr>
        <w:t xml:space="preserve"> and data collection </w:t>
      </w:r>
      <w:r>
        <w:rPr>
          <w:color w:val="000000"/>
          <w:szCs w:val="22"/>
          <w:lang w:eastAsia="en-US"/>
        </w:rPr>
        <w:t>will</w:t>
      </w:r>
      <w:r w:rsidRPr="00C12881">
        <w:rPr>
          <w:color w:val="000000"/>
          <w:szCs w:val="22"/>
          <w:lang w:eastAsia="en-US"/>
        </w:rPr>
        <w:t xml:space="preserve"> improve the effective use of scientific information to </w:t>
      </w:r>
      <w:r>
        <w:rPr>
          <w:color w:val="000000"/>
          <w:szCs w:val="22"/>
          <w:lang w:eastAsia="en-US"/>
        </w:rPr>
        <w:t>enhance</w:t>
      </w:r>
      <w:r w:rsidRPr="00C12881">
        <w:rPr>
          <w:color w:val="000000"/>
          <w:szCs w:val="22"/>
          <w:lang w:eastAsia="en-US"/>
        </w:rPr>
        <w:t xml:space="preserve"> decision-making and, consequently, the future conservation of the Antarctic environment and its depend</w:t>
      </w:r>
      <w:r>
        <w:rPr>
          <w:color w:val="000000"/>
          <w:szCs w:val="22"/>
          <w:lang w:eastAsia="en-US"/>
        </w:rPr>
        <w:t>ent</w:t>
      </w:r>
      <w:r w:rsidRPr="00C12881">
        <w:rPr>
          <w:color w:val="000000"/>
          <w:szCs w:val="22"/>
          <w:lang w:eastAsia="en-US"/>
        </w:rPr>
        <w:t xml:space="preserve"> and associated ecosystems.</w:t>
      </w:r>
    </w:p>
    <w:p w14:paraId="3AAE0A78" w14:textId="77777777" w:rsidR="009700AA" w:rsidRDefault="009700AA" w:rsidP="009700AA">
      <w:pPr>
        <w:pStyle w:val="ATSNormal"/>
        <w:jc w:val="both"/>
        <w:rPr>
          <w:color w:val="000000"/>
          <w:szCs w:val="22"/>
          <w:lang w:eastAsia="en-US"/>
        </w:rPr>
      </w:pPr>
      <w:r w:rsidRPr="00C12881">
        <w:rPr>
          <w:color w:val="000000"/>
          <w:szCs w:val="22"/>
          <w:lang w:eastAsia="en-US"/>
        </w:rPr>
        <w:t xml:space="preserve">This paper </w:t>
      </w:r>
      <w:r>
        <w:rPr>
          <w:color w:val="000000"/>
          <w:szCs w:val="22"/>
          <w:lang w:eastAsia="en-US"/>
        </w:rPr>
        <w:t xml:space="preserve">draws attention to the current steps </w:t>
      </w:r>
      <w:r w:rsidRPr="00C12881">
        <w:rPr>
          <w:color w:val="000000"/>
          <w:szCs w:val="22"/>
          <w:lang w:eastAsia="en-US"/>
        </w:rPr>
        <w:t xml:space="preserve">to establish </w:t>
      </w:r>
      <w:r>
        <w:rPr>
          <w:color w:val="000000"/>
          <w:szCs w:val="22"/>
          <w:lang w:eastAsia="en-US"/>
        </w:rPr>
        <w:t xml:space="preserve">such </w:t>
      </w:r>
      <w:r w:rsidRPr="00C12881">
        <w:rPr>
          <w:color w:val="000000"/>
          <w:szCs w:val="22"/>
          <w:lang w:eastAsia="en-US"/>
        </w:rPr>
        <w:t>an international network, aimed at promoting and coordinating a more structured sampl</w:t>
      </w:r>
      <w:r>
        <w:rPr>
          <w:color w:val="000000"/>
          <w:szCs w:val="22"/>
          <w:lang w:eastAsia="en-US"/>
        </w:rPr>
        <w:t>e</w:t>
      </w:r>
      <w:r w:rsidRPr="00C12881">
        <w:rPr>
          <w:color w:val="000000"/>
          <w:szCs w:val="22"/>
          <w:lang w:eastAsia="en-US"/>
        </w:rPr>
        <w:t xml:space="preserve"> and data collection of environmental contamination in the Antarctic. Th</w:t>
      </w:r>
      <w:r>
        <w:rPr>
          <w:color w:val="000000"/>
          <w:szCs w:val="22"/>
          <w:lang w:eastAsia="en-US"/>
        </w:rPr>
        <w:t>is is based on:</w:t>
      </w:r>
    </w:p>
    <w:p w14:paraId="41D469B9" w14:textId="77777777" w:rsidR="009700AA" w:rsidRDefault="009700AA" w:rsidP="009700AA">
      <w:pPr>
        <w:pStyle w:val="ATSNormal"/>
        <w:numPr>
          <w:ilvl w:val="0"/>
          <w:numId w:val="25"/>
        </w:numPr>
        <w:spacing w:after="0"/>
        <w:ind w:left="357" w:hanging="357"/>
        <w:jc w:val="both"/>
        <w:rPr>
          <w:color w:val="000000"/>
          <w:szCs w:val="22"/>
          <w:lang w:eastAsia="en-US"/>
        </w:rPr>
      </w:pPr>
      <w:r>
        <w:rPr>
          <w:color w:val="000000"/>
          <w:szCs w:val="22"/>
          <w:lang w:eastAsia="en-US"/>
        </w:rPr>
        <w:lastRenderedPageBreak/>
        <w:t>th</w:t>
      </w:r>
      <w:r w:rsidRPr="00C12881">
        <w:rPr>
          <w:color w:val="000000"/>
          <w:szCs w:val="22"/>
          <w:lang w:eastAsia="en-US"/>
        </w:rPr>
        <w:t xml:space="preserve">e </w:t>
      </w:r>
      <w:r>
        <w:rPr>
          <w:color w:val="000000"/>
          <w:szCs w:val="22"/>
          <w:lang w:eastAsia="en-US"/>
        </w:rPr>
        <w:t>outcomes of</w:t>
      </w:r>
      <w:r w:rsidRPr="00C12881">
        <w:rPr>
          <w:color w:val="000000"/>
          <w:szCs w:val="22"/>
          <w:lang w:eastAsia="en-US"/>
        </w:rPr>
        <w:t xml:space="preserve"> </w:t>
      </w:r>
      <w:r>
        <w:rPr>
          <w:color w:val="000000"/>
          <w:szCs w:val="22"/>
          <w:lang w:eastAsia="en-US"/>
        </w:rPr>
        <w:t>an</w:t>
      </w:r>
      <w:r w:rsidRPr="00C12881">
        <w:rPr>
          <w:color w:val="000000"/>
          <w:szCs w:val="22"/>
          <w:lang w:eastAsia="en-US"/>
        </w:rPr>
        <w:t xml:space="preserve"> Expert Workshop</w:t>
      </w:r>
      <w:r>
        <w:rPr>
          <w:color w:val="000000"/>
          <w:szCs w:val="22"/>
          <w:lang w:eastAsia="en-US"/>
        </w:rPr>
        <w:t xml:space="preserve"> ”</w:t>
      </w:r>
      <w:r w:rsidRPr="00C12881">
        <w:rPr>
          <w:color w:val="000000"/>
          <w:szCs w:val="22"/>
          <w:lang w:eastAsia="en-US"/>
        </w:rPr>
        <w:t>Act now – Legacy and Emerging Contaminants in Polar Regions</w:t>
      </w:r>
      <w:r>
        <w:rPr>
          <w:color w:val="000000"/>
          <w:szCs w:val="22"/>
          <w:lang w:eastAsia="en-US"/>
        </w:rPr>
        <w:t>”</w:t>
      </w:r>
      <w:r w:rsidRPr="00C12881">
        <w:rPr>
          <w:color w:val="000000"/>
          <w:szCs w:val="22"/>
          <w:lang w:eastAsia="en-US"/>
        </w:rPr>
        <w:t xml:space="preserve"> co-hosted by the </w:t>
      </w:r>
      <w:r w:rsidRPr="00060053">
        <w:rPr>
          <w:i/>
          <w:color w:val="000000"/>
          <w:szCs w:val="22"/>
          <w:lang w:eastAsia="en-US"/>
        </w:rPr>
        <w:t>German Environment Agency</w:t>
      </w:r>
      <w:r w:rsidRPr="00C12881">
        <w:rPr>
          <w:color w:val="000000"/>
          <w:szCs w:val="22"/>
          <w:lang w:eastAsia="en-US"/>
        </w:rPr>
        <w:t xml:space="preserve"> (UBA) and the </w:t>
      </w:r>
      <w:r w:rsidRPr="00060053">
        <w:rPr>
          <w:i/>
          <w:color w:val="000000"/>
          <w:szCs w:val="22"/>
          <w:lang w:eastAsia="en-US"/>
        </w:rPr>
        <w:t>Institute of Coastal Environmental Chemistry, Helmholtz-Zentrum Hereon</w:t>
      </w:r>
      <w:r w:rsidRPr="00C12881">
        <w:rPr>
          <w:color w:val="000000"/>
          <w:szCs w:val="22"/>
          <w:lang w:eastAsia="en-US"/>
        </w:rPr>
        <w:t xml:space="preserve"> (Geesthacht, Germany) in January 2022</w:t>
      </w:r>
      <w:r>
        <w:rPr>
          <w:rStyle w:val="Refdenotaalpie"/>
          <w:color w:val="000000"/>
          <w:szCs w:val="22"/>
          <w:lang w:eastAsia="en-US"/>
        </w:rPr>
        <w:footnoteReference w:id="1"/>
      </w:r>
      <w:r>
        <w:rPr>
          <w:color w:val="000000"/>
          <w:szCs w:val="22"/>
          <w:lang w:eastAsia="en-US"/>
        </w:rPr>
        <w:t xml:space="preserve">, </w:t>
      </w:r>
    </w:p>
    <w:p w14:paraId="0CE8A6AB" w14:textId="77777777" w:rsidR="009700AA" w:rsidRDefault="009700AA" w:rsidP="009700AA">
      <w:pPr>
        <w:pStyle w:val="ATSNormal"/>
        <w:numPr>
          <w:ilvl w:val="0"/>
          <w:numId w:val="25"/>
        </w:numPr>
        <w:spacing w:before="60" w:after="0"/>
        <w:ind w:left="357" w:hanging="357"/>
        <w:jc w:val="both"/>
        <w:rPr>
          <w:color w:val="000000"/>
          <w:szCs w:val="22"/>
          <w:lang w:eastAsia="en-US"/>
        </w:rPr>
      </w:pPr>
      <w:r>
        <w:rPr>
          <w:color w:val="000000"/>
          <w:szCs w:val="22"/>
          <w:lang w:eastAsia="en-US"/>
        </w:rPr>
        <w:t xml:space="preserve">the report </w:t>
      </w:r>
      <w:r w:rsidRPr="005B63F2">
        <w:rPr>
          <w:color w:val="000000"/>
          <w:szCs w:val="22"/>
          <w:lang w:eastAsia="en-US"/>
        </w:rPr>
        <w:t>‘Emerging and legacy organic contaminants in the polar regions’</w:t>
      </w:r>
      <w:r>
        <w:rPr>
          <w:color w:val="000000"/>
          <w:szCs w:val="22"/>
          <w:lang w:eastAsia="en-US"/>
        </w:rPr>
        <w:t xml:space="preserve"> </w:t>
      </w:r>
      <w:r w:rsidRPr="00C12881">
        <w:rPr>
          <w:color w:val="000000"/>
          <w:szCs w:val="22"/>
          <w:lang w:eastAsia="en-US"/>
        </w:rPr>
        <w:t>commissioned</w:t>
      </w:r>
      <w:r>
        <w:rPr>
          <w:color w:val="000000"/>
          <w:szCs w:val="22"/>
          <w:lang w:eastAsia="en-US"/>
        </w:rPr>
        <w:t xml:space="preserve"> by UBA with the aim</w:t>
      </w:r>
      <w:r w:rsidRPr="00C12881">
        <w:rPr>
          <w:color w:val="000000"/>
          <w:szCs w:val="22"/>
          <w:lang w:eastAsia="en-US"/>
        </w:rPr>
        <w:t xml:space="preserve"> to review studies on the occurrence of emerging organic contaminants (EOCs) in </w:t>
      </w:r>
      <w:r>
        <w:rPr>
          <w:color w:val="000000"/>
          <w:szCs w:val="22"/>
          <w:lang w:eastAsia="en-US"/>
        </w:rPr>
        <w:t xml:space="preserve">polar </w:t>
      </w:r>
      <w:r w:rsidRPr="008D4AE3">
        <w:rPr>
          <w:color w:val="000000"/>
          <w:szCs w:val="22"/>
          <w:lang w:eastAsia="en-US"/>
        </w:rPr>
        <w:t>regions (https://www.umweltbundesamt.de/publikationen/emerging-legacy-organic-contaminants-in-the-polar); and</w:t>
      </w:r>
      <w:r>
        <w:rPr>
          <w:color w:val="000000"/>
          <w:szCs w:val="22"/>
          <w:lang w:eastAsia="en-US"/>
        </w:rPr>
        <w:t xml:space="preserve"> </w:t>
      </w:r>
    </w:p>
    <w:p w14:paraId="544E9409" w14:textId="77777777" w:rsidR="009700AA" w:rsidRDefault="009700AA" w:rsidP="009700AA">
      <w:pPr>
        <w:pStyle w:val="ATSNormal"/>
        <w:numPr>
          <w:ilvl w:val="0"/>
          <w:numId w:val="25"/>
        </w:numPr>
        <w:spacing w:before="60" w:after="0"/>
        <w:ind w:left="357" w:hanging="357"/>
        <w:jc w:val="both"/>
        <w:rPr>
          <w:color w:val="000000"/>
          <w:szCs w:val="22"/>
          <w:lang w:eastAsia="en-US"/>
        </w:rPr>
      </w:pPr>
      <w:r w:rsidRPr="00602277">
        <w:rPr>
          <w:szCs w:val="22"/>
        </w:rPr>
        <w:t>the related publication “Legacy and emerging organic contaminants in the polar regions”</w:t>
      </w:r>
      <w:r>
        <w:rPr>
          <w:szCs w:val="22"/>
        </w:rPr>
        <w:t xml:space="preserve"> </w:t>
      </w:r>
      <w:hyperlink r:id="rId11" w:history="1">
        <w:r w:rsidRPr="008D4AE3">
          <w:t>https://doi.org/10.1016/j.scitotenv.2022.155376</w:t>
        </w:r>
      </w:hyperlink>
      <w:r>
        <w:rPr>
          <w:color w:val="000000"/>
          <w:szCs w:val="22"/>
          <w:lang w:eastAsia="en-US"/>
        </w:rPr>
        <w:t xml:space="preserve">. </w:t>
      </w:r>
    </w:p>
    <w:p w14:paraId="6591F3A9" w14:textId="77777777" w:rsidR="009700AA" w:rsidRDefault="009700AA" w:rsidP="009700AA">
      <w:pPr>
        <w:pStyle w:val="ATSNormal"/>
        <w:jc w:val="both"/>
        <w:rPr>
          <w:color w:val="000000"/>
          <w:szCs w:val="22"/>
          <w:lang w:eastAsia="en-US"/>
        </w:rPr>
      </w:pPr>
      <w:r>
        <w:rPr>
          <w:color w:val="000000"/>
          <w:szCs w:val="22"/>
          <w:lang w:eastAsia="en-US"/>
        </w:rPr>
        <w:t xml:space="preserve">Further details </w:t>
      </w:r>
      <w:r w:rsidRPr="002919A0">
        <w:rPr>
          <w:color w:val="000000"/>
          <w:szCs w:val="22"/>
          <w:lang w:eastAsia="en-US"/>
        </w:rPr>
        <w:t xml:space="preserve">are </w:t>
      </w:r>
      <w:r w:rsidRPr="00AC5A15">
        <w:rPr>
          <w:color w:val="000000"/>
          <w:szCs w:val="22"/>
          <w:lang w:eastAsia="en-US"/>
        </w:rPr>
        <w:t>provided in IP 7.</w:t>
      </w:r>
    </w:p>
    <w:p w14:paraId="2B3D84CB" w14:textId="77777777" w:rsidR="009700AA" w:rsidRPr="00BE652C" w:rsidRDefault="009700AA" w:rsidP="009700AA">
      <w:pPr>
        <w:pStyle w:val="ATSNormal"/>
        <w:spacing w:before="240"/>
        <w:jc w:val="both"/>
        <w:rPr>
          <w:rFonts w:ascii="Arial" w:hAnsi="Arial" w:cs="Arial"/>
          <w:b/>
          <w:i/>
          <w:color w:val="000000"/>
          <w:sz w:val="24"/>
          <w:lang w:eastAsia="en-US"/>
        </w:rPr>
      </w:pPr>
      <w:r w:rsidRPr="00BE652C">
        <w:rPr>
          <w:rFonts w:ascii="Arial" w:hAnsi="Arial" w:cs="Arial"/>
          <w:b/>
          <w:i/>
          <w:color w:val="000000"/>
          <w:sz w:val="24"/>
          <w:lang w:eastAsia="en-US"/>
        </w:rPr>
        <w:t>Background</w:t>
      </w:r>
    </w:p>
    <w:p w14:paraId="721C36E3" w14:textId="77777777" w:rsidR="009700AA" w:rsidRDefault="009700AA" w:rsidP="009700AA">
      <w:pPr>
        <w:spacing w:before="120" w:after="120"/>
        <w:jc w:val="both"/>
        <w:rPr>
          <w:lang w:val="en-US"/>
        </w:rPr>
      </w:pPr>
      <w:r w:rsidRPr="000A3B2A">
        <w:rPr>
          <w:color w:val="000000"/>
        </w:rPr>
        <w:t>Serious threats to the conservation of the Antarctic environment do exist</w:t>
      </w:r>
      <w:r>
        <w:rPr>
          <w:color w:val="000000"/>
        </w:rPr>
        <w:t xml:space="preserve"> and</w:t>
      </w:r>
      <w:r w:rsidRPr="000A3B2A">
        <w:rPr>
          <w:color w:val="000000"/>
        </w:rPr>
        <w:t xml:space="preserve"> persistent organic pollutants (POPs) and trace elements have been detected in Antarctica (ATCM XXXI/IP097, ATCM XXXII/IP069, ATCM XXXVII/IP008, ATCMXL/IP022). Furthermore, emerging contaminants (e.g. flame retardants, pharmaceuticals and personal care products, microplastics) can be found in Antarctica (Waller et al., 2017</w:t>
      </w:r>
      <w:r>
        <w:rPr>
          <w:color w:val="000000"/>
        </w:rPr>
        <w:t>;</w:t>
      </w:r>
      <w:r w:rsidRPr="000A3B2A">
        <w:rPr>
          <w:color w:val="000000"/>
        </w:rPr>
        <w:t xml:space="preserve"> Vecchiato et al. 2017</w:t>
      </w:r>
      <w:r>
        <w:rPr>
          <w:color w:val="000000"/>
        </w:rPr>
        <w:t>;</w:t>
      </w:r>
      <w:r w:rsidRPr="000A3B2A">
        <w:rPr>
          <w:color w:val="000000"/>
        </w:rPr>
        <w:t xml:space="preserve"> Dreyer et al. 2019.</w:t>
      </w:r>
      <w:r>
        <w:rPr>
          <w:color w:val="000000"/>
        </w:rPr>
        <w:t xml:space="preserve"> </w:t>
      </w:r>
      <w:r w:rsidRPr="00602277">
        <w:rPr>
          <w:lang w:val="en-US"/>
        </w:rPr>
        <w:t xml:space="preserve">Organic contaminants in polar regions have become significant concerns because of their </w:t>
      </w:r>
      <w:r>
        <w:rPr>
          <w:lang w:val="en-US"/>
        </w:rPr>
        <w:t xml:space="preserve">long-range potential and their </w:t>
      </w:r>
      <w:r w:rsidRPr="00602277">
        <w:rPr>
          <w:lang w:val="en-US"/>
        </w:rPr>
        <w:t xml:space="preserve">persistence, bioaccumulation and toxic </w:t>
      </w:r>
      <w:r>
        <w:rPr>
          <w:lang w:val="en-US"/>
        </w:rPr>
        <w:t>properties</w:t>
      </w:r>
      <w:r w:rsidRPr="00602277">
        <w:rPr>
          <w:lang w:val="en-US"/>
        </w:rPr>
        <w:t xml:space="preserve">. Climate change can alter the biogeochemical cycling of POPs and </w:t>
      </w:r>
      <w:r>
        <w:rPr>
          <w:lang w:val="en-US"/>
        </w:rPr>
        <w:t>contaminants of emerging concern (CECs)</w:t>
      </w:r>
      <w:r w:rsidRPr="00602277">
        <w:rPr>
          <w:lang w:val="en-US"/>
        </w:rPr>
        <w:t xml:space="preserve"> and amplify their effects on polar ecosystems. Glacial ice and snow act as secondary emission</w:t>
      </w:r>
      <w:r w:rsidRPr="00CB2DEE">
        <w:rPr>
          <w:lang w:val="en-US"/>
        </w:rPr>
        <w:t xml:space="preserve"> sources in the polar regions and release POPs and </w:t>
      </w:r>
      <w:r>
        <w:rPr>
          <w:lang w:val="en-US"/>
        </w:rPr>
        <w:t>CECs</w:t>
      </w:r>
      <w:r w:rsidRPr="00CB2DEE">
        <w:rPr>
          <w:lang w:val="en-US"/>
        </w:rPr>
        <w:t xml:space="preserve"> into the atmosphere and ocean. </w:t>
      </w:r>
      <w:r>
        <w:rPr>
          <w:lang w:val="en-US"/>
        </w:rPr>
        <w:t>F</w:t>
      </w:r>
      <w:r w:rsidRPr="00CB2DEE">
        <w:rPr>
          <w:lang w:val="en-US"/>
        </w:rPr>
        <w:t xml:space="preserve">uture research will need to understand the </w:t>
      </w:r>
      <w:r>
        <w:rPr>
          <w:lang w:val="en-US"/>
        </w:rPr>
        <w:t xml:space="preserve">impact of </w:t>
      </w:r>
      <w:r w:rsidRPr="00CB2DEE">
        <w:rPr>
          <w:lang w:val="en-US"/>
        </w:rPr>
        <w:t xml:space="preserve">climate change and </w:t>
      </w:r>
      <w:r>
        <w:rPr>
          <w:lang w:val="en-US"/>
        </w:rPr>
        <w:t xml:space="preserve">other </w:t>
      </w:r>
      <w:r w:rsidRPr="00CB2DEE">
        <w:rPr>
          <w:lang w:val="en-US"/>
        </w:rPr>
        <w:t xml:space="preserve">anthropogenic pressures </w:t>
      </w:r>
      <w:r>
        <w:rPr>
          <w:lang w:val="en-US"/>
        </w:rPr>
        <w:t xml:space="preserve">on </w:t>
      </w:r>
      <w:r w:rsidRPr="00CB2DEE">
        <w:rPr>
          <w:lang w:val="en-US"/>
        </w:rPr>
        <w:t xml:space="preserve">various biogeochemical and geophysical processes to be able to predict the environmental fates and toxicity risk of </w:t>
      </w:r>
      <w:r>
        <w:rPr>
          <w:lang w:val="en-US"/>
        </w:rPr>
        <w:t>pollutants</w:t>
      </w:r>
      <w:r w:rsidRPr="00CB2DEE">
        <w:rPr>
          <w:lang w:val="en-US"/>
        </w:rPr>
        <w:t xml:space="preserve"> in polar regions</w:t>
      </w:r>
      <w:r>
        <w:rPr>
          <w:lang w:val="en-US"/>
        </w:rPr>
        <w:t xml:space="preserve">, </w:t>
      </w:r>
      <w:r w:rsidRPr="00602277">
        <w:rPr>
          <w:lang w:val="en-US"/>
        </w:rPr>
        <w:t>to monitor the temporal trends of POPs</w:t>
      </w:r>
      <w:r>
        <w:rPr>
          <w:lang w:val="en-US"/>
        </w:rPr>
        <w:t>,</w:t>
      </w:r>
      <w:r w:rsidRPr="00602277">
        <w:rPr>
          <w:lang w:val="en-US"/>
        </w:rPr>
        <w:t xml:space="preserve"> and to strengthen the investigation of </w:t>
      </w:r>
      <w:r>
        <w:rPr>
          <w:lang w:val="en-US"/>
        </w:rPr>
        <w:t>CECs</w:t>
      </w:r>
      <w:r w:rsidRPr="00602277">
        <w:rPr>
          <w:lang w:val="en-US"/>
        </w:rPr>
        <w:t xml:space="preserve"> in the Antarctic through national and international research programs. </w:t>
      </w:r>
    </w:p>
    <w:p w14:paraId="3F7285D2" w14:textId="77777777" w:rsidR="009700AA" w:rsidRDefault="009700AA" w:rsidP="009700AA">
      <w:pPr>
        <w:spacing w:before="120" w:after="120"/>
        <w:jc w:val="both"/>
      </w:pPr>
      <w:r w:rsidRPr="000A3B2A">
        <w:t xml:space="preserve">ESBs </w:t>
      </w:r>
      <w:r w:rsidRPr="006C3F04">
        <w:t>a</w:t>
      </w:r>
      <w:r>
        <w:t>re</w:t>
      </w:r>
      <w:r w:rsidRPr="006C3F04">
        <w:t xml:space="preserve"> facilities that </w:t>
      </w:r>
      <w:r>
        <w:t xml:space="preserve">systematically </w:t>
      </w:r>
      <w:r w:rsidRPr="000A3B2A">
        <w:t xml:space="preserve">archive samples from the environment </w:t>
      </w:r>
      <w:r>
        <w:t xml:space="preserve">and biota </w:t>
      </w:r>
      <w:r w:rsidRPr="000A3B2A">
        <w:t>for future research and monitoring purposes</w:t>
      </w:r>
      <w:r>
        <w:t>.</w:t>
      </w:r>
      <w:r w:rsidRPr="000A3B2A">
        <w:t xml:space="preserve"> Today, </w:t>
      </w:r>
      <w:r>
        <w:t xml:space="preserve">there are </w:t>
      </w:r>
      <w:r w:rsidRPr="000A3B2A">
        <w:t>a</w:t>
      </w:r>
      <w:r>
        <w:t>b</w:t>
      </w:r>
      <w:r w:rsidRPr="000A3B2A">
        <w:t>ou</w:t>
      </w:r>
      <w:r>
        <w:t>t</w:t>
      </w:r>
      <w:r w:rsidRPr="000A3B2A">
        <w:t xml:space="preserve"> 30 national ESBs </w:t>
      </w:r>
      <w:r w:rsidRPr="00B90169">
        <w:t>in Europe, North America, Asia, and Australia</w:t>
      </w:r>
      <w:r w:rsidRPr="004019A8">
        <w:t>, including the Italian Antarctic ESB</w:t>
      </w:r>
      <w:r>
        <w:t xml:space="preserve"> (BCAA)</w:t>
      </w:r>
      <w:r w:rsidRPr="004019A8">
        <w:t xml:space="preserve">, </w:t>
      </w:r>
      <w:r>
        <w:t xml:space="preserve">which has </w:t>
      </w:r>
      <w:r w:rsidRPr="004019A8">
        <w:t>operat</w:t>
      </w:r>
      <w:r>
        <w:t>ed</w:t>
      </w:r>
      <w:r w:rsidRPr="004019A8">
        <w:t xml:space="preserve"> since 1994 within the Italian National Antarctic Research Programme (Soggia et al. 2001)</w:t>
      </w:r>
      <w:r w:rsidRPr="000A3B2A">
        <w:t>.</w:t>
      </w:r>
      <w:r>
        <w:t xml:space="preserve"> </w:t>
      </w:r>
      <w:r w:rsidRPr="000A3B2A">
        <w:t xml:space="preserve">Germany with its ESB has started to investigate environmental contamination in the Antarctic and </w:t>
      </w:r>
      <w:r>
        <w:t>aims to support</w:t>
      </w:r>
      <w:r w:rsidRPr="000A3B2A">
        <w:t xml:space="preserve"> </w:t>
      </w:r>
      <w:r>
        <w:t xml:space="preserve">relevant </w:t>
      </w:r>
      <w:r w:rsidRPr="000A3B2A">
        <w:t xml:space="preserve">future monitoring, research and policy development across the Antarctic Treaty area. </w:t>
      </w:r>
    </w:p>
    <w:p w14:paraId="27849DBC" w14:textId="77777777" w:rsidR="009700AA" w:rsidRDefault="009700AA" w:rsidP="009700AA">
      <w:pPr>
        <w:spacing w:before="120" w:after="120"/>
        <w:jc w:val="both"/>
      </w:pPr>
      <w:r w:rsidRPr="00206F62">
        <w:t>The SCAR ImPACT (</w:t>
      </w:r>
      <w:bookmarkStart w:id="8" w:name="_Hlk97643217"/>
      <w:r w:rsidRPr="00206F62">
        <w:t xml:space="preserve">Input Pathways of Persistent Organic Pollutants in Antarctica) Action Group </w:t>
      </w:r>
      <w:bookmarkEnd w:id="8"/>
      <w:r w:rsidRPr="00206F62">
        <w:t xml:space="preserve">has </w:t>
      </w:r>
      <w:r>
        <w:t xml:space="preserve">already </w:t>
      </w:r>
      <w:r w:rsidRPr="00206F62">
        <w:t>identified priority challenges for persistent organic chemical research in Antarctica</w:t>
      </w:r>
      <w:r w:rsidRPr="001A24F5">
        <w:t xml:space="preserve"> </w:t>
      </w:r>
      <w:r>
        <w:t>(</w:t>
      </w:r>
      <w:r w:rsidRPr="00206F62">
        <w:t>ATCMXLIII/</w:t>
      </w:r>
      <w:r>
        <w:t xml:space="preserve"> </w:t>
      </w:r>
      <w:r w:rsidRPr="00206F62">
        <w:t>IP137</w:t>
      </w:r>
      <w:r>
        <w:t>)</w:t>
      </w:r>
      <w:r w:rsidRPr="00206F62">
        <w:t xml:space="preserve">. </w:t>
      </w:r>
      <w:r>
        <w:t>Moreover, it</w:t>
      </w:r>
      <w:r w:rsidRPr="00206F62">
        <w:t xml:space="preserve"> identified priority research gaps and proposed actions that resulted from a scoping meeting of this group. It identified potential approaches for coordinated research and monitoring efforts and outlined a set of actions needed to bring research on persistent organic chemicals in Antarctica in line with international efforts and existing global monitoring frameworks.</w:t>
      </w:r>
    </w:p>
    <w:p w14:paraId="25A403F9" w14:textId="77777777" w:rsidR="009700AA" w:rsidRPr="00602277" w:rsidRDefault="009700AA" w:rsidP="009700AA">
      <w:pPr>
        <w:pStyle w:val="ATSNormal"/>
        <w:jc w:val="both"/>
      </w:pPr>
      <w:bookmarkStart w:id="9" w:name="_Hlk97655098"/>
      <w:r>
        <w:t>T</w:t>
      </w:r>
      <w:r w:rsidRPr="003E1A78">
        <w:t xml:space="preserve">he Workshop ‘Act now – Legacy and Emerging Contaminants in Polar Regions’ </w:t>
      </w:r>
      <w:r>
        <w:t>(</w:t>
      </w:r>
      <w:hyperlink r:id="rId12" w:history="1">
        <w:r w:rsidRPr="00EE5E63">
          <w:rPr>
            <w:rStyle w:val="Hipervnculo"/>
          </w:rPr>
          <w:t>https://www.umweltbundesamt.de/en/node/94089%20</w:t>
        </w:r>
      </w:hyperlink>
      <w:r>
        <w:t xml:space="preserve">) </w:t>
      </w:r>
      <w:r w:rsidRPr="003E1A78">
        <w:t>discussed potential impacts of legacy and new hazardous chemicals</w:t>
      </w:r>
      <w:r>
        <w:t>, accumulating</w:t>
      </w:r>
      <w:r w:rsidRPr="003E1A78">
        <w:t xml:space="preserve"> in snow, ice and wildlife</w:t>
      </w:r>
      <w:r>
        <w:t>. The workshop concluded</w:t>
      </w:r>
      <w:r w:rsidRPr="00602277">
        <w:rPr>
          <w:lang w:val="en-US"/>
        </w:rPr>
        <w:t xml:space="preserve"> </w:t>
      </w:r>
      <w:r w:rsidRPr="003E1A78">
        <w:t xml:space="preserve">that all key </w:t>
      </w:r>
      <w:r w:rsidRPr="00602277">
        <w:t xml:space="preserve">stakeholders including policy makers and the public, need to join forces to achieve better networking of actions to protect ecosystem and human health in the polar regions. </w:t>
      </w:r>
      <w:r>
        <w:t>C</w:t>
      </w:r>
      <w:r w:rsidRPr="00602277">
        <w:t>ooperation between the experts, researcher</w:t>
      </w:r>
      <w:r>
        <w:t>s</w:t>
      </w:r>
      <w:r w:rsidRPr="00602277">
        <w:t>, decision-maker</w:t>
      </w:r>
      <w:r>
        <w:t>s</w:t>
      </w:r>
      <w:r w:rsidRPr="00602277">
        <w:t xml:space="preserve"> and interested stakeholders with respect to screening, monitoring, assessment and data sharing should be improved</w:t>
      </w:r>
      <w:r>
        <w:t>. Such action would</w:t>
      </w:r>
      <w:r w:rsidRPr="00602277">
        <w:t xml:space="preserve"> provide robust environmental contamination data to </w:t>
      </w:r>
      <w:r>
        <w:t xml:space="preserve">inform effective </w:t>
      </w:r>
      <w:r w:rsidRPr="00602277">
        <w:t xml:space="preserve">environmental </w:t>
      </w:r>
      <w:r>
        <w:t xml:space="preserve">policies </w:t>
      </w:r>
      <w:r w:rsidRPr="00602277">
        <w:t xml:space="preserve">and chemicals management </w:t>
      </w:r>
      <w:r>
        <w:t xml:space="preserve">aimed at </w:t>
      </w:r>
      <w:r w:rsidRPr="00602277">
        <w:t>protect</w:t>
      </w:r>
      <w:r>
        <w:t>ing</w:t>
      </w:r>
      <w:r w:rsidRPr="00602277">
        <w:t xml:space="preserve"> the Antarctic environment.</w:t>
      </w:r>
    </w:p>
    <w:bookmarkEnd w:id="9"/>
    <w:p w14:paraId="203936A9" w14:textId="77777777" w:rsidR="009700AA" w:rsidRPr="00BE652C" w:rsidRDefault="009700AA" w:rsidP="009700AA">
      <w:pPr>
        <w:pStyle w:val="ATSNormal"/>
        <w:spacing w:before="240"/>
        <w:jc w:val="both"/>
        <w:rPr>
          <w:rFonts w:ascii="Arial" w:hAnsi="Arial" w:cs="Arial"/>
          <w:b/>
          <w:i/>
          <w:color w:val="000000"/>
          <w:sz w:val="24"/>
          <w:lang w:eastAsia="en-US"/>
        </w:rPr>
      </w:pPr>
      <w:r w:rsidRPr="00BE652C">
        <w:rPr>
          <w:rFonts w:ascii="Arial" w:hAnsi="Arial" w:cs="Arial"/>
          <w:b/>
          <w:i/>
          <w:color w:val="000000"/>
          <w:sz w:val="24"/>
          <w:lang w:eastAsia="en-US"/>
        </w:rPr>
        <w:lastRenderedPageBreak/>
        <w:t xml:space="preserve">Next steps </w:t>
      </w:r>
    </w:p>
    <w:p w14:paraId="4DF2A4A5" w14:textId="77777777" w:rsidR="009700AA" w:rsidRDefault="009700AA" w:rsidP="009700AA">
      <w:pPr>
        <w:pStyle w:val="ATSNormal"/>
        <w:jc w:val="both"/>
        <w:rPr>
          <w:color w:val="000000"/>
          <w:szCs w:val="22"/>
          <w:lang w:eastAsia="en-US"/>
        </w:rPr>
      </w:pPr>
      <w:r>
        <w:rPr>
          <w:color w:val="000000"/>
          <w:szCs w:val="22"/>
          <w:lang w:eastAsia="en-US"/>
        </w:rPr>
        <w:t xml:space="preserve">Germany, Italy, Australia, the United Kingdom and United States of America </w:t>
      </w:r>
      <w:r w:rsidRPr="00841EAF">
        <w:rPr>
          <w:color w:val="000000"/>
          <w:szCs w:val="22"/>
          <w:lang w:eastAsia="en-US"/>
        </w:rPr>
        <w:t xml:space="preserve">see </w:t>
      </w:r>
      <w:r>
        <w:rPr>
          <w:color w:val="000000"/>
          <w:szCs w:val="22"/>
          <w:lang w:eastAsia="en-US"/>
        </w:rPr>
        <w:t>greater</w:t>
      </w:r>
      <w:r w:rsidRPr="00841EAF">
        <w:rPr>
          <w:color w:val="000000"/>
          <w:szCs w:val="22"/>
          <w:lang w:eastAsia="en-US"/>
        </w:rPr>
        <w:t xml:space="preserve"> cooperation with and between the ESBs of Antarctic Treaty Parties</w:t>
      </w:r>
      <w:r>
        <w:rPr>
          <w:color w:val="000000"/>
          <w:szCs w:val="22"/>
          <w:lang w:eastAsia="en-US"/>
        </w:rPr>
        <w:t>,</w:t>
      </w:r>
      <w:r w:rsidRPr="00841EAF">
        <w:rPr>
          <w:color w:val="000000"/>
          <w:szCs w:val="22"/>
          <w:lang w:eastAsia="en-US"/>
        </w:rPr>
        <w:t xml:space="preserve"> </w:t>
      </w:r>
      <w:r>
        <w:rPr>
          <w:color w:val="000000"/>
          <w:szCs w:val="22"/>
          <w:lang w:eastAsia="en-US"/>
        </w:rPr>
        <w:t>S</w:t>
      </w:r>
      <w:r w:rsidRPr="00841EAF">
        <w:rPr>
          <w:color w:val="000000"/>
          <w:szCs w:val="22"/>
          <w:lang w:eastAsia="en-US"/>
        </w:rPr>
        <w:t xml:space="preserve">CARs ImPACT </w:t>
      </w:r>
      <w:r w:rsidRPr="00AB70D2">
        <w:rPr>
          <w:color w:val="000000"/>
          <w:szCs w:val="22"/>
          <w:lang w:eastAsia="en-US"/>
        </w:rPr>
        <w:t>Action Group</w:t>
      </w:r>
      <w:r>
        <w:rPr>
          <w:color w:val="000000"/>
          <w:szCs w:val="22"/>
          <w:lang w:eastAsia="en-US"/>
        </w:rPr>
        <w:t>,</w:t>
      </w:r>
      <w:r w:rsidRPr="00482AA2">
        <w:rPr>
          <w:color w:val="000000"/>
          <w:szCs w:val="22"/>
          <w:lang w:eastAsia="en-US"/>
        </w:rPr>
        <w:t xml:space="preserve"> NAPs and Environmental Agencies </w:t>
      </w:r>
      <w:r w:rsidRPr="00841EAF">
        <w:rPr>
          <w:color w:val="000000"/>
          <w:szCs w:val="22"/>
          <w:lang w:eastAsia="en-US"/>
        </w:rPr>
        <w:t xml:space="preserve">as an opportunity to initiate a more structured sample and data collection of environmental contamination in the Antarctic. </w:t>
      </w:r>
      <w:r>
        <w:rPr>
          <w:color w:val="000000"/>
          <w:szCs w:val="22"/>
          <w:lang w:eastAsia="en-US"/>
        </w:rPr>
        <w:t>ESBs</w:t>
      </w:r>
      <w:r w:rsidRPr="00841EAF">
        <w:rPr>
          <w:color w:val="000000"/>
          <w:szCs w:val="22"/>
          <w:lang w:eastAsia="en-US"/>
        </w:rPr>
        <w:t xml:space="preserve"> could contribute to this important work by </w:t>
      </w:r>
      <w:r>
        <w:rPr>
          <w:color w:val="000000"/>
          <w:szCs w:val="22"/>
          <w:lang w:eastAsia="en-US"/>
        </w:rPr>
        <w:t>archiving samples and providing expertise in environmental chemistry for</w:t>
      </w:r>
      <w:r w:rsidRPr="00841EAF">
        <w:rPr>
          <w:color w:val="000000"/>
          <w:szCs w:val="22"/>
          <w:lang w:eastAsia="en-US"/>
        </w:rPr>
        <w:t xml:space="preserve"> </w:t>
      </w:r>
      <w:r>
        <w:rPr>
          <w:color w:val="000000"/>
          <w:szCs w:val="22"/>
          <w:lang w:eastAsia="en-US"/>
        </w:rPr>
        <w:t>systematic long-term</w:t>
      </w:r>
      <w:r w:rsidRPr="00841EAF">
        <w:rPr>
          <w:color w:val="000000"/>
          <w:szCs w:val="22"/>
          <w:lang w:eastAsia="en-US"/>
        </w:rPr>
        <w:t xml:space="preserve"> trend</w:t>
      </w:r>
      <w:r>
        <w:rPr>
          <w:color w:val="000000"/>
          <w:szCs w:val="22"/>
          <w:lang w:eastAsia="en-US"/>
        </w:rPr>
        <w:t xml:space="preserve"> monitoring</w:t>
      </w:r>
      <w:r w:rsidRPr="00841EAF">
        <w:rPr>
          <w:color w:val="000000"/>
          <w:szCs w:val="22"/>
          <w:lang w:eastAsia="en-US"/>
        </w:rPr>
        <w:t xml:space="preserve"> in the Antarctic environment. Such archives will enable researchers </w:t>
      </w:r>
      <w:r>
        <w:rPr>
          <w:color w:val="000000"/>
          <w:szCs w:val="22"/>
          <w:lang w:eastAsia="en-US"/>
        </w:rPr>
        <w:t xml:space="preserve">in the future </w:t>
      </w:r>
      <w:r w:rsidRPr="00841EAF">
        <w:rPr>
          <w:color w:val="000000"/>
          <w:szCs w:val="22"/>
          <w:lang w:eastAsia="en-US"/>
        </w:rPr>
        <w:t>to study changes in Antarctica at any given time in a retrospective manner</w:t>
      </w:r>
      <w:r>
        <w:rPr>
          <w:color w:val="000000"/>
          <w:szCs w:val="22"/>
          <w:lang w:eastAsia="en-US"/>
        </w:rPr>
        <w:t xml:space="preserve">. </w:t>
      </w:r>
      <w:r w:rsidRPr="00841EAF">
        <w:rPr>
          <w:color w:val="000000"/>
          <w:szCs w:val="22"/>
          <w:lang w:eastAsia="en-US"/>
        </w:rPr>
        <w:t>Those results</w:t>
      </w:r>
      <w:r>
        <w:rPr>
          <w:color w:val="000000"/>
          <w:szCs w:val="22"/>
          <w:lang w:eastAsia="en-US"/>
        </w:rPr>
        <w:t>,</w:t>
      </w:r>
      <w:r w:rsidRPr="00841EAF">
        <w:rPr>
          <w:color w:val="000000"/>
          <w:szCs w:val="22"/>
          <w:lang w:eastAsia="en-US"/>
        </w:rPr>
        <w:t xml:space="preserve"> together with the precautionary approach as a fundamental part of the Protocol and the work of CEP, would enable the Antarctic Treaty Parties to </w:t>
      </w:r>
      <w:r>
        <w:rPr>
          <w:color w:val="000000"/>
          <w:szCs w:val="22"/>
          <w:lang w:eastAsia="en-US"/>
        </w:rPr>
        <w:t>facilitate</w:t>
      </w:r>
      <w:r w:rsidRPr="00841EAF">
        <w:rPr>
          <w:color w:val="000000"/>
          <w:szCs w:val="22"/>
          <w:lang w:eastAsia="en-US"/>
        </w:rPr>
        <w:t xml:space="preserve"> </w:t>
      </w:r>
      <w:r>
        <w:rPr>
          <w:color w:val="000000"/>
          <w:szCs w:val="22"/>
          <w:lang w:eastAsia="en-US"/>
        </w:rPr>
        <w:t xml:space="preserve">necessary decision-making and inform </w:t>
      </w:r>
      <w:r w:rsidRPr="00841EAF">
        <w:rPr>
          <w:color w:val="000000"/>
          <w:szCs w:val="22"/>
          <w:lang w:eastAsia="en-US"/>
        </w:rPr>
        <w:t>measures for the protection of the Antarctic environment</w:t>
      </w:r>
      <w:r>
        <w:rPr>
          <w:color w:val="000000"/>
          <w:szCs w:val="22"/>
          <w:lang w:eastAsia="en-US"/>
        </w:rPr>
        <w:t>.</w:t>
      </w:r>
    </w:p>
    <w:p w14:paraId="70A33112" w14:textId="77777777" w:rsidR="009700AA" w:rsidRPr="00C35912" w:rsidRDefault="009700AA" w:rsidP="009700AA">
      <w:pPr>
        <w:pStyle w:val="ATSNormal"/>
        <w:jc w:val="both"/>
        <w:rPr>
          <w:color w:val="000000"/>
          <w:szCs w:val="22"/>
          <w:lang w:eastAsia="en-US"/>
        </w:rPr>
      </w:pPr>
      <w:r>
        <w:t>A</w:t>
      </w:r>
      <w:r w:rsidRPr="008F13FD">
        <w:t xml:space="preserve">n international network, which brings together all relevant actors and stakeholders </w:t>
      </w:r>
      <w:r>
        <w:t xml:space="preserve">for a </w:t>
      </w:r>
      <w:bookmarkStart w:id="10" w:name="_Hlk97831244"/>
      <w:r w:rsidRPr="008F13FD">
        <w:t xml:space="preserve">more structured sampling and data collection of chemical contamination in </w:t>
      </w:r>
      <w:r>
        <w:t xml:space="preserve">the </w:t>
      </w:r>
      <w:r w:rsidRPr="008F13FD">
        <w:t>Antarctic</w:t>
      </w:r>
      <w:r>
        <w:t>,</w:t>
      </w:r>
      <w:r w:rsidRPr="009D5054">
        <w:t xml:space="preserve"> </w:t>
      </w:r>
      <w:bookmarkEnd w:id="10"/>
      <w:r w:rsidRPr="009D5054">
        <w:t>c</w:t>
      </w:r>
      <w:r>
        <w:t xml:space="preserve">ould </w:t>
      </w:r>
      <w:r w:rsidRPr="009D5054">
        <w:t>achieve the following objectives:</w:t>
      </w:r>
    </w:p>
    <w:p w14:paraId="3F9E654B" w14:textId="77777777" w:rsidR="009700AA" w:rsidRDefault="009700AA" w:rsidP="009700AA">
      <w:pPr>
        <w:pStyle w:val="Prrafodelista"/>
        <w:numPr>
          <w:ilvl w:val="0"/>
          <w:numId w:val="21"/>
        </w:numPr>
        <w:spacing w:before="120"/>
        <w:ind w:left="425" w:hanging="425"/>
        <w:jc w:val="both"/>
        <w:rPr>
          <w:szCs w:val="22"/>
        </w:rPr>
      </w:pPr>
      <w:r w:rsidRPr="00C24E37">
        <w:rPr>
          <w:szCs w:val="22"/>
        </w:rPr>
        <w:t xml:space="preserve">Expand geographic coverage of chemical contamination data for Antarctica to include </w:t>
      </w:r>
      <w:r>
        <w:rPr>
          <w:szCs w:val="22"/>
        </w:rPr>
        <w:t xml:space="preserve">tourism sites, </w:t>
      </w:r>
      <w:r w:rsidRPr="00C24E37">
        <w:rPr>
          <w:szCs w:val="22"/>
        </w:rPr>
        <w:t xml:space="preserve">areas near research stations as well as </w:t>
      </w:r>
      <w:r>
        <w:rPr>
          <w:szCs w:val="22"/>
        </w:rPr>
        <w:t xml:space="preserve">new and existing </w:t>
      </w:r>
      <w:r w:rsidRPr="00C24E37">
        <w:rPr>
          <w:szCs w:val="22"/>
        </w:rPr>
        <w:t>protected areas in pristine regions.</w:t>
      </w:r>
      <w:r>
        <w:rPr>
          <w:szCs w:val="22"/>
        </w:rPr>
        <w:t xml:space="preserve"> </w:t>
      </w:r>
    </w:p>
    <w:p w14:paraId="3AA0BB7F" w14:textId="77777777" w:rsidR="009700AA" w:rsidRDefault="009700AA" w:rsidP="009700AA">
      <w:pPr>
        <w:pStyle w:val="Prrafodelista"/>
        <w:numPr>
          <w:ilvl w:val="0"/>
          <w:numId w:val="21"/>
        </w:numPr>
        <w:spacing w:before="120"/>
        <w:ind w:left="425" w:hanging="425"/>
        <w:jc w:val="both"/>
        <w:rPr>
          <w:szCs w:val="22"/>
        </w:rPr>
      </w:pPr>
      <w:r>
        <w:rPr>
          <w:szCs w:val="22"/>
        </w:rPr>
        <w:t xml:space="preserve">Ensure the continuity of long-term data on contaminants in Antarctica and the development of </w:t>
      </w:r>
      <w:r w:rsidRPr="0037414F">
        <w:rPr>
          <w:szCs w:val="22"/>
        </w:rPr>
        <w:t>continental-scale monitoring programs</w:t>
      </w:r>
      <w:r>
        <w:rPr>
          <w:szCs w:val="22"/>
        </w:rPr>
        <w:t>.</w:t>
      </w:r>
    </w:p>
    <w:p w14:paraId="4345DB64" w14:textId="77777777" w:rsidR="009700AA" w:rsidRDefault="009700AA" w:rsidP="009700AA">
      <w:pPr>
        <w:pStyle w:val="Prrafodelista"/>
        <w:numPr>
          <w:ilvl w:val="0"/>
          <w:numId w:val="21"/>
        </w:numPr>
        <w:spacing w:before="120"/>
        <w:ind w:left="425" w:hanging="425"/>
        <w:jc w:val="both"/>
        <w:rPr>
          <w:szCs w:val="22"/>
        </w:rPr>
      </w:pPr>
      <w:r>
        <w:rPr>
          <w:szCs w:val="22"/>
        </w:rPr>
        <w:t>A</w:t>
      </w:r>
      <w:r w:rsidRPr="0037414F">
        <w:rPr>
          <w:szCs w:val="22"/>
        </w:rPr>
        <w:t xml:space="preserve">ssess the long-term effects of persistent contaminants </w:t>
      </w:r>
      <w:r>
        <w:rPr>
          <w:szCs w:val="22"/>
        </w:rPr>
        <w:t>on</w:t>
      </w:r>
      <w:r w:rsidRPr="0037414F">
        <w:rPr>
          <w:szCs w:val="22"/>
        </w:rPr>
        <w:t xml:space="preserve"> the organisms and food </w:t>
      </w:r>
      <w:r>
        <w:rPr>
          <w:szCs w:val="22"/>
        </w:rPr>
        <w:t>webs</w:t>
      </w:r>
      <w:r w:rsidRPr="0037414F">
        <w:rPr>
          <w:szCs w:val="22"/>
        </w:rPr>
        <w:t xml:space="preserve"> and to predict </w:t>
      </w:r>
      <w:r>
        <w:rPr>
          <w:szCs w:val="22"/>
        </w:rPr>
        <w:t>future trends, including</w:t>
      </w:r>
      <w:r w:rsidRPr="0037414F">
        <w:rPr>
          <w:szCs w:val="22"/>
        </w:rPr>
        <w:t xml:space="preserve"> responses of terrestrial and marine ecosystems to climate change and anthropogenic activity.</w:t>
      </w:r>
    </w:p>
    <w:p w14:paraId="69FE6683" w14:textId="77777777" w:rsidR="009700AA" w:rsidRDefault="009700AA" w:rsidP="009700AA">
      <w:pPr>
        <w:pStyle w:val="Prrafodelista"/>
        <w:numPr>
          <w:ilvl w:val="0"/>
          <w:numId w:val="21"/>
        </w:numPr>
        <w:spacing w:before="120" w:after="120"/>
        <w:ind w:left="426" w:hanging="426"/>
        <w:jc w:val="both"/>
        <w:rPr>
          <w:szCs w:val="22"/>
        </w:rPr>
      </w:pPr>
      <w:r>
        <w:rPr>
          <w:szCs w:val="22"/>
        </w:rPr>
        <w:t>Establish harmonised protocols and QA/QC (Quality Assurance/Quality Control) procedures for sampling, archiving, chemical analysis, sample and data storage and treatment.</w:t>
      </w:r>
    </w:p>
    <w:p w14:paraId="5FAFB1F7" w14:textId="77777777" w:rsidR="009700AA" w:rsidRDefault="009700AA" w:rsidP="009700AA">
      <w:pPr>
        <w:pStyle w:val="Prrafodelista"/>
        <w:numPr>
          <w:ilvl w:val="0"/>
          <w:numId w:val="21"/>
        </w:numPr>
        <w:spacing w:before="120"/>
        <w:ind w:left="425" w:hanging="425"/>
        <w:jc w:val="both"/>
        <w:rPr>
          <w:szCs w:val="22"/>
        </w:rPr>
      </w:pPr>
      <w:r>
        <w:rPr>
          <w:szCs w:val="22"/>
        </w:rPr>
        <w:t>Guarantee the quality of the analytical data, including intercalibration exercises and production/use of certified reference materials.</w:t>
      </w:r>
    </w:p>
    <w:p w14:paraId="724B2CAA" w14:textId="77777777" w:rsidR="009700AA" w:rsidRDefault="009700AA" w:rsidP="009700AA">
      <w:pPr>
        <w:pStyle w:val="Prrafodelista"/>
        <w:numPr>
          <w:ilvl w:val="0"/>
          <w:numId w:val="21"/>
        </w:numPr>
        <w:spacing w:before="120"/>
        <w:ind w:left="425" w:hanging="425"/>
        <w:jc w:val="both"/>
        <w:rPr>
          <w:szCs w:val="22"/>
        </w:rPr>
      </w:pPr>
      <w:r>
        <w:rPr>
          <w:szCs w:val="22"/>
        </w:rPr>
        <w:t>Investigate</w:t>
      </w:r>
      <w:r w:rsidRPr="007B4A1A">
        <w:rPr>
          <w:szCs w:val="22"/>
        </w:rPr>
        <w:t xml:space="preserve"> contaminants</w:t>
      </w:r>
      <w:r>
        <w:rPr>
          <w:szCs w:val="22"/>
        </w:rPr>
        <w:t xml:space="preserve"> of</w:t>
      </w:r>
      <w:r w:rsidRPr="00F606C1">
        <w:rPr>
          <w:szCs w:val="22"/>
        </w:rPr>
        <w:t xml:space="preserve"> </w:t>
      </w:r>
      <w:r w:rsidRPr="007B4A1A">
        <w:rPr>
          <w:szCs w:val="22"/>
        </w:rPr>
        <w:t>emerging</w:t>
      </w:r>
      <w:r>
        <w:rPr>
          <w:szCs w:val="22"/>
        </w:rPr>
        <w:t xml:space="preserve"> concern (CEC)</w:t>
      </w:r>
      <w:r w:rsidRPr="007B4A1A">
        <w:rPr>
          <w:szCs w:val="22"/>
        </w:rPr>
        <w:t xml:space="preserve">, </w:t>
      </w:r>
      <w:r>
        <w:rPr>
          <w:szCs w:val="22"/>
        </w:rPr>
        <w:t xml:space="preserve">with particular attention to </w:t>
      </w:r>
      <w:r w:rsidRPr="007B4A1A">
        <w:rPr>
          <w:szCs w:val="22"/>
        </w:rPr>
        <w:t>organic compounds</w:t>
      </w:r>
      <w:r>
        <w:rPr>
          <w:szCs w:val="22"/>
        </w:rPr>
        <w:t xml:space="preserve"> </w:t>
      </w:r>
      <w:r w:rsidRPr="00C24E37">
        <w:rPr>
          <w:szCs w:val="22"/>
        </w:rPr>
        <w:t>as there is little environmental exposure data for these compounds to date</w:t>
      </w:r>
      <w:r>
        <w:rPr>
          <w:szCs w:val="22"/>
        </w:rPr>
        <w:t>.</w:t>
      </w:r>
      <w:r w:rsidDel="00746EC6">
        <w:rPr>
          <w:szCs w:val="22"/>
        </w:rPr>
        <w:t xml:space="preserve"> </w:t>
      </w:r>
      <w:r>
        <w:rPr>
          <w:szCs w:val="22"/>
        </w:rPr>
        <w:t xml:space="preserve">Establishing </w:t>
      </w:r>
      <w:r w:rsidRPr="009A7A80">
        <w:rPr>
          <w:szCs w:val="22"/>
        </w:rPr>
        <w:t xml:space="preserve">the most sensitive and selective analytical methods is mandatory to identify these </w:t>
      </w:r>
      <w:r>
        <w:rPr>
          <w:szCs w:val="22"/>
        </w:rPr>
        <w:t>compounds</w:t>
      </w:r>
      <w:r w:rsidRPr="009A7A80">
        <w:rPr>
          <w:szCs w:val="22"/>
        </w:rPr>
        <w:t xml:space="preserve"> at trace and ultra-trace concentrations.</w:t>
      </w:r>
    </w:p>
    <w:p w14:paraId="48FD7117" w14:textId="77777777" w:rsidR="009700AA" w:rsidRDefault="009700AA" w:rsidP="009700AA">
      <w:pPr>
        <w:pStyle w:val="Prrafodelista"/>
        <w:numPr>
          <w:ilvl w:val="0"/>
          <w:numId w:val="21"/>
        </w:numPr>
        <w:spacing w:before="120"/>
        <w:ind w:left="425" w:hanging="425"/>
        <w:jc w:val="both"/>
        <w:rPr>
          <w:szCs w:val="22"/>
        </w:rPr>
      </w:pPr>
      <w:r w:rsidRPr="00F40A08">
        <w:rPr>
          <w:szCs w:val="22"/>
        </w:rPr>
        <w:t xml:space="preserve">Overcome the practical challenges of sampling in extreme environments and ensure that sufficient samples </w:t>
      </w:r>
      <w:r>
        <w:rPr>
          <w:szCs w:val="22"/>
        </w:rPr>
        <w:t xml:space="preserve">from the different </w:t>
      </w:r>
      <w:r w:rsidRPr="00F40A08">
        <w:rPr>
          <w:szCs w:val="22"/>
        </w:rPr>
        <w:t>available</w:t>
      </w:r>
      <w:r>
        <w:rPr>
          <w:szCs w:val="22"/>
        </w:rPr>
        <w:t xml:space="preserve"> ecosystem types</w:t>
      </w:r>
      <w:r w:rsidRPr="00F40A08">
        <w:rPr>
          <w:szCs w:val="22"/>
        </w:rPr>
        <w:t>.</w:t>
      </w:r>
    </w:p>
    <w:p w14:paraId="3DE85898" w14:textId="77777777" w:rsidR="009700AA" w:rsidRDefault="009700AA" w:rsidP="009700AA">
      <w:pPr>
        <w:pStyle w:val="Prrafodelista"/>
        <w:numPr>
          <w:ilvl w:val="0"/>
          <w:numId w:val="21"/>
        </w:numPr>
        <w:spacing w:before="120"/>
        <w:ind w:left="425" w:hanging="425"/>
        <w:jc w:val="both"/>
        <w:rPr>
          <w:szCs w:val="22"/>
        </w:rPr>
      </w:pPr>
      <w:r w:rsidRPr="00791842">
        <w:rPr>
          <w:szCs w:val="22"/>
        </w:rPr>
        <w:t xml:space="preserve">Allow </w:t>
      </w:r>
      <w:r>
        <w:rPr>
          <w:szCs w:val="22"/>
        </w:rPr>
        <w:t xml:space="preserve">next-generation scientists to perform </w:t>
      </w:r>
      <w:r w:rsidRPr="00791842">
        <w:rPr>
          <w:szCs w:val="22"/>
        </w:rPr>
        <w:t xml:space="preserve">retrospective </w:t>
      </w:r>
      <w:r>
        <w:rPr>
          <w:szCs w:val="22"/>
        </w:rPr>
        <w:t xml:space="preserve">analyses and </w:t>
      </w:r>
      <w:r w:rsidRPr="00791842">
        <w:rPr>
          <w:szCs w:val="22"/>
        </w:rPr>
        <w:t xml:space="preserve">monitoring of the chemical contamination in Antarctica, </w:t>
      </w:r>
      <w:r>
        <w:rPr>
          <w:szCs w:val="22"/>
        </w:rPr>
        <w:t>considering chemicals which could emerge in the future.</w:t>
      </w:r>
    </w:p>
    <w:p w14:paraId="159BA5E0" w14:textId="77777777" w:rsidR="009700AA" w:rsidRPr="00D55333" w:rsidRDefault="009700AA" w:rsidP="009700AA">
      <w:pPr>
        <w:pStyle w:val="Prrafodelista"/>
        <w:numPr>
          <w:ilvl w:val="0"/>
          <w:numId w:val="21"/>
        </w:numPr>
        <w:spacing w:before="120"/>
        <w:ind w:left="425" w:hanging="425"/>
        <w:jc w:val="both"/>
        <w:rPr>
          <w:szCs w:val="22"/>
        </w:rPr>
      </w:pPr>
      <w:r w:rsidRPr="00D55333">
        <w:rPr>
          <w:szCs w:val="22"/>
        </w:rPr>
        <w:t>Work with ESBs to establish archives and provide expertise to enable future researchers to conduct retrospective studies of Antarctica</w:t>
      </w:r>
    </w:p>
    <w:p w14:paraId="0F373002" w14:textId="77777777" w:rsidR="009700AA" w:rsidRPr="00981D7F" w:rsidRDefault="009700AA" w:rsidP="009700AA">
      <w:pPr>
        <w:pStyle w:val="Prrafodelista"/>
        <w:numPr>
          <w:ilvl w:val="0"/>
          <w:numId w:val="21"/>
        </w:numPr>
        <w:spacing w:before="120"/>
        <w:ind w:left="425" w:hanging="425"/>
        <w:jc w:val="both"/>
        <w:rPr>
          <w:szCs w:val="22"/>
        </w:rPr>
      </w:pPr>
      <w:r>
        <w:rPr>
          <w:szCs w:val="22"/>
        </w:rPr>
        <w:t xml:space="preserve">Make </w:t>
      </w:r>
      <w:r w:rsidRPr="00E961B1">
        <w:rPr>
          <w:szCs w:val="22"/>
        </w:rPr>
        <w:t xml:space="preserve">data and knowledge </w:t>
      </w:r>
      <w:r>
        <w:rPr>
          <w:szCs w:val="22"/>
        </w:rPr>
        <w:t>more easily</w:t>
      </w:r>
      <w:r w:rsidRPr="00E961B1">
        <w:rPr>
          <w:szCs w:val="22"/>
        </w:rPr>
        <w:t xml:space="preserve"> available</w:t>
      </w:r>
      <w:r>
        <w:rPr>
          <w:szCs w:val="22"/>
        </w:rPr>
        <w:t xml:space="preserve"> to improve </w:t>
      </w:r>
      <w:r w:rsidRPr="00DB431D">
        <w:rPr>
          <w:color w:val="000000" w:themeColor="text1"/>
          <w:szCs w:val="22"/>
          <w:lang w:val="en-US"/>
        </w:rPr>
        <w:t xml:space="preserve">the effective use of scientific information to </w:t>
      </w:r>
      <w:r>
        <w:rPr>
          <w:color w:val="000000" w:themeColor="text1"/>
          <w:szCs w:val="22"/>
          <w:lang w:val="en-US"/>
        </w:rPr>
        <w:t xml:space="preserve">facilitate </w:t>
      </w:r>
      <w:r w:rsidRPr="00DB431D">
        <w:rPr>
          <w:color w:val="000000" w:themeColor="text1"/>
          <w:szCs w:val="22"/>
          <w:lang w:val="en-US"/>
        </w:rPr>
        <w:t>decision-making</w:t>
      </w:r>
      <w:r>
        <w:rPr>
          <w:color w:val="000000" w:themeColor="text1"/>
          <w:szCs w:val="22"/>
          <w:lang w:val="en-US"/>
        </w:rPr>
        <w:t xml:space="preserve"> process.</w:t>
      </w:r>
    </w:p>
    <w:p w14:paraId="533987F4" w14:textId="77777777" w:rsidR="009700AA" w:rsidRPr="00746EC6" w:rsidRDefault="009700AA" w:rsidP="009700AA">
      <w:pPr>
        <w:pStyle w:val="Prrafodelista"/>
        <w:numPr>
          <w:ilvl w:val="0"/>
          <w:numId w:val="21"/>
        </w:numPr>
        <w:spacing w:before="120"/>
        <w:ind w:left="425" w:hanging="425"/>
        <w:jc w:val="both"/>
        <w:rPr>
          <w:szCs w:val="22"/>
        </w:rPr>
      </w:pPr>
      <w:r>
        <w:rPr>
          <w:szCs w:val="22"/>
        </w:rPr>
        <w:t xml:space="preserve">Inform the public, policy makers, regulators and media about the status of chemical contamination on the Antarctic environment and raise awareness of risks arising from chemical pollution.  </w:t>
      </w:r>
    </w:p>
    <w:p w14:paraId="61218391" w14:textId="77777777" w:rsidR="009700AA" w:rsidRDefault="009700AA" w:rsidP="009700AA">
      <w:pPr>
        <w:rPr>
          <w:b/>
          <w:color w:val="000000"/>
          <w:szCs w:val="22"/>
        </w:rPr>
      </w:pPr>
      <w:r>
        <w:rPr>
          <w:b/>
          <w:color w:val="000000"/>
          <w:szCs w:val="22"/>
        </w:rPr>
        <w:br w:type="page"/>
      </w:r>
    </w:p>
    <w:p w14:paraId="5DC1290A" w14:textId="77777777" w:rsidR="009700AA" w:rsidRPr="00BE652C" w:rsidRDefault="009700AA" w:rsidP="009700AA">
      <w:pPr>
        <w:pStyle w:val="ATSNormal"/>
        <w:spacing w:before="240"/>
        <w:jc w:val="both"/>
        <w:rPr>
          <w:rFonts w:ascii="Arial" w:hAnsi="Arial" w:cs="Arial"/>
          <w:b/>
          <w:i/>
          <w:color w:val="000000"/>
          <w:sz w:val="24"/>
          <w:lang w:eastAsia="en-US"/>
        </w:rPr>
      </w:pPr>
      <w:r w:rsidRPr="00BE652C">
        <w:rPr>
          <w:rFonts w:ascii="Arial" w:hAnsi="Arial" w:cs="Arial"/>
          <w:b/>
          <w:i/>
          <w:color w:val="000000"/>
          <w:sz w:val="24"/>
          <w:lang w:eastAsia="en-US"/>
        </w:rPr>
        <w:lastRenderedPageBreak/>
        <w:t>Recommendations</w:t>
      </w:r>
    </w:p>
    <w:p w14:paraId="56505CE4" w14:textId="77777777" w:rsidR="009700AA" w:rsidRDefault="009700AA" w:rsidP="009700AA">
      <w:pPr>
        <w:spacing w:after="120"/>
      </w:pPr>
      <w:r>
        <w:t>Germany, Italy, Australia, the United Kingdom, United States of America and Sweden</w:t>
      </w:r>
      <w:r w:rsidRPr="00903C77">
        <w:t xml:space="preserve"> recommended that the CEP:</w:t>
      </w:r>
    </w:p>
    <w:p w14:paraId="6408851F" w14:textId="77777777" w:rsidR="009700AA" w:rsidRDefault="009700AA" w:rsidP="009700AA">
      <w:pPr>
        <w:pStyle w:val="Prrafodelista"/>
        <w:numPr>
          <w:ilvl w:val="0"/>
          <w:numId w:val="23"/>
        </w:numPr>
        <w:spacing w:before="240"/>
        <w:ind w:left="357" w:hanging="357"/>
      </w:pPr>
      <w:r>
        <w:t xml:space="preserve">invite </w:t>
      </w:r>
      <w:r w:rsidRPr="000D5843">
        <w:t>SCAR, in particular SCARs ImPACT Action Group, to consider the outcomes of the Expert Workshop ‘Act now – Legacy and Emerging Contaminants in Polar Regions’ and the report ‘Emerging and legacy organic contaminants in the polar regions’</w:t>
      </w:r>
      <w:r>
        <w:t>;</w:t>
      </w:r>
    </w:p>
    <w:p w14:paraId="35E7DE7D" w14:textId="77777777" w:rsidR="009700AA" w:rsidRDefault="009700AA" w:rsidP="009700AA">
      <w:pPr>
        <w:pStyle w:val="Prrafodelista"/>
        <w:numPr>
          <w:ilvl w:val="0"/>
          <w:numId w:val="23"/>
        </w:numPr>
        <w:spacing w:before="120"/>
        <w:ind w:left="357" w:hanging="357"/>
      </w:pPr>
      <w:r>
        <w:t xml:space="preserve">request SCAR to </w:t>
      </w:r>
      <w:r w:rsidRPr="000D5843">
        <w:t xml:space="preserve">submit recommendations to CEP </w:t>
      </w:r>
      <w:r>
        <w:t>XXV in 2023</w:t>
      </w:r>
      <w:r w:rsidRPr="000D5843">
        <w:t xml:space="preserve"> on how </w:t>
      </w:r>
      <w:r>
        <w:t xml:space="preserve">a more </w:t>
      </w:r>
      <w:r w:rsidRPr="000D5843">
        <w:t xml:space="preserve">systematic </w:t>
      </w:r>
      <w:r>
        <w:t>sampling</w:t>
      </w:r>
      <w:r w:rsidRPr="000D5843">
        <w:t xml:space="preserve"> </w:t>
      </w:r>
      <w:r>
        <w:t xml:space="preserve">and data collection </w:t>
      </w:r>
      <w:r w:rsidRPr="000D5843">
        <w:t xml:space="preserve">of chemical contamination in </w:t>
      </w:r>
      <w:r>
        <w:t xml:space="preserve">the </w:t>
      </w:r>
      <w:r w:rsidRPr="000D5843">
        <w:t xml:space="preserve">Antarctic </w:t>
      </w:r>
      <w:r w:rsidRPr="00086438">
        <w:t>could be delivered, including by taking the objectives detail in this report into consideration;</w:t>
      </w:r>
      <w:r>
        <w:t xml:space="preserve"> </w:t>
      </w:r>
      <w:r w:rsidRPr="000D5843">
        <w:t>and</w:t>
      </w:r>
    </w:p>
    <w:p w14:paraId="1B4F2E4A" w14:textId="77777777" w:rsidR="009700AA" w:rsidRPr="000D5843" w:rsidRDefault="009700AA" w:rsidP="009700AA">
      <w:pPr>
        <w:pStyle w:val="Prrafodelista"/>
        <w:numPr>
          <w:ilvl w:val="0"/>
          <w:numId w:val="23"/>
        </w:numPr>
        <w:spacing w:before="120"/>
        <w:ind w:left="357" w:hanging="357"/>
      </w:pPr>
      <w:r w:rsidRPr="000D5843">
        <w:t>encourage</w:t>
      </w:r>
      <w:r>
        <w:t>s</w:t>
      </w:r>
      <w:r w:rsidRPr="000D5843">
        <w:t xml:space="preserve"> Parties</w:t>
      </w:r>
      <w:r>
        <w:t xml:space="preserve"> to intensify cooperation between all stakeholders, e.g. National Antarctic Programs, National Competent authorities and Environmental Specimen Banks,</w:t>
      </w:r>
      <w:r w:rsidRPr="000D5843">
        <w:t xml:space="preserve"> to initiate a more structured sample and data collection of environmental contamination in the Antarctic</w:t>
      </w:r>
      <w:r>
        <w:t xml:space="preserve">. </w:t>
      </w:r>
    </w:p>
    <w:p w14:paraId="47AF8E4C" w14:textId="77777777" w:rsidR="009700AA" w:rsidRPr="00602277" w:rsidRDefault="009700AA" w:rsidP="009700AA">
      <w:pPr>
        <w:pStyle w:val="ATSNormal"/>
        <w:jc w:val="both"/>
        <w:rPr>
          <w:szCs w:val="22"/>
        </w:rPr>
      </w:pPr>
    </w:p>
    <w:p w14:paraId="34F2C30A" w14:textId="77777777" w:rsidR="009700AA" w:rsidRPr="00BE652C" w:rsidRDefault="009700AA" w:rsidP="009700AA">
      <w:pPr>
        <w:pStyle w:val="ATSNormal"/>
        <w:spacing w:before="240"/>
        <w:jc w:val="both"/>
        <w:rPr>
          <w:rFonts w:ascii="Arial" w:hAnsi="Arial" w:cs="Arial"/>
          <w:b/>
          <w:i/>
          <w:color w:val="000000"/>
          <w:sz w:val="24"/>
          <w:lang w:eastAsia="en-US"/>
        </w:rPr>
      </w:pPr>
      <w:r w:rsidRPr="00BE652C">
        <w:rPr>
          <w:rFonts w:ascii="Arial" w:hAnsi="Arial" w:cs="Arial"/>
          <w:b/>
          <w:i/>
          <w:color w:val="000000"/>
          <w:sz w:val="24"/>
          <w:lang w:eastAsia="en-US"/>
        </w:rPr>
        <w:t>References</w:t>
      </w:r>
    </w:p>
    <w:p w14:paraId="603130C5" w14:textId="77777777" w:rsidR="009700AA" w:rsidRPr="00BE652C" w:rsidRDefault="009700AA" w:rsidP="009700AA">
      <w:pPr>
        <w:pStyle w:val="ATSNormal"/>
        <w:spacing w:after="0"/>
        <w:jc w:val="both"/>
        <w:rPr>
          <w:i/>
          <w:szCs w:val="22"/>
          <w:lang w:val="en-US"/>
        </w:rPr>
      </w:pPr>
      <w:r w:rsidRPr="00BE652C">
        <w:rPr>
          <w:i/>
          <w:szCs w:val="22"/>
          <w:lang w:val="en-US"/>
        </w:rPr>
        <w:t>ATCM XXXI IP097, Antarctic Persistent Organic Pollutants Notes on a Request from the Stockholm Convention.</w:t>
      </w:r>
    </w:p>
    <w:p w14:paraId="5A28E31C" w14:textId="77777777" w:rsidR="009700AA" w:rsidRPr="00BE652C" w:rsidRDefault="009700AA" w:rsidP="009700AA">
      <w:pPr>
        <w:pStyle w:val="ATSNormal"/>
        <w:spacing w:after="0"/>
        <w:jc w:val="both"/>
        <w:rPr>
          <w:i/>
          <w:szCs w:val="22"/>
          <w:lang w:val="en-US"/>
        </w:rPr>
      </w:pPr>
      <w:r w:rsidRPr="00BE652C">
        <w:rPr>
          <w:i/>
          <w:szCs w:val="22"/>
          <w:lang w:val="en-US"/>
        </w:rPr>
        <w:t xml:space="preserve">ATCM XXXII IP069, SCAR </w:t>
      </w:r>
      <w:bookmarkStart w:id="11" w:name="_Hlk66457925"/>
      <w:r w:rsidRPr="00BE652C">
        <w:rPr>
          <w:i/>
          <w:szCs w:val="22"/>
          <w:lang w:val="en-US"/>
        </w:rPr>
        <w:t xml:space="preserve">report on </w:t>
      </w:r>
      <w:r w:rsidRPr="00BE652C">
        <w:rPr>
          <w:i/>
          <w:szCs w:val="22"/>
        </w:rPr>
        <w:t>Persistent Organic Pollutants in the Antarctic: An Upd</w:t>
      </w:r>
      <w:bookmarkEnd w:id="11"/>
      <w:r w:rsidRPr="00BE652C">
        <w:rPr>
          <w:i/>
          <w:szCs w:val="22"/>
        </w:rPr>
        <w:t>ate</w:t>
      </w:r>
    </w:p>
    <w:p w14:paraId="6D9D9870" w14:textId="77777777" w:rsidR="009700AA" w:rsidRPr="00BE652C" w:rsidRDefault="009700AA" w:rsidP="009700AA">
      <w:pPr>
        <w:pStyle w:val="ATSNormal"/>
        <w:spacing w:after="0"/>
        <w:jc w:val="both"/>
        <w:rPr>
          <w:i/>
          <w:szCs w:val="22"/>
        </w:rPr>
      </w:pPr>
      <w:r w:rsidRPr="00BE652C">
        <w:rPr>
          <w:i/>
          <w:szCs w:val="22"/>
        </w:rPr>
        <w:t>ATCM XXXVII IP008, Persistent organic pollutants (POPs) in Admiralty Bay - Antarctic Specially Managed Area (ASMA 1): Bioaccumulation and temporal trend.</w:t>
      </w:r>
    </w:p>
    <w:p w14:paraId="51EDF6C6" w14:textId="77777777" w:rsidR="009700AA" w:rsidRPr="00BE652C" w:rsidRDefault="009700AA" w:rsidP="009700AA">
      <w:pPr>
        <w:pStyle w:val="ATSNormal"/>
        <w:spacing w:after="0"/>
        <w:jc w:val="both"/>
        <w:rPr>
          <w:i/>
          <w:szCs w:val="22"/>
        </w:rPr>
      </w:pPr>
      <w:r w:rsidRPr="00BE652C">
        <w:rPr>
          <w:i/>
          <w:szCs w:val="22"/>
        </w:rPr>
        <w:t>ATCM XL IP022, Trace element contamination and availability within the Antarctic Treaty Area.</w:t>
      </w:r>
    </w:p>
    <w:p w14:paraId="3120EDF6" w14:textId="77777777" w:rsidR="009700AA" w:rsidRPr="00BE652C" w:rsidRDefault="009700AA" w:rsidP="009700AA">
      <w:pPr>
        <w:pStyle w:val="ATSNormal"/>
        <w:spacing w:after="0"/>
        <w:jc w:val="both"/>
        <w:rPr>
          <w:i/>
          <w:szCs w:val="22"/>
        </w:rPr>
      </w:pPr>
      <w:r w:rsidRPr="00BE652C">
        <w:rPr>
          <w:i/>
          <w:szCs w:val="22"/>
        </w:rPr>
        <w:t>ATCM XLIII IP021, A step towards a structured sample and data collection of environmental contamination in the Antarctic.</w:t>
      </w:r>
    </w:p>
    <w:p w14:paraId="5755BCA6" w14:textId="77777777" w:rsidR="009700AA" w:rsidRPr="00BE652C" w:rsidRDefault="009700AA" w:rsidP="009700AA">
      <w:pPr>
        <w:pStyle w:val="ATSNormal"/>
        <w:spacing w:after="0"/>
        <w:jc w:val="both"/>
        <w:rPr>
          <w:i/>
          <w:szCs w:val="22"/>
        </w:rPr>
      </w:pPr>
      <w:r w:rsidRPr="00BE652C">
        <w:rPr>
          <w:i/>
          <w:szCs w:val="22"/>
        </w:rPr>
        <w:t xml:space="preserve">ATCM XLIII IP137, Persistent Organic Chemicals in Antarctica: A horizon scan of priority challenges </w:t>
      </w:r>
    </w:p>
    <w:p w14:paraId="0F3314AF" w14:textId="77777777" w:rsidR="009700AA" w:rsidRPr="00BE652C" w:rsidRDefault="009700AA" w:rsidP="009700AA">
      <w:pPr>
        <w:pStyle w:val="ATSNormal"/>
        <w:spacing w:after="0"/>
        <w:jc w:val="both"/>
        <w:rPr>
          <w:i/>
          <w:szCs w:val="22"/>
          <w:lang w:val="de-DE"/>
        </w:rPr>
      </w:pPr>
      <w:r w:rsidRPr="00BE652C">
        <w:rPr>
          <w:i/>
          <w:szCs w:val="22"/>
          <w:lang w:val="de-DE"/>
        </w:rPr>
        <w:t xml:space="preserve">Dreyer A., Neugebauer F., Lohmann N., Rüdel H., Teubner D., Grotti M., Rauert C., Koschorreck J., 2019. </w:t>
      </w:r>
      <w:r w:rsidRPr="00BE652C">
        <w:rPr>
          <w:i/>
          <w:szCs w:val="22"/>
          <w:lang w:val="en-US"/>
        </w:rPr>
        <w:t xml:space="preserve">Recent findings of halogenated flame retardants (HFR) in the German and Polar environment. </w:t>
      </w:r>
      <w:r w:rsidRPr="00BE652C">
        <w:rPr>
          <w:i/>
          <w:szCs w:val="22"/>
          <w:lang w:val="de-DE"/>
        </w:rPr>
        <w:t>Environmental Pollution 253: 850-863.</w:t>
      </w:r>
    </w:p>
    <w:p w14:paraId="35AD3206" w14:textId="77777777" w:rsidR="009700AA" w:rsidRPr="00BE652C" w:rsidRDefault="009700AA" w:rsidP="009700AA">
      <w:pPr>
        <w:pStyle w:val="ATSNormal"/>
        <w:spacing w:after="0"/>
        <w:jc w:val="both"/>
        <w:rPr>
          <w:i/>
          <w:szCs w:val="22"/>
        </w:rPr>
      </w:pPr>
      <w:r w:rsidRPr="00BE652C">
        <w:rPr>
          <w:i/>
          <w:szCs w:val="22"/>
          <w:lang w:val="de-DE"/>
        </w:rPr>
        <w:t xml:space="preserve">Gandraß J., Küster A., Ebinghaus R., Herata H., Xie Z., Koschorreck J. (2022). </w:t>
      </w:r>
      <w:r w:rsidRPr="00BE652C">
        <w:rPr>
          <w:i/>
          <w:szCs w:val="22"/>
        </w:rPr>
        <w:t>Act now – Legacy and Emerging Contaminants in Polar Regions – Workshop Report.</w:t>
      </w:r>
    </w:p>
    <w:p w14:paraId="5064EFB6" w14:textId="77777777" w:rsidR="009700AA" w:rsidRPr="00BE652C" w:rsidRDefault="009700AA" w:rsidP="009700AA">
      <w:pPr>
        <w:pStyle w:val="ATSNormal"/>
        <w:spacing w:after="0"/>
        <w:jc w:val="both"/>
        <w:rPr>
          <w:bCs/>
          <w:i/>
          <w:szCs w:val="22"/>
        </w:rPr>
      </w:pPr>
      <w:r w:rsidRPr="00BE652C">
        <w:rPr>
          <w:i/>
          <w:szCs w:val="22"/>
          <w:lang w:val="de-DE"/>
        </w:rPr>
        <w:t xml:space="preserve">Küster A., Becker P.R., Kucklick J.R., Pugh R.S., Koschorreck J. (2014). </w:t>
      </w:r>
      <w:r w:rsidRPr="00BE652C">
        <w:rPr>
          <w:bCs/>
          <w:i/>
          <w:szCs w:val="22"/>
          <w:lang w:val="en-US"/>
        </w:rPr>
        <w:t xml:space="preserve">The international environmental specimen banks - let’s get visible. </w:t>
      </w:r>
      <w:r w:rsidRPr="00BE652C">
        <w:rPr>
          <w:bCs/>
          <w:i/>
          <w:iCs/>
          <w:szCs w:val="22"/>
        </w:rPr>
        <w:t>Environmental Science and Pollution Research</w:t>
      </w:r>
      <w:r w:rsidRPr="00BE652C">
        <w:rPr>
          <w:bCs/>
          <w:i/>
          <w:szCs w:val="22"/>
        </w:rPr>
        <w:t xml:space="preserve"> 22: 1559–1561.</w:t>
      </w:r>
    </w:p>
    <w:p w14:paraId="4B4D09A9" w14:textId="77777777" w:rsidR="009700AA" w:rsidRPr="00BE652C" w:rsidRDefault="009700AA" w:rsidP="009700AA">
      <w:pPr>
        <w:pStyle w:val="ATSNormal"/>
        <w:spacing w:after="0"/>
        <w:jc w:val="both"/>
        <w:rPr>
          <w:bCs/>
          <w:i/>
          <w:szCs w:val="22"/>
        </w:rPr>
      </w:pPr>
      <w:r w:rsidRPr="00BE652C">
        <w:rPr>
          <w:bCs/>
          <w:i/>
          <w:szCs w:val="22"/>
        </w:rPr>
        <w:t>Soggia F., Abelmoschi M.L., Dalla Riva S., De Pellegrini R., Frache R., Antarctic Environmental Specimen Bank-First 5 Years of Experience. International Journal of Environmental Analytical Chemistry 79: 363-378.</w:t>
      </w:r>
    </w:p>
    <w:p w14:paraId="65786B7D" w14:textId="77777777" w:rsidR="009700AA" w:rsidRPr="00BE652C" w:rsidRDefault="009700AA" w:rsidP="009700AA">
      <w:pPr>
        <w:pStyle w:val="ATSNormal"/>
        <w:spacing w:after="0"/>
        <w:jc w:val="both"/>
        <w:rPr>
          <w:i/>
          <w:szCs w:val="22"/>
        </w:rPr>
      </w:pPr>
      <w:r w:rsidRPr="00BE652C">
        <w:rPr>
          <w:i/>
          <w:szCs w:val="22"/>
        </w:rPr>
        <w:t>Vecchiato M., Gregoris E., Barbaro E., Barbante C., Piazza R., Gambaro G., 2017. Fragrances in the seawater of Terra Nova Bay, Antarctica. Science of The Total Environment 593–594: 375-379.</w:t>
      </w:r>
    </w:p>
    <w:p w14:paraId="57C0851B" w14:textId="3E749733" w:rsidR="009700AA" w:rsidRDefault="009700AA" w:rsidP="009700AA">
      <w:pPr>
        <w:spacing w:before="120"/>
        <w:jc w:val="both"/>
        <w:rPr>
          <w:i/>
        </w:rPr>
      </w:pPr>
      <w:r w:rsidRPr="00BE652C">
        <w:rPr>
          <w:i/>
        </w:rPr>
        <w:t xml:space="preserve">Waller C.L., Griffiths H.J., Waluda C.M., Thorpe S.E., Loaiza I., Moreno B., Pacherres C.O., Hughes K.A., 2017. </w:t>
      </w:r>
      <w:r w:rsidRPr="00BE652C">
        <w:rPr>
          <w:i/>
          <w:iCs/>
          <w:lang w:val="en-US"/>
        </w:rPr>
        <w:t>Microplastics in the Antarctic marine system: An emerging area of research.</w:t>
      </w:r>
      <w:r w:rsidRPr="00BE652C">
        <w:rPr>
          <w:i/>
          <w:lang w:val="en-US"/>
        </w:rPr>
        <w:t xml:space="preserve"> </w:t>
      </w:r>
      <w:r w:rsidRPr="00CC325B">
        <w:rPr>
          <w:i/>
        </w:rPr>
        <w:t>Science of The Total Environment 598: 220-227.</w:t>
      </w:r>
    </w:p>
    <w:p w14:paraId="19D94AFC" w14:textId="77777777" w:rsidR="009700AA" w:rsidRPr="00CC325B" w:rsidRDefault="009700AA" w:rsidP="009700AA">
      <w:pPr>
        <w:spacing w:before="120"/>
        <w:jc w:val="both"/>
        <w:rPr>
          <w:i/>
        </w:rPr>
      </w:pPr>
    </w:p>
    <w:p w14:paraId="69493A77" w14:textId="0FBF4FD4" w:rsidR="009700AA" w:rsidRDefault="009700AA" w:rsidP="009700AA">
      <w:r w:rsidRPr="00062CED">
        <w:rPr>
          <w:i/>
        </w:rPr>
        <w:t>Xie, Z., Zhang, P., Wu, Z., Zhang, S., Wei, L., Mi, L., Kuester, A., Gandrass, J., Ebinghaus, R., Yang, R., Wang, Z., Mi, W. Legacy and emerging organic contaminants in the polar regions. Science of The Total Environment, 2022, 155376</w:t>
      </w:r>
      <w:r>
        <w:rPr>
          <w:i/>
        </w:rPr>
        <w:t>,</w:t>
      </w:r>
      <w:r w:rsidRPr="00062CED">
        <w:rPr>
          <w:i/>
        </w:rPr>
        <w:t xml:space="preserve"> </w:t>
      </w:r>
      <w:bookmarkStart w:id="12" w:name="_Hlk101943981"/>
      <w:r w:rsidRPr="00062CED">
        <w:rPr>
          <w:i/>
        </w:rPr>
        <w:fldChar w:fldCharType="begin"/>
      </w:r>
      <w:r w:rsidRPr="00062CED">
        <w:rPr>
          <w:i/>
        </w:rPr>
        <w:instrText xml:space="preserve"> HYPERLINK "https://doi.org/10.1016/j.scitotenv.2022.155376" </w:instrText>
      </w:r>
      <w:r w:rsidRPr="00062CED">
        <w:rPr>
          <w:i/>
        </w:rPr>
        <w:fldChar w:fldCharType="separate"/>
      </w:r>
      <w:r w:rsidRPr="00062CED">
        <w:rPr>
          <w:i/>
        </w:rPr>
        <w:t>https://doi.org/10.1016/j.scitotenv.2022.155376</w:t>
      </w:r>
      <w:r w:rsidRPr="00062CED">
        <w:rPr>
          <w:i/>
        </w:rPr>
        <w:fldChar w:fldCharType="end"/>
      </w:r>
      <w:bookmarkEnd w:id="12"/>
      <w:r>
        <w:rPr>
          <w:i/>
        </w:rPr>
        <w:t>.</w:t>
      </w:r>
    </w:p>
    <w:sectPr w:rsidR="009700AA" w:rsidSect="00283F0F">
      <w:headerReference w:type="default" r:id="rId13"/>
      <w:footerReference w:type="default" r:id="rId14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D4FD" w14:textId="77777777" w:rsidR="00000000" w:rsidRDefault="009700AA">
      <w:r>
        <w:separator/>
      </w:r>
    </w:p>
  </w:endnote>
  <w:endnote w:type="continuationSeparator" w:id="0">
    <w:p w14:paraId="3B21AE94" w14:textId="77777777" w:rsidR="00000000" w:rsidRDefault="0097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4222" w14:textId="77777777" w:rsidR="00FA0B9F" w:rsidRDefault="009700A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1A09F1F6" w14:textId="77777777" w:rsidR="00FA0B9F" w:rsidRDefault="009700AA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05ED" w14:textId="77777777" w:rsidR="00FA0B9F" w:rsidRDefault="009700A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F3C402C" w14:textId="7C3F8769" w:rsidR="00FA0B9F" w:rsidRDefault="009700AA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99E3" w14:textId="77777777" w:rsidR="00E311C9" w:rsidRDefault="009700A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52456A3D" w14:textId="77777777" w:rsidR="00E311C9" w:rsidRDefault="009700AA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03519" w14:textId="77777777" w:rsidR="00000000" w:rsidRDefault="009700AA">
      <w:r>
        <w:separator/>
      </w:r>
    </w:p>
  </w:footnote>
  <w:footnote w:type="continuationSeparator" w:id="0">
    <w:p w14:paraId="2C3C86E2" w14:textId="77777777" w:rsidR="00000000" w:rsidRDefault="009700AA">
      <w:r>
        <w:continuationSeparator/>
      </w:r>
    </w:p>
  </w:footnote>
  <w:footnote w:id="1">
    <w:p w14:paraId="39662486" w14:textId="77777777" w:rsidR="009700AA" w:rsidRPr="00677E2B" w:rsidRDefault="009700AA" w:rsidP="009700AA">
      <w:pPr>
        <w:pStyle w:val="Textonotapie"/>
      </w:pPr>
      <w:r w:rsidRPr="00677E2B">
        <w:rPr>
          <w:rStyle w:val="Refdenotaalpie"/>
        </w:rPr>
        <w:footnoteRef/>
      </w:r>
      <w:r w:rsidRPr="00677E2B">
        <w:t xml:space="preserve"> </w:t>
      </w:r>
      <w:hyperlink r:id="rId1" w:history="1">
        <w:r w:rsidRPr="00A30982">
          <w:rPr>
            <w:rStyle w:val="Hipervnculo"/>
          </w:rPr>
          <w:t>https://www.umweltbundesamt.de/en/node/94089%20</w:t>
        </w:r>
      </w:hyperlink>
      <w:r>
        <w:t xml:space="preserve"> </w:t>
      </w:r>
      <w:r w:rsidRPr="00677E2B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F83909" w14:paraId="0A77FB7B" w14:textId="77777777" w:rsidTr="00490760">
      <w:trPr>
        <w:trHeight w:val="344"/>
        <w:jc w:val="center"/>
      </w:trPr>
      <w:tc>
        <w:tcPr>
          <w:tcW w:w="5495" w:type="dxa"/>
        </w:tcPr>
        <w:p w14:paraId="474DAF4A" w14:textId="77777777" w:rsidR="00DB7C09" w:rsidRDefault="009700AA" w:rsidP="00F968D4"/>
      </w:tc>
      <w:tc>
        <w:tcPr>
          <w:tcW w:w="4253" w:type="dxa"/>
          <w:gridSpan w:val="2"/>
        </w:tcPr>
        <w:p w14:paraId="0A4A8DC4" w14:textId="77777777" w:rsidR="00DB7C09" w:rsidRPr="00BD47E4" w:rsidRDefault="009700AA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WP</w:t>
          </w:r>
          <w:bookmarkEnd w:id="2"/>
        </w:p>
      </w:tc>
      <w:tc>
        <w:tcPr>
          <w:tcW w:w="1524" w:type="dxa"/>
          <w:gridSpan w:val="2"/>
        </w:tcPr>
        <w:p w14:paraId="692D508C" w14:textId="77777777" w:rsidR="00DB7C09" w:rsidRPr="00BD47E4" w:rsidRDefault="009700AA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11 rev. 1</w:t>
          </w:r>
          <w:bookmarkEnd w:id="3"/>
        </w:p>
      </w:tc>
    </w:tr>
    <w:tr w:rsidR="00F83909" w14:paraId="0358C8BE" w14:textId="77777777" w:rsidTr="00490760">
      <w:trPr>
        <w:trHeight w:val="2165"/>
        <w:jc w:val="center"/>
      </w:trPr>
      <w:tc>
        <w:tcPr>
          <w:tcW w:w="5495" w:type="dxa"/>
        </w:tcPr>
        <w:p w14:paraId="37F75163" w14:textId="77777777" w:rsidR="00490760" w:rsidRPr="00EE4D48" w:rsidRDefault="009700AA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5D58396" wp14:editId="7B2607BA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6792727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25FA032E" w14:textId="77777777" w:rsidR="00490760" w:rsidRPr="00FE5146" w:rsidRDefault="009700AA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F83909" w14:paraId="5C76936C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019CA03" w14:textId="77777777" w:rsidR="00BD47E4" w:rsidRDefault="009700AA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78679646" w14:textId="77777777" w:rsidR="00BD47E4" w:rsidRDefault="009700AA" w:rsidP="002C30DA">
          <w:pPr>
            <w:jc w:val="right"/>
          </w:pPr>
          <w:bookmarkStart w:id="4" w:name="agenda"/>
          <w:r>
            <w:t>CEP 11</w:t>
          </w:r>
          <w:bookmarkEnd w:id="4"/>
        </w:p>
      </w:tc>
      <w:tc>
        <w:tcPr>
          <w:tcW w:w="390" w:type="dxa"/>
        </w:tcPr>
        <w:p w14:paraId="38FCFCAF" w14:textId="77777777" w:rsidR="00BD47E4" w:rsidRDefault="009700AA" w:rsidP="00387A65">
          <w:pPr>
            <w:jc w:val="right"/>
          </w:pPr>
        </w:p>
      </w:tc>
    </w:tr>
    <w:tr w:rsidR="00F83909" w14:paraId="45097F33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4C028BDF" w14:textId="77777777" w:rsidR="00BD47E4" w:rsidRDefault="009700AA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18BCCA99" w14:textId="77777777" w:rsidR="00BD47E4" w:rsidRDefault="009700AA" w:rsidP="002C30DA">
          <w:pPr>
            <w:jc w:val="right"/>
          </w:pPr>
          <w:bookmarkStart w:id="5" w:name="party"/>
          <w:r>
            <w:t>Germany, Italy, Australia, United Kingdom, United States, Sweden</w:t>
          </w:r>
          <w:bookmarkEnd w:id="5"/>
        </w:p>
      </w:tc>
      <w:tc>
        <w:tcPr>
          <w:tcW w:w="390" w:type="dxa"/>
        </w:tcPr>
        <w:p w14:paraId="1DB5083B" w14:textId="77777777" w:rsidR="00BD47E4" w:rsidRDefault="009700AA" w:rsidP="00387A65">
          <w:pPr>
            <w:jc w:val="right"/>
          </w:pPr>
        </w:p>
      </w:tc>
    </w:tr>
    <w:tr w:rsidR="00F83909" w14:paraId="32F0D670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861911C" w14:textId="77777777" w:rsidR="00BD47E4" w:rsidRDefault="009700AA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7208A0E2" w14:textId="77777777" w:rsidR="00BD47E4" w:rsidRDefault="009700AA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5010E367" w14:textId="77777777" w:rsidR="00BD47E4" w:rsidRDefault="009700AA" w:rsidP="00387A65">
          <w:pPr>
            <w:jc w:val="right"/>
          </w:pPr>
        </w:p>
      </w:tc>
    </w:tr>
    <w:tr w:rsidR="00F83909" w14:paraId="1774D7CE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5C5F4F5E" w14:textId="77777777" w:rsidR="0097629D" w:rsidRDefault="009700AA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4F74AA54" w14:textId="77777777" w:rsidR="0097629D" w:rsidRDefault="009700AA" w:rsidP="0097629D">
          <w:pPr>
            <w:jc w:val="right"/>
          </w:pPr>
          <w:bookmarkStart w:id="7" w:name="date_submission"/>
          <w:r>
            <w:t>27/4/2022</w:t>
          </w:r>
          <w:bookmarkEnd w:id="7"/>
        </w:p>
      </w:tc>
      <w:tc>
        <w:tcPr>
          <w:tcW w:w="390" w:type="dxa"/>
        </w:tcPr>
        <w:p w14:paraId="49B748E8" w14:textId="77777777" w:rsidR="0097629D" w:rsidRDefault="009700AA" w:rsidP="00387A65">
          <w:pPr>
            <w:jc w:val="right"/>
          </w:pPr>
        </w:p>
      </w:tc>
    </w:tr>
  </w:tbl>
  <w:p w14:paraId="7887C669" w14:textId="77777777" w:rsidR="00AE5DD0" w:rsidRDefault="009700A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F83909" w14:paraId="1526FFB6" w14:textId="77777777">
      <w:trPr>
        <w:trHeight w:val="354"/>
        <w:jc w:val="center"/>
      </w:trPr>
      <w:tc>
        <w:tcPr>
          <w:tcW w:w="9694" w:type="dxa"/>
        </w:tcPr>
        <w:p w14:paraId="03129A0A" w14:textId="08ECCE2A" w:rsidR="00AE5DD0" w:rsidRPr="00BD47E4" w:rsidRDefault="009700AA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WP</w:t>
          </w:r>
        </w:p>
      </w:tc>
      <w:tc>
        <w:tcPr>
          <w:tcW w:w="1332" w:type="dxa"/>
        </w:tcPr>
        <w:p w14:paraId="7BAC1ED0" w14:textId="1E393DB3" w:rsidR="00AE5DD0" w:rsidRPr="00BD47E4" w:rsidRDefault="009700AA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11 rev.1</w:t>
          </w:r>
        </w:p>
      </w:tc>
    </w:tr>
  </w:tbl>
  <w:p w14:paraId="142CB420" w14:textId="77777777" w:rsidR="00AE5DD0" w:rsidRDefault="009700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FDB66FB"/>
    <w:multiLevelType w:val="hybridMultilevel"/>
    <w:tmpl w:val="FD80C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63725"/>
    <w:multiLevelType w:val="hybridMultilevel"/>
    <w:tmpl w:val="33047F24"/>
    <w:lvl w:ilvl="0" w:tplc="708883A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041F"/>
    <w:multiLevelType w:val="hybridMultilevel"/>
    <w:tmpl w:val="C700CB6A"/>
    <w:lvl w:ilvl="0" w:tplc="2BEAFD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577EA"/>
    <w:multiLevelType w:val="hybridMultilevel"/>
    <w:tmpl w:val="21A63D98"/>
    <w:lvl w:ilvl="0" w:tplc="985A5FB6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05E40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BE3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2076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1474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3AC5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C80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4C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D4D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76CB0"/>
    <w:multiLevelType w:val="hybridMultilevel"/>
    <w:tmpl w:val="CF302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35C15"/>
    <w:multiLevelType w:val="hybridMultilevel"/>
    <w:tmpl w:val="A8A2E45C"/>
    <w:lvl w:ilvl="0" w:tplc="39807282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F42BB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60B6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E68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246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3E83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245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67C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253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8E4FBF"/>
    <w:multiLevelType w:val="hybridMultilevel"/>
    <w:tmpl w:val="1D2801CA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42F3AFA"/>
    <w:multiLevelType w:val="hybridMultilevel"/>
    <w:tmpl w:val="9DF09BE6"/>
    <w:lvl w:ilvl="0" w:tplc="55261FA2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107CC398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0F42B7FA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7D64D4F4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1BAE41A0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2CE47B6E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99C21B14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5566C06A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4F700DF4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9" w15:restartNumberingAfterBreak="0">
    <w:nsid w:val="7212657C"/>
    <w:multiLevelType w:val="hybridMultilevel"/>
    <w:tmpl w:val="0A8E2A84"/>
    <w:lvl w:ilvl="0" w:tplc="D88E6194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D994B2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09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867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C05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7C5E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405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A404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4AE3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3D2161"/>
    <w:multiLevelType w:val="hybridMultilevel"/>
    <w:tmpl w:val="B0868D9E"/>
    <w:lvl w:ilvl="0" w:tplc="EC46EF1C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8EE671EC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EEF6FD62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4F5CF5C0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7C30D7EC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33B4F4A2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879CDA4A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E98098CA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1700AA98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21" w15:restartNumberingAfterBreak="0">
    <w:nsid w:val="7C866FC0"/>
    <w:multiLevelType w:val="hybridMultilevel"/>
    <w:tmpl w:val="57EA2900"/>
    <w:lvl w:ilvl="0" w:tplc="6422EC2E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103E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9AD0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F6A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682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6807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1A3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44B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30FD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1724202">
    <w:abstractNumId w:val="9"/>
  </w:num>
  <w:num w:numId="2" w16cid:durableId="1329408802">
    <w:abstractNumId w:val="7"/>
  </w:num>
  <w:num w:numId="3" w16cid:durableId="1397976443">
    <w:abstractNumId w:val="6"/>
  </w:num>
  <w:num w:numId="4" w16cid:durableId="1741555922">
    <w:abstractNumId w:val="5"/>
  </w:num>
  <w:num w:numId="5" w16cid:durableId="1306469767">
    <w:abstractNumId w:val="4"/>
  </w:num>
  <w:num w:numId="6" w16cid:durableId="933518216">
    <w:abstractNumId w:val="8"/>
  </w:num>
  <w:num w:numId="7" w16cid:durableId="1918132035">
    <w:abstractNumId w:val="3"/>
  </w:num>
  <w:num w:numId="8" w16cid:durableId="1182861417">
    <w:abstractNumId w:val="2"/>
  </w:num>
  <w:num w:numId="9" w16cid:durableId="1872915847">
    <w:abstractNumId w:val="1"/>
  </w:num>
  <w:num w:numId="10" w16cid:durableId="379013602">
    <w:abstractNumId w:val="0"/>
  </w:num>
  <w:num w:numId="11" w16cid:durableId="984159912">
    <w:abstractNumId w:val="14"/>
  </w:num>
  <w:num w:numId="12" w16cid:durableId="388580985">
    <w:abstractNumId w:val="20"/>
  </w:num>
  <w:num w:numId="13" w16cid:durableId="71856269">
    <w:abstractNumId w:val="19"/>
  </w:num>
  <w:num w:numId="14" w16cid:durableId="59400857">
    <w:abstractNumId w:val="16"/>
  </w:num>
  <w:num w:numId="15" w16cid:durableId="1441215819">
    <w:abstractNumId w:val="18"/>
  </w:num>
  <w:num w:numId="16" w16cid:durableId="1951619179">
    <w:abstractNumId w:val="10"/>
  </w:num>
  <w:num w:numId="17" w16cid:durableId="1114911052">
    <w:abstractNumId w:val="14"/>
  </w:num>
  <w:num w:numId="18" w16cid:durableId="1635483009">
    <w:abstractNumId w:val="20"/>
  </w:num>
  <w:num w:numId="19" w16cid:durableId="557084618">
    <w:abstractNumId w:val="19"/>
  </w:num>
  <w:num w:numId="20" w16cid:durableId="555044007">
    <w:abstractNumId w:val="21"/>
  </w:num>
  <w:num w:numId="21" w16cid:durableId="1459910048">
    <w:abstractNumId w:val="11"/>
  </w:num>
  <w:num w:numId="22" w16cid:durableId="1603607372">
    <w:abstractNumId w:val="12"/>
  </w:num>
  <w:num w:numId="23" w16cid:durableId="1453474240">
    <w:abstractNumId w:val="13"/>
  </w:num>
  <w:num w:numId="24" w16cid:durableId="351616808">
    <w:abstractNumId w:val="17"/>
  </w:num>
  <w:num w:numId="25" w16cid:durableId="5465322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09"/>
    <w:rsid w:val="009700AA"/>
    <w:rsid w:val="00F8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01D841"/>
  <w15:chartTrackingRefBased/>
  <w15:docId w15:val="{92D42F65-3C73-4AD3-8E1C-08D3316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footnote text" w:uiPriority="99"/>
    <w:lsdException w:name="caption" w:semiHidden="1" w:unhideWhenUsed="1" w:qFormat="1"/>
    <w:lsdException w:name="footnote reference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uiPriority w:val="99"/>
    <w:rsid w:val="001B789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700AA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mweltbundesamt.de/en/node/94089%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scitotenv.2022.15537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mweltbundesamt.de/en/node/94089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1865</Words>
  <Characters>11799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2022-04-27T13:23:00Z</dcterms:modified>
</cp:coreProperties>
</file>