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F9D68" w14:textId="77777777" w:rsidR="00C26F2D" w:rsidRPr="00BF077B" w:rsidRDefault="00A86FD4" w:rsidP="00BF077B">
      <w:pPr>
        <w:pStyle w:val="ATSNormal"/>
        <w:rPr>
          <w:rStyle w:val="Ttulodellibro"/>
        </w:rPr>
      </w:pPr>
    </w:p>
    <w:p w14:paraId="3D764A17" w14:textId="77777777" w:rsidR="002F0A13" w:rsidRDefault="00A86FD4" w:rsidP="004B4A60">
      <w:pPr>
        <w:rPr>
          <w:b/>
          <w:u w:val="single"/>
          <w:lang w:val="es-ES_tradnl"/>
        </w:rPr>
      </w:pPr>
    </w:p>
    <w:p w14:paraId="7E052DBE" w14:textId="77777777" w:rsidR="002F0A13" w:rsidRDefault="00A86FD4" w:rsidP="004B4A60">
      <w:pPr>
        <w:rPr>
          <w:b/>
          <w:u w:val="single"/>
          <w:lang w:val="es-ES_tradnl"/>
        </w:rPr>
      </w:pPr>
    </w:p>
    <w:p w14:paraId="27B8DD9E" w14:textId="77777777" w:rsidR="002F0A13" w:rsidRDefault="00A86FD4" w:rsidP="004B4A60">
      <w:pPr>
        <w:rPr>
          <w:b/>
          <w:u w:val="single"/>
          <w:lang w:val="es-ES_tradnl"/>
        </w:rPr>
      </w:pPr>
    </w:p>
    <w:p w14:paraId="7A1AB928" w14:textId="77777777" w:rsidR="002F0A13" w:rsidRDefault="00A86FD4" w:rsidP="004B4A60">
      <w:pPr>
        <w:rPr>
          <w:b/>
          <w:u w:val="single"/>
          <w:lang w:val="es-ES_tradnl"/>
        </w:rPr>
      </w:pPr>
    </w:p>
    <w:p w14:paraId="6E3E2DA9" w14:textId="77777777" w:rsidR="00C26F2D" w:rsidRDefault="00A86FD4" w:rsidP="004B4A60">
      <w:pPr>
        <w:rPr>
          <w:b/>
          <w:u w:val="single"/>
          <w:lang w:val="es-ES_tradnl"/>
        </w:rPr>
      </w:pPr>
    </w:p>
    <w:p w14:paraId="626AAF98" w14:textId="77777777" w:rsidR="004B4A60" w:rsidRPr="0057246E" w:rsidRDefault="0036480D" w:rsidP="001B789F">
      <w:pPr>
        <w:pStyle w:val="ATSTitle"/>
      </w:pPr>
      <w:bookmarkStart w:id="0" w:name="name"/>
      <w:r>
        <w:t>An Overview on the Legal Framework on Antarctic Specially Protected Species and Its Application</w:t>
      </w:r>
    </w:p>
    <w:bookmarkEnd w:id="0"/>
    <w:p w14:paraId="31DF3628" w14:textId="77777777" w:rsidR="009A0A25" w:rsidRDefault="009A0A25" w:rsidP="001B789F">
      <w:pPr>
        <w:pStyle w:val="ATSTitle"/>
      </w:pPr>
    </w:p>
    <w:p w14:paraId="5B2D7180" w14:textId="77777777" w:rsidR="004B4A60" w:rsidRPr="0057246E" w:rsidRDefault="00A86FD4" w:rsidP="00F75424">
      <w:pPr>
        <w:jc w:val="center"/>
      </w:pPr>
    </w:p>
    <w:p w14:paraId="79681496" w14:textId="77777777" w:rsidR="004B4A60" w:rsidRPr="002F0A13" w:rsidRDefault="00A86FD4" w:rsidP="002F0A13"/>
    <w:p w14:paraId="28EABD93" w14:textId="77777777" w:rsidR="004B4A60" w:rsidRDefault="00A86FD4" w:rsidP="00F75424">
      <w:pPr>
        <w:jc w:val="center"/>
      </w:pPr>
      <w:bookmarkStart w:id="1" w:name="memo"/>
      <w:bookmarkEnd w:id="1"/>
    </w:p>
    <w:p w14:paraId="50776646" w14:textId="77777777" w:rsidR="0097629D" w:rsidRDefault="00A86FD4" w:rsidP="00F75424">
      <w:pPr>
        <w:jc w:val="center"/>
      </w:pPr>
    </w:p>
    <w:p w14:paraId="0F9B7C46" w14:textId="77777777" w:rsidR="0097629D" w:rsidRDefault="00A86FD4" w:rsidP="00F75424">
      <w:pPr>
        <w:jc w:val="center"/>
      </w:pPr>
    </w:p>
    <w:p w14:paraId="5AFB5209" w14:textId="77777777" w:rsidR="0097629D" w:rsidRDefault="00A86FD4" w:rsidP="00F75424">
      <w:pPr>
        <w:jc w:val="center"/>
      </w:pPr>
    </w:p>
    <w:p w14:paraId="7686FD7B" w14:textId="77777777" w:rsidR="0097629D" w:rsidRPr="00C26F2D" w:rsidRDefault="00A86FD4" w:rsidP="00F75424">
      <w:pPr>
        <w:jc w:val="center"/>
      </w:pPr>
    </w:p>
    <w:p w14:paraId="33B74C33" w14:textId="77777777" w:rsidR="004B4A60" w:rsidRPr="0057246E" w:rsidRDefault="00A86FD4" w:rsidP="004B4A60"/>
    <w:p w14:paraId="19F30564" w14:textId="77777777" w:rsidR="00C26F2D" w:rsidRDefault="00A86FD4"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1B227E09" w14:textId="1485DBCE" w:rsidR="004B4A60" w:rsidRDefault="00A86FD4" w:rsidP="00952E9F"/>
    <w:p w14:paraId="58D44A71" w14:textId="4A0699D6" w:rsidR="0036480D" w:rsidRPr="0036480D" w:rsidRDefault="0036480D" w:rsidP="0036480D">
      <w:pPr>
        <w:pStyle w:val="ATSHeading1"/>
        <w:rPr>
          <w:rFonts w:eastAsia="DengXian"/>
          <w:lang w:val="en-US"/>
        </w:rPr>
      </w:pPr>
      <w:r w:rsidRPr="0036480D">
        <w:rPr>
          <w:rFonts w:eastAsia="DengXian"/>
          <w:lang w:val="en-US"/>
        </w:rPr>
        <w:t>An Overview on the Legal Framework on Antarctic Specially Protected Species and Its Application</w:t>
      </w:r>
    </w:p>
    <w:p w14:paraId="6338B800" w14:textId="77777777" w:rsidR="0036480D" w:rsidRPr="0036480D" w:rsidRDefault="0036480D" w:rsidP="0036480D">
      <w:pPr>
        <w:widowControl w:val="0"/>
        <w:spacing w:afterLines="50" w:after="120" w:line="259" w:lineRule="auto"/>
        <w:jc w:val="center"/>
        <w:rPr>
          <w:rFonts w:eastAsia="DengXian"/>
          <w:kern w:val="2"/>
          <w:sz w:val="24"/>
          <w:lang w:val="en-US" w:eastAsia="zh-CN"/>
        </w:rPr>
      </w:pPr>
      <w:r w:rsidRPr="0036480D">
        <w:rPr>
          <w:rFonts w:eastAsia="DengXian"/>
          <w:kern w:val="2"/>
          <w:sz w:val="24"/>
          <w:lang w:val="en-US" w:eastAsia="zh-CN"/>
        </w:rPr>
        <w:t>Working Paper submitted by the Delegation of China</w:t>
      </w:r>
    </w:p>
    <w:p w14:paraId="11F7C7DF" w14:textId="77777777" w:rsidR="0036480D" w:rsidRPr="0036480D" w:rsidRDefault="0036480D" w:rsidP="0036480D">
      <w:pPr>
        <w:widowControl w:val="0"/>
        <w:spacing w:afterLines="50" w:after="120" w:line="259" w:lineRule="auto"/>
        <w:jc w:val="both"/>
        <w:rPr>
          <w:rFonts w:eastAsia="DengXian Light"/>
          <w:b/>
          <w:bCs/>
          <w:szCs w:val="22"/>
          <w:lang w:val="en-US" w:eastAsia="zh-CN"/>
        </w:rPr>
      </w:pPr>
    </w:p>
    <w:p w14:paraId="69BB70C1" w14:textId="77777777" w:rsidR="0036480D" w:rsidRPr="0036480D" w:rsidRDefault="0036480D" w:rsidP="0036480D">
      <w:pPr>
        <w:widowControl w:val="0"/>
        <w:spacing w:afterLines="50" w:after="120" w:line="259" w:lineRule="auto"/>
        <w:jc w:val="both"/>
        <w:rPr>
          <w:rFonts w:eastAsia="DengXian Light"/>
          <w:b/>
          <w:bCs/>
          <w:i/>
          <w:szCs w:val="22"/>
          <w:lang w:eastAsia="zh-CN"/>
        </w:rPr>
      </w:pPr>
      <w:r w:rsidRPr="0036480D">
        <w:rPr>
          <w:rFonts w:eastAsia="DengXian Light"/>
          <w:b/>
          <w:bCs/>
          <w:i/>
          <w:szCs w:val="22"/>
          <w:lang w:eastAsia="zh-CN"/>
        </w:rPr>
        <w:t>Summary</w:t>
      </w:r>
    </w:p>
    <w:p w14:paraId="56E18589" w14:textId="77777777" w:rsidR="0036480D" w:rsidRPr="0036480D" w:rsidRDefault="0036480D" w:rsidP="0036480D">
      <w:pPr>
        <w:widowControl w:val="0"/>
        <w:spacing w:afterLines="50" w:after="120" w:line="259" w:lineRule="auto"/>
        <w:jc w:val="both"/>
        <w:rPr>
          <w:rFonts w:eastAsia="DengXian Light"/>
          <w:szCs w:val="22"/>
          <w:lang w:eastAsia="zh-CN"/>
        </w:rPr>
      </w:pPr>
      <w:r w:rsidRPr="0036480D">
        <w:rPr>
          <w:rFonts w:eastAsia="DengXian Light"/>
          <w:szCs w:val="22"/>
          <w:lang w:eastAsia="zh-CN"/>
        </w:rPr>
        <w:t>Antarctic Specially Protected Species (hereinafter as “ASPS”) is a key mechanism to provide additional or special protection to a category of species in comparison with other native Antarctic flora and fauna. This working paper reviewed the legal framework on ASPS and its application within the ATCM and the CEP with the scientific advice from SCAR, with a view to providing useful guidance on future designation of ASPS. As the result of the review, this working paper recommend the ATCM and the CEP to: 1) re-confirm the importance of designating SPS in consistent with Annex II to the Protocol an</w:t>
      </w:r>
      <w:r w:rsidRPr="0036480D">
        <w:rPr>
          <w:rFonts w:eastAsia="DengXian Light"/>
          <w:szCs w:val="22"/>
          <w:lang w:val="en" w:eastAsia="zh-CN"/>
        </w:rPr>
        <w:t>d</w:t>
      </w:r>
      <w:r w:rsidRPr="0036480D">
        <w:rPr>
          <w:rFonts w:eastAsia="DengXian"/>
          <w:kern w:val="2"/>
          <w:sz w:val="21"/>
          <w:szCs w:val="21"/>
          <w:lang w:val="en-US" w:eastAsia="zh-CN"/>
        </w:rPr>
        <w:t xml:space="preserve"> the</w:t>
      </w:r>
      <w:r w:rsidRPr="0036480D">
        <w:rPr>
          <w:rFonts w:eastAsia="DengXian"/>
          <w:i/>
          <w:iCs/>
          <w:kern w:val="2"/>
          <w:sz w:val="21"/>
          <w:szCs w:val="21"/>
          <w:lang w:val="en-US" w:eastAsia="zh-CN"/>
        </w:rPr>
        <w:t xml:space="preserve"> Guidelines for CEP Consideration of Proposals for New and Revised Designations of Antarctic Specially Protected Species under Annex II of the Protocol</w:t>
      </w:r>
      <w:r w:rsidRPr="0036480D">
        <w:rPr>
          <w:rFonts w:eastAsia="DengXian"/>
          <w:kern w:val="2"/>
          <w:sz w:val="21"/>
          <w:szCs w:val="21"/>
          <w:lang w:val="en-US" w:eastAsia="zh-CN"/>
        </w:rPr>
        <w:t xml:space="preserve"> (hereinafter as “the </w:t>
      </w:r>
      <w:r w:rsidRPr="0036480D">
        <w:rPr>
          <w:rFonts w:eastAsia="DengXian"/>
          <w:i/>
          <w:iCs/>
          <w:kern w:val="2"/>
          <w:sz w:val="21"/>
          <w:szCs w:val="21"/>
          <w:lang w:val="en-US" w:eastAsia="zh-CN"/>
        </w:rPr>
        <w:t>Guidelines”</w:t>
      </w:r>
      <w:r w:rsidRPr="0036480D">
        <w:rPr>
          <w:rFonts w:eastAsia="DengXian"/>
          <w:iCs/>
          <w:kern w:val="2"/>
          <w:sz w:val="21"/>
          <w:szCs w:val="21"/>
          <w:lang w:val="en-US" w:eastAsia="zh-CN"/>
        </w:rPr>
        <w:t>)</w:t>
      </w:r>
      <w:r w:rsidRPr="0036480D">
        <w:rPr>
          <w:rFonts w:eastAsia="DengXian Light"/>
          <w:szCs w:val="22"/>
          <w:lang w:eastAsia="zh-CN"/>
        </w:rPr>
        <w:t xml:space="preserve"> adopted in 2005, </w:t>
      </w:r>
      <w:r w:rsidRPr="0036480D">
        <w:rPr>
          <w:rFonts w:eastAsia="DengXian Light"/>
          <w:sz w:val="21"/>
          <w:szCs w:val="21"/>
          <w:lang w:eastAsia="zh-CN"/>
        </w:rPr>
        <w:t xml:space="preserve">particularly the conservation status of </w:t>
      </w:r>
      <w:r w:rsidRPr="0036480D">
        <w:rPr>
          <w:rFonts w:eastAsia="DengXian Light"/>
          <w:i/>
          <w:iCs/>
          <w:sz w:val="21"/>
          <w:szCs w:val="21"/>
          <w:lang w:eastAsia="zh-CN"/>
        </w:rPr>
        <w:t>Vulnerable</w:t>
      </w:r>
      <w:r w:rsidRPr="0036480D">
        <w:rPr>
          <w:rFonts w:eastAsia="DengXian Light"/>
          <w:sz w:val="21"/>
          <w:szCs w:val="21"/>
          <w:lang w:eastAsia="zh-CN"/>
        </w:rPr>
        <w:t xml:space="preserve"> or higher as</w:t>
      </w:r>
      <w:r w:rsidRPr="0036480D">
        <w:rPr>
          <w:rFonts w:eastAsia="DengXian Light"/>
          <w:szCs w:val="22"/>
          <w:lang w:eastAsia="zh-CN"/>
        </w:rPr>
        <w:t xml:space="preserve"> the threshold for the consideration of the potential designation, and the procedure for consideration of SPS proposals; 2) align the future designation of ASPS with the previous the ATCM and the CEP practices, particularly on the application of criteria and approach on the basis of adequate scientific information: 3) encourage SCAR to assess the risk of extinction of the species, using the most up-to-date IUCN criteria in consistent with its previous practice; 4) review and harmonize the inconsistency between the Guidelines and the Annex II to the Protocol.</w:t>
      </w:r>
    </w:p>
    <w:p w14:paraId="24CCC86A" w14:textId="77777777" w:rsidR="0036480D" w:rsidRPr="0036480D" w:rsidRDefault="0036480D" w:rsidP="0036480D">
      <w:pPr>
        <w:widowControl w:val="0"/>
        <w:spacing w:afterLines="50" w:after="120" w:line="259" w:lineRule="auto"/>
        <w:jc w:val="both"/>
        <w:rPr>
          <w:rFonts w:eastAsia="DengXian Light"/>
          <w:b/>
          <w:bCs/>
          <w:i/>
          <w:sz w:val="21"/>
          <w:szCs w:val="21"/>
          <w:lang w:eastAsia="zh-CN"/>
        </w:rPr>
      </w:pPr>
      <w:r w:rsidRPr="0036480D">
        <w:rPr>
          <w:rFonts w:eastAsia="DengXian Light"/>
          <w:b/>
          <w:bCs/>
          <w:i/>
          <w:sz w:val="21"/>
          <w:szCs w:val="21"/>
          <w:lang w:eastAsia="zh-CN"/>
        </w:rPr>
        <w:t>Background</w:t>
      </w:r>
    </w:p>
    <w:p w14:paraId="5F3156B5" w14:textId="77777777" w:rsidR="0036480D" w:rsidRPr="0036480D" w:rsidRDefault="0036480D" w:rsidP="0036480D">
      <w:pPr>
        <w:widowControl w:val="0"/>
        <w:spacing w:after="160" w:line="259" w:lineRule="auto"/>
        <w:jc w:val="both"/>
        <w:rPr>
          <w:rFonts w:eastAsia="DengXian"/>
          <w:kern w:val="2"/>
          <w:sz w:val="21"/>
          <w:szCs w:val="21"/>
          <w:lang w:val="en-US" w:eastAsia="zh-CN"/>
        </w:rPr>
      </w:pPr>
      <w:r w:rsidRPr="0036480D">
        <w:rPr>
          <w:rFonts w:eastAsia="DengXian"/>
          <w:kern w:val="2"/>
          <w:sz w:val="21"/>
          <w:szCs w:val="21"/>
          <w:lang w:val="en-US" w:eastAsia="zh-CN"/>
        </w:rPr>
        <w:t>As per Annex II to the Protocol on Environmental Protection to the Antarctic Treaty (hereinafter as “the Protocol”), ASPS are a category of species that require special protection in comparison with other native Antarctic fauna and flora (</w:t>
      </w:r>
      <w:r w:rsidRPr="0036480D">
        <w:rPr>
          <w:rFonts w:eastAsia="DengXian"/>
          <w:kern w:val="2"/>
          <w:sz w:val="21"/>
          <w:szCs w:val="22"/>
          <w:lang w:val="en-US" w:eastAsia="zh-CN"/>
        </w:rPr>
        <w:t>Article 3 (4), Annex II</w:t>
      </w:r>
      <w:r w:rsidRPr="0036480D">
        <w:rPr>
          <w:rFonts w:eastAsia="DengXian"/>
          <w:kern w:val="2"/>
          <w:sz w:val="21"/>
          <w:szCs w:val="21"/>
          <w:lang w:val="en-US" w:eastAsia="zh-CN"/>
        </w:rPr>
        <w:t xml:space="preserve">). The ASPS was first devised in the 1964 Agreed Measures for the Conservation of the Antarctic Flora and Fauna (the </w:t>
      </w:r>
      <w:r w:rsidRPr="0036480D">
        <w:rPr>
          <w:rFonts w:eastAsia="DengXian"/>
          <w:i/>
          <w:iCs/>
          <w:kern w:val="2"/>
          <w:sz w:val="21"/>
          <w:szCs w:val="21"/>
          <w:lang w:val="en-US" w:eastAsia="zh-CN"/>
        </w:rPr>
        <w:t>Agreed Measures</w:t>
      </w:r>
      <w:r w:rsidRPr="0036480D">
        <w:rPr>
          <w:rFonts w:eastAsia="DengXian"/>
          <w:kern w:val="2"/>
          <w:sz w:val="21"/>
          <w:szCs w:val="21"/>
          <w:lang w:val="en-US" w:eastAsia="zh-CN"/>
        </w:rPr>
        <w:t>) and then incorporated in 1991 into Annex II to the Protocol. Since then, the</w:t>
      </w:r>
      <w:r w:rsidRPr="0036480D">
        <w:rPr>
          <w:rFonts w:eastAsia="DengXian"/>
          <w:i/>
          <w:iCs/>
          <w:kern w:val="2"/>
          <w:sz w:val="21"/>
          <w:szCs w:val="21"/>
          <w:lang w:val="en-US" w:eastAsia="zh-CN"/>
        </w:rPr>
        <w:t xml:space="preserve"> Guidelines</w:t>
      </w:r>
      <w:r w:rsidRPr="0036480D">
        <w:rPr>
          <w:rFonts w:eastAsia="DengXian"/>
          <w:kern w:val="2"/>
          <w:sz w:val="21"/>
          <w:szCs w:val="21"/>
          <w:lang w:val="en-US" w:eastAsia="zh-CN"/>
        </w:rPr>
        <w:t xml:space="preserve"> was adopted in 2005, de-designation of Fur Seals and Ross Seals and designation of Southern Giant Petrel were considered from 2005 to 2007, and Annex II to the Protocol was revised in 2009. These discussion and practices offer precious opportunities to test the application of the rules. Some general agreements have been reached and are worth highlighting for the current discussion on Emperor Penguins.</w:t>
      </w:r>
    </w:p>
    <w:p w14:paraId="02D8538C" w14:textId="77777777" w:rsidR="0036480D" w:rsidRPr="0036480D" w:rsidRDefault="0036480D" w:rsidP="0036480D">
      <w:pPr>
        <w:widowControl w:val="0"/>
        <w:spacing w:after="160" w:line="259" w:lineRule="auto"/>
        <w:jc w:val="both"/>
        <w:rPr>
          <w:rFonts w:eastAsia="DengXian"/>
          <w:kern w:val="2"/>
          <w:sz w:val="21"/>
          <w:szCs w:val="21"/>
          <w:lang w:val="en-US" w:eastAsia="zh-CN"/>
        </w:rPr>
      </w:pPr>
    </w:p>
    <w:p w14:paraId="4009C3A7" w14:textId="77777777" w:rsidR="0036480D" w:rsidRPr="0036480D" w:rsidRDefault="0036480D" w:rsidP="0036480D">
      <w:pPr>
        <w:widowControl w:val="0"/>
        <w:spacing w:afterLines="50" w:after="120" w:line="259" w:lineRule="auto"/>
        <w:jc w:val="both"/>
        <w:rPr>
          <w:rFonts w:eastAsia="DengXian Light"/>
          <w:sz w:val="21"/>
          <w:szCs w:val="21"/>
          <w:lang w:eastAsia="zh-CN"/>
        </w:rPr>
      </w:pPr>
      <w:r w:rsidRPr="0036480D">
        <w:rPr>
          <w:rFonts w:eastAsia="DengXian Light"/>
          <w:b/>
          <w:bCs/>
          <w:sz w:val="21"/>
          <w:szCs w:val="21"/>
          <w:lang w:eastAsia="zh-CN"/>
        </w:rPr>
        <w:t>Observations</w:t>
      </w:r>
    </w:p>
    <w:p w14:paraId="51A3B470" w14:textId="478CB013" w:rsidR="0036480D" w:rsidRPr="0036480D" w:rsidRDefault="0036480D" w:rsidP="0036480D">
      <w:pPr>
        <w:widowControl w:val="0"/>
        <w:spacing w:afterLines="50" w:after="120" w:line="259" w:lineRule="auto"/>
        <w:jc w:val="both"/>
        <w:rPr>
          <w:rFonts w:eastAsia="DengXian Light"/>
          <w:b/>
          <w:bCs/>
          <w:sz w:val="21"/>
          <w:szCs w:val="21"/>
          <w:lang w:eastAsia="zh-CN"/>
        </w:rPr>
      </w:pPr>
      <w:r w:rsidRPr="0036480D">
        <w:rPr>
          <w:rFonts w:eastAsia="DengXian Light"/>
          <w:sz w:val="21"/>
          <w:szCs w:val="21"/>
          <w:lang w:eastAsia="zh-CN"/>
        </w:rPr>
        <w:t>By reviewing the legal framework and examining the ATCM and the CEP practice</w:t>
      </w:r>
      <w:r w:rsidRPr="00F43F66">
        <w:rPr>
          <w:rFonts w:eastAsia="DengXian Light"/>
          <w:sz w:val="21"/>
          <w:szCs w:val="21"/>
          <w:lang w:eastAsia="zh-CN"/>
        </w:rPr>
        <w:t>s</w:t>
      </w:r>
      <w:r w:rsidR="002D319B" w:rsidRPr="00F43F66">
        <w:rPr>
          <w:rFonts w:eastAsia="DengXian Light"/>
          <w:sz w:val="21"/>
          <w:szCs w:val="21"/>
          <w:lang w:eastAsia="zh-CN"/>
        </w:rPr>
        <w:t xml:space="preserve"> (see IP44)</w:t>
      </w:r>
      <w:r w:rsidRPr="00F43F66">
        <w:rPr>
          <w:rFonts w:eastAsia="DengXian Light"/>
          <w:sz w:val="21"/>
          <w:szCs w:val="21"/>
          <w:lang w:eastAsia="zh-CN"/>
        </w:rPr>
        <w:t>, ta</w:t>
      </w:r>
      <w:r w:rsidRPr="0036480D">
        <w:rPr>
          <w:rFonts w:eastAsia="DengXian Light"/>
          <w:sz w:val="21"/>
          <w:szCs w:val="21"/>
          <w:lang w:eastAsia="zh-CN"/>
        </w:rPr>
        <w:t xml:space="preserve">king into the scientific </w:t>
      </w:r>
      <w:r w:rsidR="00F43F66" w:rsidRPr="0036480D">
        <w:rPr>
          <w:rFonts w:eastAsia="DengXian Light"/>
          <w:sz w:val="21"/>
          <w:szCs w:val="21"/>
          <w:lang w:eastAsia="zh-CN"/>
        </w:rPr>
        <w:t>advice</w:t>
      </w:r>
      <w:r w:rsidRPr="0036480D">
        <w:rPr>
          <w:rFonts w:eastAsia="DengXian Light"/>
          <w:sz w:val="21"/>
          <w:szCs w:val="21"/>
          <w:lang w:eastAsia="zh-CN"/>
        </w:rPr>
        <w:t xml:space="preserve"> from SCAR,</w:t>
      </w:r>
      <w:r w:rsidRPr="0036480D">
        <w:rPr>
          <w:rFonts w:eastAsia="DengXian Light"/>
          <w:b/>
          <w:bCs/>
          <w:sz w:val="21"/>
          <w:szCs w:val="21"/>
          <w:lang w:eastAsia="zh-CN"/>
        </w:rPr>
        <w:t xml:space="preserve"> the following observations</w:t>
      </w:r>
      <w:r w:rsidRPr="0036480D">
        <w:rPr>
          <w:rFonts w:ascii="DengXian" w:eastAsia="DengXian" w:hAnsi="DengXian"/>
          <w:kern w:val="2"/>
          <w:sz w:val="21"/>
          <w:szCs w:val="22"/>
          <w:lang w:val="en-US" w:eastAsia="zh-CN"/>
        </w:rPr>
        <w:t xml:space="preserve"> </w:t>
      </w:r>
      <w:r w:rsidRPr="0036480D">
        <w:rPr>
          <w:rFonts w:eastAsia="DengXian Light"/>
          <w:b/>
          <w:bCs/>
          <w:sz w:val="21"/>
          <w:szCs w:val="21"/>
          <w:lang w:eastAsia="zh-CN"/>
        </w:rPr>
        <w:t xml:space="preserve">on the practices, </w:t>
      </w:r>
      <w:r w:rsidRPr="0036480D">
        <w:rPr>
          <w:rFonts w:eastAsia="DengXian Light"/>
          <w:b/>
          <w:bCs/>
          <w:i/>
          <w:sz w:val="21"/>
          <w:szCs w:val="21"/>
          <w:lang w:eastAsia="zh-CN"/>
        </w:rPr>
        <w:t>inter alia</w:t>
      </w:r>
      <w:r w:rsidRPr="0036480D">
        <w:rPr>
          <w:rFonts w:eastAsia="DengXian Light"/>
          <w:b/>
          <w:bCs/>
          <w:sz w:val="21"/>
          <w:szCs w:val="21"/>
          <w:lang w:eastAsia="zh-CN"/>
        </w:rPr>
        <w:t>, are evident:</w:t>
      </w:r>
    </w:p>
    <w:p w14:paraId="104E0435" w14:textId="0D67EAD8" w:rsidR="0036480D" w:rsidRPr="0036480D" w:rsidRDefault="0036480D" w:rsidP="0036480D">
      <w:pPr>
        <w:widowControl w:val="0"/>
        <w:spacing w:afterLines="50" w:after="120" w:line="259" w:lineRule="auto"/>
        <w:jc w:val="both"/>
        <w:rPr>
          <w:rFonts w:eastAsia="DengXian Light"/>
          <w:sz w:val="21"/>
          <w:szCs w:val="21"/>
          <w:lang w:eastAsia="zh-CN"/>
        </w:rPr>
      </w:pPr>
      <w:r w:rsidRPr="0036480D">
        <w:rPr>
          <w:rFonts w:eastAsia="DengXian Light"/>
          <w:sz w:val="21"/>
          <w:szCs w:val="21"/>
          <w:lang w:eastAsia="zh-CN"/>
        </w:rPr>
        <w:t xml:space="preserve">(a) the conservation status of </w:t>
      </w:r>
      <w:r w:rsidRPr="0036480D">
        <w:rPr>
          <w:rFonts w:eastAsia="DengXian Light"/>
          <w:i/>
          <w:iCs/>
          <w:sz w:val="21"/>
          <w:szCs w:val="21"/>
          <w:lang w:eastAsia="zh-CN"/>
        </w:rPr>
        <w:t>Vulnerable</w:t>
      </w:r>
      <w:r w:rsidRPr="0036480D">
        <w:rPr>
          <w:rFonts w:eastAsia="DengXian Light"/>
          <w:sz w:val="21"/>
          <w:szCs w:val="21"/>
          <w:lang w:eastAsia="zh-CN"/>
        </w:rPr>
        <w:t xml:space="preserve"> or higher using the most up-to-date IUCN criteria is a threshold for potential designation on which basis the ATCM and the CEP will consider </w:t>
      </w:r>
      <w:r w:rsidR="00F43F66" w:rsidRPr="0036480D">
        <w:rPr>
          <w:rFonts w:eastAsia="DengXian Light"/>
          <w:sz w:val="21"/>
          <w:szCs w:val="21"/>
          <w:lang w:eastAsia="zh-CN"/>
        </w:rPr>
        <w:t>listing</w:t>
      </w:r>
      <w:r w:rsidRPr="0036480D">
        <w:rPr>
          <w:rFonts w:eastAsia="DengXian Light"/>
          <w:sz w:val="21"/>
          <w:szCs w:val="21"/>
          <w:lang w:eastAsia="zh-CN"/>
        </w:rPr>
        <w:t xml:space="preserve"> or de-list</w:t>
      </w:r>
      <w:r w:rsidR="00F43F66">
        <w:rPr>
          <w:rFonts w:eastAsia="DengXian Light"/>
          <w:sz w:val="21"/>
          <w:szCs w:val="21"/>
          <w:lang w:eastAsia="zh-CN"/>
        </w:rPr>
        <w:t>ing</w:t>
      </w:r>
      <w:r w:rsidRPr="0036480D">
        <w:rPr>
          <w:rFonts w:eastAsia="DengXian Light"/>
          <w:sz w:val="21"/>
          <w:szCs w:val="21"/>
          <w:lang w:eastAsia="zh-CN"/>
        </w:rPr>
        <w:t xml:space="preserve"> a species as an Antarctic ASPS, </w:t>
      </w:r>
      <w:r w:rsidRPr="0036480D">
        <w:rPr>
          <w:rFonts w:eastAsia="DengXian"/>
          <w:kern w:val="2"/>
          <w:sz w:val="21"/>
          <w:szCs w:val="21"/>
          <w:lang w:val="en-US" w:eastAsia="zh-CN"/>
        </w:rPr>
        <w:t xml:space="preserve">e.g. </w:t>
      </w:r>
      <w:r w:rsidRPr="0036480D">
        <w:rPr>
          <w:rFonts w:eastAsia="DengXian Light"/>
          <w:sz w:val="21"/>
          <w:szCs w:val="21"/>
          <w:lang w:eastAsia="zh-CN"/>
        </w:rPr>
        <w:t>proposal to de-list Fur Seals, proposal to list Southern Giant Petrel.</w:t>
      </w:r>
    </w:p>
    <w:p w14:paraId="1C041EBA" w14:textId="77777777" w:rsidR="0036480D" w:rsidRPr="0036480D" w:rsidRDefault="0036480D" w:rsidP="0036480D">
      <w:pPr>
        <w:widowControl w:val="0"/>
        <w:spacing w:afterLines="50" w:after="120" w:line="259" w:lineRule="auto"/>
        <w:jc w:val="both"/>
        <w:rPr>
          <w:rFonts w:eastAsia="DengXian Light"/>
          <w:sz w:val="21"/>
          <w:szCs w:val="21"/>
          <w:lang w:eastAsia="zh-CN"/>
        </w:rPr>
      </w:pPr>
      <w:r w:rsidRPr="0036480D">
        <w:rPr>
          <w:rFonts w:eastAsia="DengXian Light"/>
          <w:sz w:val="21"/>
          <w:szCs w:val="21"/>
          <w:lang w:eastAsia="zh-CN"/>
        </w:rPr>
        <w:t xml:space="preserve">(b) being or not being listed as </w:t>
      </w:r>
      <w:r w:rsidRPr="0036480D">
        <w:rPr>
          <w:rFonts w:eastAsia="DengXian Light"/>
          <w:i/>
          <w:iCs/>
          <w:sz w:val="21"/>
          <w:szCs w:val="21"/>
          <w:lang w:eastAsia="zh-CN"/>
        </w:rPr>
        <w:t xml:space="preserve">Vulnerable </w:t>
      </w:r>
      <w:r w:rsidRPr="0036480D">
        <w:rPr>
          <w:rFonts w:eastAsia="DengXian Light"/>
          <w:sz w:val="21"/>
          <w:szCs w:val="21"/>
          <w:lang w:eastAsia="zh-CN"/>
        </w:rPr>
        <w:t xml:space="preserve">(or higher) in the IUCN Red List is a prerequisite but not a sufficient condition to list or de-list a species as ASPS. A species would not be automatically listed as an ASPS because it is been categorized as </w:t>
      </w:r>
      <w:r w:rsidRPr="0036480D">
        <w:rPr>
          <w:rFonts w:eastAsia="DengXian Light"/>
          <w:i/>
          <w:iCs/>
          <w:sz w:val="21"/>
          <w:szCs w:val="21"/>
          <w:lang w:eastAsia="zh-CN"/>
        </w:rPr>
        <w:t>Vulnerable</w:t>
      </w:r>
      <w:r w:rsidRPr="0036480D">
        <w:rPr>
          <w:rFonts w:eastAsia="DengXian Light"/>
          <w:sz w:val="21"/>
          <w:szCs w:val="21"/>
          <w:lang w:eastAsia="zh-CN"/>
        </w:rPr>
        <w:t xml:space="preserve"> in the IUCN Red List (</w:t>
      </w:r>
      <w:r w:rsidRPr="0036480D">
        <w:rPr>
          <w:rFonts w:eastAsia="DengXian"/>
          <w:kern w:val="2"/>
          <w:sz w:val="21"/>
          <w:szCs w:val="21"/>
          <w:lang w:val="en-US" w:eastAsia="zh-CN"/>
        </w:rPr>
        <w:t xml:space="preserve">e.g. </w:t>
      </w:r>
      <w:r w:rsidRPr="0036480D">
        <w:rPr>
          <w:rFonts w:eastAsia="DengXian Light"/>
          <w:sz w:val="21"/>
          <w:szCs w:val="21"/>
          <w:lang w:eastAsia="zh-CN"/>
        </w:rPr>
        <w:t>Southern Giant Petrel), or be de-listed because it has been categorized as</w:t>
      </w:r>
      <w:r w:rsidRPr="0036480D">
        <w:rPr>
          <w:rFonts w:eastAsia="DengXian Light"/>
          <w:i/>
          <w:iCs/>
          <w:sz w:val="21"/>
          <w:szCs w:val="21"/>
          <w:lang w:eastAsia="zh-CN"/>
        </w:rPr>
        <w:t xml:space="preserve"> Lower Risk/Least Concern</w:t>
      </w:r>
      <w:r w:rsidRPr="0036480D">
        <w:rPr>
          <w:rFonts w:eastAsia="DengXian Light"/>
          <w:sz w:val="21"/>
          <w:szCs w:val="21"/>
          <w:lang w:eastAsia="zh-CN"/>
        </w:rPr>
        <w:t xml:space="preserve"> (</w:t>
      </w:r>
      <w:r w:rsidRPr="0036480D">
        <w:rPr>
          <w:rFonts w:eastAsia="DengXian"/>
          <w:kern w:val="2"/>
          <w:sz w:val="21"/>
          <w:szCs w:val="21"/>
          <w:lang w:val="en-US" w:eastAsia="zh-CN"/>
        </w:rPr>
        <w:t xml:space="preserve">e.g. </w:t>
      </w:r>
      <w:r w:rsidRPr="0036480D">
        <w:rPr>
          <w:rFonts w:eastAsia="DengXian Light"/>
          <w:sz w:val="21"/>
          <w:szCs w:val="21"/>
          <w:lang w:eastAsia="zh-CN"/>
        </w:rPr>
        <w:t xml:space="preserve">Ross Seal). The ATCM and the CEP decision-making and consultation process is independent from IUCN and </w:t>
      </w:r>
      <w:r w:rsidRPr="0036480D">
        <w:rPr>
          <w:rFonts w:eastAsia="DengXian Light"/>
          <w:sz w:val="21"/>
          <w:szCs w:val="21"/>
          <w:lang w:eastAsia="zh-CN"/>
        </w:rPr>
        <w:lastRenderedPageBreak/>
        <w:t>will consider more scientific and management elements (e.g. both species above), as well as the interest of other organizations.</w:t>
      </w:r>
    </w:p>
    <w:p w14:paraId="651B8542" w14:textId="77777777" w:rsidR="0036480D" w:rsidRPr="0036480D" w:rsidRDefault="0036480D" w:rsidP="0036480D">
      <w:pPr>
        <w:widowControl w:val="0"/>
        <w:spacing w:afterLines="50" w:after="120" w:line="259" w:lineRule="auto"/>
        <w:jc w:val="both"/>
        <w:rPr>
          <w:rFonts w:eastAsia="DengXian Light"/>
          <w:sz w:val="21"/>
          <w:szCs w:val="21"/>
          <w:lang w:eastAsia="zh-CN"/>
        </w:rPr>
      </w:pPr>
      <w:r w:rsidRPr="0036480D">
        <w:rPr>
          <w:rFonts w:eastAsia="DengXian Light"/>
          <w:sz w:val="21"/>
          <w:szCs w:val="21"/>
          <w:lang w:eastAsia="zh-CN"/>
        </w:rPr>
        <w:t>(c) the effects of long-term climate change have been considered in the threat analysis, but has not been considered a sufficient condition or determining elements to list or de-list a species (e.g. Fur Seals and the Southern Giant Petrel). In the past practices, only the observed population trends and the threats from human activities (</w:t>
      </w:r>
      <w:r w:rsidRPr="0036480D">
        <w:rPr>
          <w:rFonts w:eastAsia="DengXian"/>
          <w:kern w:val="2"/>
          <w:sz w:val="21"/>
          <w:szCs w:val="21"/>
          <w:lang w:val="en-US" w:eastAsia="zh-CN"/>
        </w:rPr>
        <w:t xml:space="preserve">e.g. </w:t>
      </w:r>
      <w:r w:rsidRPr="0036480D">
        <w:rPr>
          <w:rFonts w:eastAsia="DengXian Light"/>
          <w:sz w:val="21"/>
          <w:szCs w:val="21"/>
          <w:lang w:eastAsia="zh-CN"/>
        </w:rPr>
        <w:t xml:space="preserve">commercial exploitation of Fur Seals) have been used as the determining condition for listing or de-listing species. </w:t>
      </w:r>
    </w:p>
    <w:p w14:paraId="6BD41DF3" w14:textId="77777777" w:rsidR="0036480D" w:rsidRPr="0036480D" w:rsidRDefault="0036480D" w:rsidP="0036480D">
      <w:pPr>
        <w:widowControl w:val="0"/>
        <w:spacing w:afterLines="50" w:after="120" w:line="259" w:lineRule="auto"/>
        <w:jc w:val="both"/>
        <w:rPr>
          <w:rFonts w:eastAsia="DengXian Light"/>
          <w:sz w:val="21"/>
          <w:szCs w:val="21"/>
          <w:lang w:eastAsia="zh-CN"/>
        </w:rPr>
      </w:pPr>
      <w:r w:rsidRPr="0036480D">
        <w:rPr>
          <w:rFonts w:eastAsia="DengXian Light"/>
          <w:sz w:val="21"/>
          <w:szCs w:val="21"/>
          <w:lang w:eastAsia="zh-CN"/>
        </w:rPr>
        <w:t>(d) Special Protection for a species is normally used as a temporary designation to allow for special measures for the recovery of the population under threat, once the species is no longer endangered or threatened the designation is removed (e.g. Fur Seals).</w:t>
      </w:r>
    </w:p>
    <w:p w14:paraId="438DDF79" w14:textId="77777777" w:rsidR="0036480D" w:rsidRPr="0036480D" w:rsidRDefault="0036480D" w:rsidP="0036480D">
      <w:pPr>
        <w:widowControl w:val="0"/>
        <w:spacing w:afterLines="50" w:after="120" w:line="259" w:lineRule="auto"/>
        <w:jc w:val="both"/>
        <w:rPr>
          <w:rFonts w:eastAsia="DengXian Light"/>
          <w:sz w:val="21"/>
          <w:szCs w:val="21"/>
          <w:lang w:eastAsia="zh-CN"/>
        </w:rPr>
      </w:pPr>
      <w:r w:rsidRPr="0036480D">
        <w:rPr>
          <w:rFonts w:eastAsia="DengXian Light"/>
          <w:sz w:val="21"/>
          <w:szCs w:val="21"/>
          <w:lang w:eastAsia="zh-CN"/>
        </w:rPr>
        <w:t xml:space="preserve">(e) the general protection already afforded by Annex II to the Protocol, and/or by other Annexes of the Protocol or international treaties, is a legitimate consideration for listing or de-listing ASPS. </w:t>
      </w:r>
    </w:p>
    <w:p w14:paraId="34C309E3" w14:textId="77777777" w:rsidR="0036480D" w:rsidRPr="0036480D" w:rsidRDefault="0036480D" w:rsidP="0036480D">
      <w:pPr>
        <w:widowControl w:val="0"/>
        <w:spacing w:afterLines="50" w:after="120" w:line="259" w:lineRule="auto"/>
        <w:jc w:val="both"/>
        <w:rPr>
          <w:rFonts w:eastAsia="DengXian Light"/>
          <w:sz w:val="21"/>
          <w:szCs w:val="21"/>
          <w:lang w:eastAsia="zh-CN"/>
        </w:rPr>
      </w:pPr>
      <w:r w:rsidRPr="0036480D">
        <w:rPr>
          <w:rFonts w:eastAsia="DengXian Light"/>
          <w:sz w:val="21"/>
          <w:szCs w:val="21"/>
          <w:lang w:eastAsia="zh-CN"/>
        </w:rPr>
        <w:t>(f) the ASPS category should be applied for the whole Antarctic population of any species, in which case a thorough assessment at the regional level (Antarctica) on sound scientific evidence is critical. Any change in a species’ protection status should only take place where sufficient data are available on which to base such a decision (e.g. Ross Seal); monitoring schemes should be established for those species evaluated as Near Threatened (e.g. Southern Giant Petrel), and new research efforts should be triggered for data deficient species, in order to provide early warning by obtaining necessary data and information.</w:t>
      </w:r>
    </w:p>
    <w:p w14:paraId="395F16A4" w14:textId="77777777" w:rsidR="0036480D" w:rsidRPr="0036480D" w:rsidRDefault="0036480D" w:rsidP="0036480D">
      <w:pPr>
        <w:widowControl w:val="0"/>
        <w:spacing w:afterLines="50" w:after="120" w:line="259" w:lineRule="auto"/>
        <w:jc w:val="both"/>
        <w:rPr>
          <w:rFonts w:eastAsia="DengXian Light"/>
          <w:sz w:val="21"/>
          <w:szCs w:val="21"/>
          <w:lang w:eastAsia="zh-CN"/>
        </w:rPr>
      </w:pPr>
      <w:r w:rsidRPr="0036480D">
        <w:rPr>
          <w:rFonts w:eastAsia="DengXian Light"/>
          <w:sz w:val="21"/>
          <w:szCs w:val="21"/>
          <w:lang w:eastAsia="zh-CN"/>
        </w:rPr>
        <w:t xml:space="preserve">(g) Species facing different level of threat (vulnerable, endangered, or critically endangered) are likely to require different measures for management or protection. To quantify and reduce threats, a potential action-focused Species’ Recovery Plan would better to consider the following elements: 1) identify causes of decline and possible measures to reverse such declines; 2) increased restrictions on taking or harmful interference as the level of endangerment increases; 3) more intensive review of the ASPS status as the level of endangerment increases. </w:t>
      </w:r>
    </w:p>
    <w:p w14:paraId="0FF46EDE" w14:textId="77777777" w:rsidR="0036480D" w:rsidRPr="0036480D" w:rsidRDefault="0036480D" w:rsidP="0036480D">
      <w:pPr>
        <w:widowControl w:val="0"/>
        <w:spacing w:afterLines="50" w:after="120" w:line="259" w:lineRule="auto"/>
        <w:jc w:val="both"/>
        <w:rPr>
          <w:rFonts w:eastAsia="DengXian Light"/>
          <w:b/>
          <w:iCs/>
          <w:sz w:val="21"/>
          <w:szCs w:val="21"/>
          <w:lang w:eastAsia="zh-CN"/>
        </w:rPr>
      </w:pPr>
      <w:r w:rsidRPr="0036480D">
        <w:rPr>
          <w:rFonts w:eastAsia="DengXian Light"/>
          <w:b/>
          <w:iCs/>
          <w:sz w:val="21"/>
          <w:szCs w:val="21"/>
          <w:lang w:eastAsia="zh-CN"/>
        </w:rPr>
        <w:t>Recommendations</w:t>
      </w:r>
    </w:p>
    <w:p w14:paraId="2F4DF398" w14:textId="77777777" w:rsidR="0036480D" w:rsidRPr="0036480D" w:rsidRDefault="0036480D" w:rsidP="0036480D">
      <w:pPr>
        <w:widowControl w:val="0"/>
        <w:spacing w:afterLines="50" w:after="120" w:line="259" w:lineRule="auto"/>
        <w:jc w:val="both"/>
        <w:rPr>
          <w:rFonts w:eastAsia="DengXian Light"/>
          <w:b/>
          <w:sz w:val="21"/>
          <w:szCs w:val="21"/>
          <w:lang w:eastAsia="zh-CN"/>
        </w:rPr>
      </w:pPr>
      <w:r w:rsidRPr="0036480D">
        <w:rPr>
          <w:rFonts w:eastAsia="DengXian Light"/>
          <w:b/>
          <w:sz w:val="21"/>
          <w:szCs w:val="21"/>
          <w:lang w:eastAsia="zh-CN"/>
        </w:rPr>
        <w:t>It is recommended that the ATCM and the CEP to:</w:t>
      </w:r>
    </w:p>
    <w:p w14:paraId="5C86E9DB" w14:textId="77777777" w:rsidR="0036480D" w:rsidRPr="0036480D" w:rsidRDefault="0036480D" w:rsidP="0036480D">
      <w:pPr>
        <w:widowControl w:val="0"/>
        <w:spacing w:afterLines="50" w:after="120" w:line="259" w:lineRule="auto"/>
        <w:jc w:val="both"/>
        <w:rPr>
          <w:rFonts w:eastAsia="DengXian Light"/>
          <w:sz w:val="21"/>
          <w:szCs w:val="21"/>
          <w:lang w:eastAsia="zh-CN"/>
        </w:rPr>
      </w:pPr>
      <w:r w:rsidRPr="0036480D">
        <w:rPr>
          <w:rFonts w:eastAsia="DengXian Light"/>
          <w:sz w:val="21"/>
          <w:szCs w:val="21"/>
          <w:lang w:eastAsia="zh-CN"/>
        </w:rPr>
        <w:t xml:space="preserve">1) re-confirm the importance of designating ASPS in consistent with Annex II to the Protocol and the </w:t>
      </w:r>
      <w:r w:rsidRPr="0036480D">
        <w:rPr>
          <w:rFonts w:eastAsia="DengXian Light"/>
          <w:i/>
          <w:sz w:val="21"/>
          <w:szCs w:val="21"/>
          <w:lang w:eastAsia="zh-CN"/>
        </w:rPr>
        <w:t>Guidelines</w:t>
      </w:r>
      <w:r w:rsidRPr="0036480D">
        <w:rPr>
          <w:rFonts w:eastAsia="DengXian Light"/>
          <w:i/>
          <w:iCs/>
          <w:sz w:val="21"/>
          <w:szCs w:val="21"/>
          <w:lang w:eastAsia="zh-CN"/>
        </w:rPr>
        <w:t>,</w:t>
      </w:r>
      <w:r w:rsidRPr="0036480D">
        <w:rPr>
          <w:rFonts w:eastAsia="DengXian Light"/>
          <w:sz w:val="21"/>
          <w:szCs w:val="21"/>
          <w:lang w:eastAsia="zh-CN"/>
        </w:rPr>
        <w:t xml:space="preserve"> particularly the conservation status of </w:t>
      </w:r>
      <w:r w:rsidRPr="0036480D">
        <w:rPr>
          <w:rFonts w:eastAsia="DengXian Light"/>
          <w:i/>
          <w:iCs/>
          <w:sz w:val="21"/>
          <w:szCs w:val="21"/>
          <w:lang w:eastAsia="zh-CN"/>
        </w:rPr>
        <w:t>Vulnerable</w:t>
      </w:r>
      <w:r w:rsidRPr="0036480D">
        <w:rPr>
          <w:rFonts w:eastAsia="DengXian Light"/>
          <w:sz w:val="21"/>
          <w:szCs w:val="21"/>
          <w:lang w:eastAsia="zh-CN"/>
        </w:rPr>
        <w:t xml:space="preserve"> or higher as the threshold for the consideration of the potential designation, and the procedure for consideration of ASPS proposals, including the consultation procedure with other related organizations:</w:t>
      </w:r>
    </w:p>
    <w:p w14:paraId="3EC65605" w14:textId="77777777" w:rsidR="0036480D" w:rsidRPr="0036480D" w:rsidRDefault="0036480D" w:rsidP="0036480D">
      <w:pPr>
        <w:widowControl w:val="0"/>
        <w:spacing w:afterLines="50" w:after="120" w:line="259" w:lineRule="auto"/>
        <w:jc w:val="both"/>
        <w:rPr>
          <w:rFonts w:eastAsia="DengXian Light"/>
          <w:sz w:val="21"/>
          <w:szCs w:val="21"/>
          <w:lang w:eastAsia="zh-CN"/>
        </w:rPr>
      </w:pPr>
      <w:r w:rsidRPr="0036480D">
        <w:rPr>
          <w:rFonts w:eastAsia="DengXian Light"/>
          <w:sz w:val="21"/>
          <w:szCs w:val="21"/>
          <w:lang w:eastAsia="zh-CN"/>
        </w:rPr>
        <w:t>2) align the future designation of ASPS with the previous the ATCM and the CEP practices, particularly on the application of criteria and approach on the basis of adequate scientific information;</w:t>
      </w:r>
    </w:p>
    <w:p w14:paraId="59DEC107" w14:textId="77777777" w:rsidR="0036480D" w:rsidRPr="0036480D" w:rsidRDefault="0036480D" w:rsidP="0036480D">
      <w:pPr>
        <w:widowControl w:val="0"/>
        <w:spacing w:afterLines="50" w:after="120" w:line="259" w:lineRule="auto"/>
        <w:jc w:val="both"/>
        <w:rPr>
          <w:rFonts w:eastAsia="DengXian Light"/>
          <w:sz w:val="21"/>
          <w:szCs w:val="21"/>
          <w:lang w:eastAsia="zh-CN"/>
        </w:rPr>
      </w:pPr>
      <w:r w:rsidRPr="0036480D">
        <w:rPr>
          <w:rFonts w:eastAsia="DengXian Light"/>
          <w:sz w:val="21"/>
          <w:szCs w:val="21"/>
          <w:lang w:eastAsia="zh-CN"/>
        </w:rPr>
        <w:t>3) encourage SCAR to assess the risk of extinction of the species that have the potential to be designated as ASPS, using the most up-to-date IUCN criteria in consistent with its previous practice;</w:t>
      </w:r>
    </w:p>
    <w:p w14:paraId="51A000C2" w14:textId="77777777" w:rsidR="0036480D" w:rsidRPr="0036480D" w:rsidRDefault="0036480D" w:rsidP="0036480D">
      <w:pPr>
        <w:widowControl w:val="0"/>
        <w:spacing w:afterLines="50" w:after="120" w:line="259" w:lineRule="auto"/>
        <w:jc w:val="both"/>
        <w:rPr>
          <w:rFonts w:eastAsia="DengXian Light"/>
          <w:sz w:val="21"/>
          <w:szCs w:val="21"/>
          <w:lang w:eastAsia="zh-CN"/>
        </w:rPr>
      </w:pPr>
      <w:r w:rsidRPr="0036480D">
        <w:rPr>
          <w:rFonts w:eastAsia="DengXian Light"/>
          <w:sz w:val="21"/>
          <w:szCs w:val="21"/>
          <w:lang w:eastAsia="zh-CN"/>
        </w:rPr>
        <w:t>4) review and harmonize the inconsistency between the</w:t>
      </w:r>
      <w:r w:rsidRPr="0036480D">
        <w:rPr>
          <w:rFonts w:eastAsia="DengXian Light"/>
          <w:i/>
          <w:iCs/>
          <w:sz w:val="21"/>
          <w:szCs w:val="21"/>
          <w:lang w:eastAsia="zh-CN"/>
        </w:rPr>
        <w:t xml:space="preserve"> Guidelines</w:t>
      </w:r>
      <w:r w:rsidRPr="0036480D">
        <w:rPr>
          <w:rFonts w:eastAsia="DengXian Light"/>
          <w:sz w:val="21"/>
          <w:szCs w:val="21"/>
          <w:lang w:eastAsia="zh-CN"/>
        </w:rPr>
        <w:t xml:space="preserve"> and the Annex II to the Protocol. </w:t>
      </w:r>
    </w:p>
    <w:p w14:paraId="0249FCCE" w14:textId="77777777" w:rsidR="0036480D" w:rsidRPr="0036480D" w:rsidRDefault="0036480D" w:rsidP="0036480D">
      <w:pPr>
        <w:widowControl w:val="0"/>
        <w:spacing w:afterLines="50" w:after="120" w:line="259" w:lineRule="auto"/>
        <w:jc w:val="both"/>
        <w:rPr>
          <w:rFonts w:eastAsia="DengXian Light"/>
          <w:sz w:val="21"/>
          <w:szCs w:val="21"/>
          <w:lang w:eastAsia="zh-CN"/>
        </w:rPr>
      </w:pPr>
    </w:p>
    <w:p w14:paraId="6B7414A5" w14:textId="77777777" w:rsidR="0036480D" w:rsidRPr="0036480D" w:rsidRDefault="0036480D" w:rsidP="0036480D">
      <w:pPr>
        <w:widowControl w:val="0"/>
        <w:spacing w:afterLines="50" w:after="120" w:line="259" w:lineRule="auto"/>
        <w:jc w:val="both"/>
        <w:rPr>
          <w:rFonts w:eastAsia="DengXian Light"/>
          <w:b/>
          <w:sz w:val="21"/>
          <w:szCs w:val="21"/>
          <w:lang w:eastAsia="zh-CN"/>
        </w:rPr>
      </w:pPr>
      <w:r w:rsidRPr="0036480D">
        <w:rPr>
          <w:rFonts w:eastAsia="DengXian Light"/>
          <w:b/>
          <w:sz w:val="21"/>
          <w:szCs w:val="21"/>
          <w:lang w:eastAsia="zh-CN"/>
        </w:rPr>
        <w:t>Reference:</w:t>
      </w:r>
    </w:p>
    <w:p w14:paraId="5F48E56B" w14:textId="77777777" w:rsidR="0036480D" w:rsidRPr="0036480D" w:rsidRDefault="0036480D" w:rsidP="0036480D">
      <w:pPr>
        <w:widowControl w:val="0"/>
        <w:spacing w:afterLines="50" w:after="120" w:line="259" w:lineRule="auto"/>
        <w:jc w:val="both"/>
        <w:rPr>
          <w:rFonts w:eastAsia="DengXian Light"/>
          <w:szCs w:val="22"/>
          <w:lang w:val="en-US" w:eastAsia="zh-CN"/>
        </w:rPr>
      </w:pPr>
      <w:r w:rsidRPr="0036480D">
        <w:rPr>
          <w:rFonts w:eastAsia="DengXian Light"/>
          <w:szCs w:val="22"/>
          <w:lang w:val="en-US" w:eastAsia="zh-CN"/>
        </w:rPr>
        <w:t>Argentina, Annex II: Reasons for a Review, ATCM XXV/WP7, 2002.</w:t>
      </w:r>
    </w:p>
    <w:p w14:paraId="0A9624CC" w14:textId="77777777" w:rsidR="0036480D" w:rsidRPr="0036480D" w:rsidRDefault="0036480D" w:rsidP="0036480D">
      <w:pPr>
        <w:widowControl w:val="0"/>
        <w:spacing w:afterLines="50" w:after="120" w:line="259" w:lineRule="auto"/>
        <w:jc w:val="both"/>
        <w:rPr>
          <w:rFonts w:eastAsia="DengXian Light"/>
          <w:szCs w:val="22"/>
          <w:lang w:val="en-US" w:eastAsia="zh-CN"/>
        </w:rPr>
      </w:pPr>
      <w:r w:rsidRPr="0036480D">
        <w:rPr>
          <w:rFonts w:eastAsia="DengXian Light"/>
          <w:szCs w:val="22"/>
          <w:lang w:val="en-US" w:eastAsia="zh-CN"/>
        </w:rPr>
        <w:t>Argentina, Final Report of the Inter-sessional Contact Group on Specially Protected Species in Antarctica, ATCM XXV /WP38, 2002.</w:t>
      </w:r>
    </w:p>
    <w:p w14:paraId="3D0E614E" w14:textId="77777777" w:rsidR="0036480D" w:rsidRPr="0036480D" w:rsidRDefault="0036480D" w:rsidP="0036480D">
      <w:pPr>
        <w:widowControl w:val="0"/>
        <w:spacing w:afterLines="50" w:after="120" w:line="259" w:lineRule="auto"/>
        <w:jc w:val="both"/>
        <w:rPr>
          <w:rFonts w:eastAsia="DengXian Light"/>
          <w:szCs w:val="22"/>
          <w:lang w:val="en-US" w:eastAsia="zh-CN"/>
        </w:rPr>
      </w:pPr>
      <w:r w:rsidRPr="0036480D">
        <w:rPr>
          <w:rFonts w:eastAsia="DengXian Light"/>
          <w:szCs w:val="22"/>
          <w:lang w:val="en-US" w:eastAsia="zh-CN"/>
        </w:rPr>
        <w:t>SCAR, De-listing Antarctic Specially Protected Species, ATCM XXVIII/WP33, 2005.</w:t>
      </w:r>
    </w:p>
    <w:p w14:paraId="6BB7B3D7" w14:textId="77777777" w:rsidR="0036480D" w:rsidRPr="0036480D" w:rsidRDefault="0036480D" w:rsidP="0036480D">
      <w:pPr>
        <w:widowControl w:val="0"/>
        <w:spacing w:afterLines="50" w:after="120" w:line="259" w:lineRule="auto"/>
        <w:jc w:val="both"/>
        <w:rPr>
          <w:rFonts w:eastAsia="DengXian Light"/>
          <w:szCs w:val="22"/>
          <w:lang w:val="en-US" w:eastAsia="zh-CN"/>
        </w:rPr>
      </w:pPr>
      <w:r w:rsidRPr="0036480D">
        <w:rPr>
          <w:rFonts w:eastAsia="DengXian Light"/>
          <w:szCs w:val="22"/>
          <w:lang w:val="en-US" w:eastAsia="zh-CN"/>
        </w:rPr>
        <w:t>SCAR, Proposal to List a Species as a Specially Protected Species under Annex II, ATCM XXVIII/WP34, 2005.</w:t>
      </w:r>
    </w:p>
    <w:p w14:paraId="017B3C64" w14:textId="77777777" w:rsidR="0036480D" w:rsidRPr="0036480D" w:rsidRDefault="0036480D" w:rsidP="0036480D">
      <w:pPr>
        <w:widowControl w:val="0"/>
        <w:spacing w:afterLines="50" w:after="120" w:line="259" w:lineRule="auto"/>
        <w:jc w:val="both"/>
        <w:rPr>
          <w:rFonts w:eastAsia="DengXian Light"/>
          <w:szCs w:val="22"/>
          <w:lang w:val="en-US" w:eastAsia="zh-CN"/>
        </w:rPr>
      </w:pPr>
      <w:r w:rsidRPr="0036480D">
        <w:rPr>
          <w:rFonts w:eastAsia="DengXian Light"/>
          <w:szCs w:val="22"/>
          <w:lang w:val="en-US" w:eastAsia="zh-CN"/>
        </w:rPr>
        <w:t>SCAR, Proposal to List Southern Giant Petrel as a Specially Protected Species under Annex II, ATCM XXIX/WP38, 2006.</w:t>
      </w:r>
    </w:p>
    <w:p w14:paraId="6FC8706A" w14:textId="77777777" w:rsidR="0036480D" w:rsidRPr="0036480D" w:rsidRDefault="0036480D" w:rsidP="0036480D">
      <w:pPr>
        <w:widowControl w:val="0"/>
        <w:spacing w:afterLines="50" w:after="120" w:line="259" w:lineRule="auto"/>
        <w:jc w:val="both"/>
        <w:rPr>
          <w:rFonts w:eastAsia="DengXian Light"/>
          <w:szCs w:val="22"/>
          <w:lang w:val="en-US" w:eastAsia="zh-CN"/>
        </w:rPr>
      </w:pPr>
      <w:r w:rsidRPr="0036480D">
        <w:rPr>
          <w:rFonts w:eastAsia="DengXian Light"/>
          <w:szCs w:val="22"/>
          <w:lang w:val="en-US" w:eastAsia="zh-CN"/>
        </w:rPr>
        <w:lastRenderedPageBreak/>
        <w:t>SCAR, Proposal to De-list Antarctic Fur Seals as Specially Protected Species, ATCM XXIX/WP39, 2006.</w:t>
      </w:r>
    </w:p>
    <w:p w14:paraId="778D732A" w14:textId="77777777" w:rsidR="0036480D" w:rsidRPr="0036480D" w:rsidRDefault="0036480D" w:rsidP="0036480D">
      <w:pPr>
        <w:widowControl w:val="0"/>
        <w:spacing w:afterLines="50" w:after="120" w:line="259" w:lineRule="auto"/>
        <w:jc w:val="both"/>
        <w:rPr>
          <w:rFonts w:eastAsia="DengXian Light"/>
          <w:szCs w:val="22"/>
          <w:lang w:val="en-US" w:eastAsia="zh-CN"/>
        </w:rPr>
      </w:pPr>
      <w:r w:rsidRPr="0036480D">
        <w:rPr>
          <w:rFonts w:eastAsia="DengXian Light"/>
          <w:szCs w:val="22"/>
          <w:lang w:val="en-US" w:eastAsia="zh-CN"/>
        </w:rPr>
        <w:t>SCAR, Current Status of the Ross Seal (</w:t>
      </w:r>
      <w:r w:rsidRPr="0036480D">
        <w:rPr>
          <w:rFonts w:eastAsia="DengXian Light"/>
          <w:i/>
          <w:szCs w:val="22"/>
          <w:lang w:val="en-US" w:eastAsia="zh-CN"/>
        </w:rPr>
        <w:t>Ommatophoca rossii</w:t>
      </w:r>
      <w:r w:rsidRPr="0036480D">
        <w:rPr>
          <w:rFonts w:eastAsia="DengXian Light"/>
          <w:szCs w:val="22"/>
          <w:lang w:val="en-US" w:eastAsia="zh-CN"/>
        </w:rPr>
        <w:t xml:space="preserve">): A Specially Protected Species under Annex II, ATCMXXX/WP27, 2007. </w:t>
      </w:r>
    </w:p>
    <w:p w14:paraId="088803C7" w14:textId="77777777" w:rsidR="0036480D" w:rsidRPr="0036480D" w:rsidRDefault="0036480D" w:rsidP="0036480D">
      <w:pPr>
        <w:widowControl w:val="0"/>
        <w:spacing w:afterLines="50" w:after="120" w:line="259" w:lineRule="auto"/>
        <w:jc w:val="both"/>
        <w:rPr>
          <w:rFonts w:eastAsia="DengXian Light"/>
          <w:szCs w:val="22"/>
          <w:lang w:val="en-US" w:eastAsia="zh-CN"/>
        </w:rPr>
      </w:pPr>
      <w:r w:rsidRPr="0036480D">
        <w:rPr>
          <w:rFonts w:eastAsia="DengXian Light"/>
          <w:szCs w:val="22"/>
          <w:lang w:val="en-US" w:eastAsia="zh-CN"/>
        </w:rPr>
        <w:t>IUCN Red List website, at &lt;www.iucnredlist.org/species/15269/45228952&gt;, visited on April 5, 2022.</w:t>
      </w:r>
    </w:p>
    <w:p w14:paraId="6E4E2668" w14:textId="77777777" w:rsidR="0036480D" w:rsidRPr="0036480D" w:rsidRDefault="0036480D" w:rsidP="00952E9F">
      <w:pPr>
        <w:rPr>
          <w:lang w:val="en-US"/>
        </w:rPr>
      </w:pPr>
    </w:p>
    <w:sectPr w:rsidR="0036480D" w:rsidRPr="0036480D"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96FC9" w14:textId="77777777" w:rsidR="00866536" w:rsidRDefault="00866536">
      <w:r>
        <w:separator/>
      </w:r>
    </w:p>
  </w:endnote>
  <w:endnote w:type="continuationSeparator" w:id="0">
    <w:p w14:paraId="7429A851" w14:textId="77777777" w:rsidR="00866536" w:rsidRDefault="00866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D3E07" w14:textId="77777777" w:rsidR="00FA0B9F" w:rsidRDefault="0036480D" w:rsidP="00CF5C82">
    <w:pPr>
      <w:framePr w:wrap="around" w:vAnchor="text" w:hAnchor="margin" w:xAlign="right" w:y="1"/>
    </w:pPr>
    <w:r>
      <w:fldChar w:fldCharType="begin"/>
    </w:r>
    <w:r>
      <w:instrText xml:space="preserve">PAGE  </w:instrText>
    </w:r>
    <w:r>
      <w:fldChar w:fldCharType="end"/>
    </w:r>
  </w:p>
  <w:p w14:paraId="17518D0E" w14:textId="77777777" w:rsidR="00FA0B9F" w:rsidRDefault="00A86FD4"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43805" w14:textId="77777777" w:rsidR="00FA0B9F" w:rsidRDefault="0036480D" w:rsidP="00CF5C82">
    <w:pPr>
      <w:framePr w:wrap="around" w:vAnchor="text" w:hAnchor="margin" w:xAlign="right" w:y="1"/>
    </w:pPr>
    <w:r>
      <w:fldChar w:fldCharType="begin"/>
    </w:r>
    <w:r>
      <w:instrText xml:space="preserve">PAGE  </w:instrText>
    </w:r>
    <w:r>
      <w:fldChar w:fldCharType="separate"/>
    </w:r>
    <w:r w:rsidR="002D319B">
      <w:rPr>
        <w:noProof/>
      </w:rPr>
      <w:t>1</w:t>
    </w:r>
    <w:r>
      <w:fldChar w:fldCharType="end"/>
    </w:r>
  </w:p>
  <w:p w14:paraId="6075EBCF" w14:textId="325569C2" w:rsidR="00FA0B9F" w:rsidRDefault="00A86FD4"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DC0D8" w14:textId="77777777" w:rsidR="00A86FD4" w:rsidRDefault="00A86FD4">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92830" w14:textId="77777777" w:rsidR="00E311C9" w:rsidRDefault="0036480D" w:rsidP="00CF5C82">
    <w:pPr>
      <w:framePr w:wrap="around" w:vAnchor="text" w:hAnchor="margin" w:xAlign="right" w:y="1"/>
    </w:pPr>
    <w:r>
      <w:fldChar w:fldCharType="begin"/>
    </w:r>
    <w:r>
      <w:instrText xml:space="preserve">PAGE  </w:instrText>
    </w:r>
    <w:r>
      <w:fldChar w:fldCharType="separate"/>
    </w:r>
    <w:r w:rsidR="002D319B">
      <w:rPr>
        <w:noProof/>
      </w:rPr>
      <w:t>3</w:t>
    </w:r>
    <w:r>
      <w:fldChar w:fldCharType="end"/>
    </w:r>
  </w:p>
  <w:p w14:paraId="0B377ADA" w14:textId="77777777" w:rsidR="00E311C9" w:rsidRDefault="00A86FD4"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EB65D" w14:textId="77777777" w:rsidR="00866536" w:rsidRDefault="00866536">
      <w:r>
        <w:separator/>
      </w:r>
    </w:p>
  </w:footnote>
  <w:footnote w:type="continuationSeparator" w:id="0">
    <w:p w14:paraId="3F045543" w14:textId="77777777" w:rsidR="00866536" w:rsidRDefault="008665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64395" w14:textId="77777777" w:rsidR="00A86FD4" w:rsidRDefault="00A86FD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9A0A25" w14:paraId="68D9D2BE" w14:textId="77777777" w:rsidTr="00490760">
      <w:trPr>
        <w:trHeight w:val="344"/>
        <w:jc w:val="center"/>
      </w:trPr>
      <w:tc>
        <w:tcPr>
          <w:tcW w:w="5495" w:type="dxa"/>
        </w:tcPr>
        <w:p w14:paraId="3D06FBAC" w14:textId="77777777" w:rsidR="00DB7C09" w:rsidRDefault="00A86FD4" w:rsidP="00F968D4"/>
      </w:tc>
      <w:tc>
        <w:tcPr>
          <w:tcW w:w="4253" w:type="dxa"/>
          <w:gridSpan w:val="2"/>
        </w:tcPr>
        <w:p w14:paraId="4FF1CC1A" w14:textId="77777777" w:rsidR="00DB7C09" w:rsidRPr="00BD47E4" w:rsidRDefault="0036480D" w:rsidP="002A07BC">
          <w:pPr>
            <w:jc w:val="right"/>
            <w:rPr>
              <w:b/>
              <w:sz w:val="32"/>
              <w:szCs w:val="32"/>
            </w:rPr>
          </w:pPr>
          <w:bookmarkStart w:id="2" w:name="type"/>
          <w:r w:rsidRPr="00BD47E4">
            <w:rPr>
              <w:b/>
              <w:sz w:val="32"/>
              <w:szCs w:val="32"/>
            </w:rPr>
            <w:t>WP</w:t>
          </w:r>
          <w:bookmarkEnd w:id="2"/>
        </w:p>
      </w:tc>
      <w:tc>
        <w:tcPr>
          <w:tcW w:w="1524" w:type="dxa"/>
          <w:gridSpan w:val="2"/>
        </w:tcPr>
        <w:p w14:paraId="0A2FDA64" w14:textId="77777777" w:rsidR="00DB7C09" w:rsidRPr="00BD47E4" w:rsidRDefault="0036480D" w:rsidP="00DB7C09">
          <w:pPr>
            <w:rPr>
              <w:b/>
              <w:sz w:val="32"/>
              <w:szCs w:val="32"/>
            </w:rPr>
          </w:pPr>
          <w:bookmarkStart w:id="3" w:name="number"/>
          <w:r w:rsidRPr="00BD47E4">
            <w:rPr>
              <w:b/>
              <w:sz w:val="32"/>
              <w:szCs w:val="32"/>
            </w:rPr>
            <w:t>24</w:t>
          </w:r>
          <w:bookmarkEnd w:id="3"/>
        </w:p>
      </w:tc>
    </w:tr>
    <w:tr w:rsidR="009A0A25" w14:paraId="48B69BDE" w14:textId="77777777" w:rsidTr="00490760">
      <w:trPr>
        <w:trHeight w:val="2165"/>
        <w:jc w:val="center"/>
      </w:trPr>
      <w:tc>
        <w:tcPr>
          <w:tcW w:w="5495" w:type="dxa"/>
        </w:tcPr>
        <w:p w14:paraId="0776A782" w14:textId="77777777" w:rsidR="00490760" w:rsidRPr="00EE4D48" w:rsidRDefault="0036480D" w:rsidP="002A07BC">
          <w:pPr>
            <w:rPr>
              <w:b/>
              <w:sz w:val="28"/>
              <w:szCs w:val="28"/>
            </w:rPr>
          </w:pPr>
          <w:r>
            <w:rPr>
              <w:noProof/>
              <w:lang w:val="es-AR" w:eastAsia="es-AR"/>
            </w:rPr>
            <w:drawing>
              <wp:inline distT="0" distB="0" distL="0" distR="0" wp14:anchorId="7DA971E2" wp14:editId="6882DA5E">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34707"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6E04C997" w14:textId="77777777" w:rsidR="00490760" w:rsidRPr="00FE5146" w:rsidRDefault="0036480D" w:rsidP="00490760">
          <w:pPr>
            <w:jc w:val="right"/>
            <w:rPr>
              <w:sz w:val="144"/>
              <w:szCs w:val="144"/>
            </w:rPr>
          </w:pPr>
          <w:r w:rsidRPr="00FE5146">
            <w:rPr>
              <w:sz w:val="144"/>
              <w:szCs w:val="144"/>
            </w:rPr>
            <w:t>ENG</w:t>
          </w:r>
        </w:p>
      </w:tc>
    </w:tr>
    <w:tr w:rsidR="009A0A25" w14:paraId="297BCFF7" w14:textId="77777777" w:rsidTr="00BD47E4">
      <w:trPr>
        <w:trHeight w:val="409"/>
        <w:jc w:val="center"/>
      </w:trPr>
      <w:tc>
        <w:tcPr>
          <w:tcW w:w="9039" w:type="dxa"/>
          <w:gridSpan w:val="2"/>
        </w:tcPr>
        <w:p w14:paraId="208670C9" w14:textId="77777777" w:rsidR="00BD47E4" w:rsidRDefault="0036480D" w:rsidP="002C30DA">
          <w:pPr>
            <w:jc w:val="right"/>
          </w:pPr>
          <w:r>
            <w:t>Agenda Item:</w:t>
          </w:r>
        </w:p>
      </w:tc>
      <w:tc>
        <w:tcPr>
          <w:tcW w:w="1843" w:type="dxa"/>
          <w:gridSpan w:val="2"/>
        </w:tcPr>
        <w:p w14:paraId="676F5F98" w14:textId="3C5ED333" w:rsidR="0036480D" w:rsidRDefault="0036480D" w:rsidP="002C30DA">
          <w:pPr>
            <w:jc w:val="right"/>
          </w:pPr>
          <w:bookmarkStart w:id="4" w:name="agenda"/>
          <w:r>
            <w:t>ATCM 6</w:t>
          </w:r>
          <w:r w:rsidR="00A86FD4">
            <w:t>b</w:t>
          </w:r>
          <w:r>
            <w:t xml:space="preserve">, </w:t>
          </w:r>
        </w:p>
        <w:p w14:paraId="60A1A064" w14:textId="6C2F2370" w:rsidR="00BD47E4" w:rsidRDefault="0036480D" w:rsidP="002C30DA">
          <w:pPr>
            <w:jc w:val="right"/>
          </w:pPr>
          <w:r>
            <w:t>CEP 10b</w:t>
          </w:r>
          <w:bookmarkEnd w:id="4"/>
        </w:p>
      </w:tc>
      <w:tc>
        <w:tcPr>
          <w:tcW w:w="390" w:type="dxa"/>
        </w:tcPr>
        <w:p w14:paraId="33930035" w14:textId="77777777" w:rsidR="00BD47E4" w:rsidRDefault="00A86FD4" w:rsidP="00387A65">
          <w:pPr>
            <w:jc w:val="right"/>
          </w:pPr>
        </w:p>
      </w:tc>
    </w:tr>
    <w:tr w:rsidR="009A0A25" w14:paraId="2AF27447" w14:textId="77777777" w:rsidTr="00BD47E4">
      <w:trPr>
        <w:trHeight w:val="397"/>
        <w:jc w:val="center"/>
      </w:trPr>
      <w:tc>
        <w:tcPr>
          <w:tcW w:w="9039" w:type="dxa"/>
          <w:gridSpan w:val="2"/>
        </w:tcPr>
        <w:p w14:paraId="0DE600FD" w14:textId="77777777" w:rsidR="00BD47E4" w:rsidRDefault="0036480D" w:rsidP="002C30DA">
          <w:pPr>
            <w:jc w:val="right"/>
          </w:pPr>
          <w:r>
            <w:t>Presented by:</w:t>
          </w:r>
        </w:p>
      </w:tc>
      <w:tc>
        <w:tcPr>
          <w:tcW w:w="1843" w:type="dxa"/>
          <w:gridSpan w:val="2"/>
        </w:tcPr>
        <w:p w14:paraId="4BC09D9C" w14:textId="77777777" w:rsidR="00BD47E4" w:rsidRDefault="0036480D" w:rsidP="002C30DA">
          <w:pPr>
            <w:jc w:val="right"/>
          </w:pPr>
          <w:bookmarkStart w:id="5" w:name="party"/>
          <w:r>
            <w:t>China</w:t>
          </w:r>
          <w:bookmarkEnd w:id="5"/>
        </w:p>
      </w:tc>
      <w:tc>
        <w:tcPr>
          <w:tcW w:w="390" w:type="dxa"/>
        </w:tcPr>
        <w:p w14:paraId="376B5040" w14:textId="77777777" w:rsidR="00BD47E4" w:rsidRDefault="00A86FD4" w:rsidP="00387A65">
          <w:pPr>
            <w:jc w:val="right"/>
          </w:pPr>
        </w:p>
      </w:tc>
    </w:tr>
    <w:tr w:rsidR="009A0A25" w14:paraId="2B301761" w14:textId="77777777" w:rsidTr="00BD47E4">
      <w:trPr>
        <w:trHeight w:val="409"/>
        <w:jc w:val="center"/>
      </w:trPr>
      <w:tc>
        <w:tcPr>
          <w:tcW w:w="9039" w:type="dxa"/>
          <w:gridSpan w:val="2"/>
        </w:tcPr>
        <w:p w14:paraId="32639725" w14:textId="77777777" w:rsidR="00BD47E4" w:rsidRDefault="0036480D" w:rsidP="002C30DA">
          <w:pPr>
            <w:jc w:val="right"/>
          </w:pPr>
          <w:r>
            <w:t>Original:</w:t>
          </w:r>
        </w:p>
      </w:tc>
      <w:tc>
        <w:tcPr>
          <w:tcW w:w="1843" w:type="dxa"/>
          <w:gridSpan w:val="2"/>
        </w:tcPr>
        <w:p w14:paraId="31AA27A1" w14:textId="77777777" w:rsidR="00BD47E4" w:rsidRDefault="0036480D" w:rsidP="002C30DA">
          <w:pPr>
            <w:jc w:val="right"/>
          </w:pPr>
          <w:bookmarkStart w:id="6" w:name="language"/>
          <w:r>
            <w:t>English</w:t>
          </w:r>
          <w:bookmarkEnd w:id="6"/>
        </w:p>
      </w:tc>
      <w:tc>
        <w:tcPr>
          <w:tcW w:w="390" w:type="dxa"/>
        </w:tcPr>
        <w:p w14:paraId="67BF2660" w14:textId="77777777" w:rsidR="00BD47E4" w:rsidRDefault="00A86FD4" w:rsidP="00387A65">
          <w:pPr>
            <w:jc w:val="right"/>
          </w:pPr>
        </w:p>
      </w:tc>
    </w:tr>
    <w:tr w:rsidR="009A0A25" w14:paraId="71709C33" w14:textId="77777777" w:rsidTr="00BD47E4">
      <w:trPr>
        <w:trHeight w:val="409"/>
        <w:jc w:val="center"/>
      </w:trPr>
      <w:tc>
        <w:tcPr>
          <w:tcW w:w="9039" w:type="dxa"/>
          <w:gridSpan w:val="2"/>
        </w:tcPr>
        <w:p w14:paraId="6EFDAA4B" w14:textId="77777777" w:rsidR="0097629D" w:rsidRDefault="0036480D" w:rsidP="002C30DA">
          <w:pPr>
            <w:jc w:val="right"/>
          </w:pPr>
          <w:r>
            <w:t>Submitted:</w:t>
          </w:r>
        </w:p>
      </w:tc>
      <w:tc>
        <w:tcPr>
          <w:tcW w:w="1843" w:type="dxa"/>
          <w:gridSpan w:val="2"/>
        </w:tcPr>
        <w:p w14:paraId="147AF915" w14:textId="77777777" w:rsidR="0097629D" w:rsidRDefault="0036480D" w:rsidP="0097629D">
          <w:pPr>
            <w:jc w:val="right"/>
          </w:pPr>
          <w:bookmarkStart w:id="7" w:name="date_submission"/>
          <w:r>
            <w:t>7/4/2022</w:t>
          </w:r>
          <w:bookmarkEnd w:id="7"/>
        </w:p>
      </w:tc>
      <w:tc>
        <w:tcPr>
          <w:tcW w:w="390" w:type="dxa"/>
        </w:tcPr>
        <w:p w14:paraId="4CB25B97" w14:textId="77777777" w:rsidR="0097629D" w:rsidRDefault="00A86FD4" w:rsidP="00387A65">
          <w:pPr>
            <w:jc w:val="right"/>
          </w:pPr>
        </w:p>
      </w:tc>
    </w:tr>
  </w:tbl>
  <w:p w14:paraId="08254365" w14:textId="77777777" w:rsidR="00AE5DD0" w:rsidRDefault="00A86FD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7C56B" w14:textId="77777777" w:rsidR="00A86FD4" w:rsidRDefault="00A86FD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9A0A25" w14:paraId="18D79213" w14:textId="77777777">
      <w:trPr>
        <w:trHeight w:val="354"/>
        <w:jc w:val="center"/>
      </w:trPr>
      <w:tc>
        <w:tcPr>
          <w:tcW w:w="9694" w:type="dxa"/>
        </w:tcPr>
        <w:p w14:paraId="20BC0E50" w14:textId="749C5C7D" w:rsidR="00AE5DD0" w:rsidRPr="00BD47E4" w:rsidRDefault="0036480D" w:rsidP="00C26F2D">
          <w:pPr>
            <w:jc w:val="right"/>
            <w:rPr>
              <w:b/>
              <w:sz w:val="32"/>
              <w:szCs w:val="32"/>
            </w:rPr>
          </w:pPr>
          <w:r>
            <w:rPr>
              <w:b/>
              <w:sz w:val="32"/>
              <w:szCs w:val="32"/>
            </w:rPr>
            <w:t>WP</w:t>
          </w:r>
        </w:p>
      </w:tc>
      <w:tc>
        <w:tcPr>
          <w:tcW w:w="1332" w:type="dxa"/>
        </w:tcPr>
        <w:p w14:paraId="697DC410" w14:textId="22F355CB" w:rsidR="00AE5DD0" w:rsidRPr="00BD47E4" w:rsidRDefault="0036480D" w:rsidP="00080F4C">
          <w:pPr>
            <w:rPr>
              <w:b/>
              <w:sz w:val="32"/>
              <w:szCs w:val="32"/>
            </w:rPr>
          </w:pPr>
          <w:r>
            <w:rPr>
              <w:b/>
              <w:sz w:val="32"/>
              <w:szCs w:val="32"/>
            </w:rPr>
            <w:t>24</w:t>
          </w:r>
        </w:p>
      </w:tc>
    </w:tr>
  </w:tbl>
  <w:p w14:paraId="210BAAD6" w14:textId="77777777" w:rsidR="00AE5DD0" w:rsidRDefault="00A86F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7A9E6A0E">
      <w:start w:val="1"/>
      <w:numFmt w:val="bullet"/>
      <w:pStyle w:val="ATSBullet1"/>
      <w:lvlText w:val=""/>
      <w:lvlJc w:val="left"/>
      <w:pPr>
        <w:tabs>
          <w:tab w:val="num" w:pos="360"/>
        </w:tabs>
        <w:ind w:left="360" w:hanging="360"/>
      </w:pPr>
      <w:rPr>
        <w:rFonts w:ascii="Symbol" w:hAnsi="Symbol" w:hint="default"/>
        <w:color w:val="auto"/>
      </w:rPr>
    </w:lvl>
    <w:lvl w:ilvl="1" w:tplc="2264B3FC" w:tentative="1">
      <w:start w:val="1"/>
      <w:numFmt w:val="bullet"/>
      <w:lvlText w:val="o"/>
      <w:lvlJc w:val="left"/>
      <w:pPr>
        <w:tabs>
          <w:tab w:val="num" w:pos="1440"/>
        </w:tabs>
        <w:ind w:left="1440" w:hanging="360"/>
      </w:pPr>
      <w:rPr>
        <w:rFonts w:ascii="Courier New" w:hAnsi="Courier New" w:cs="Courier New" w:hint="default"/>
      </w:rPr>
    </w:lvl>
    <w:lvl w:ilvl="2" w:tplc="4210C9D8" w:tentative="1">
      <w:start w:val="1"/>
      <w:numFmt w:val="bullet"/>
      <w:lvlText w:val=""/>
      <w:lvlJc w:val="left"/>
      <w:pPr>
        <w:tabs>
          <w:tab w:val="num" w:pos="2160"/>
        </w:tabs>
        <w:ind w:left="2160" w:hanging="360"/>
      </w:pPr>
      <w:rPr>
        <w:rFonts w:ascii="Wingdings" w:hAnsi="Wingdings" w:hint="default"/>
      </w:rPr>
    </w:lvl>
    <w:lvl w:ilvl="3" w:tplc="115071AE" w:tentative="1">
      <w:start w:val="1"/>
      <w:numFmt w:val="bullet"/>
      <w:lvlText w:val=""/>
      <w:lvlJc w:val="left"/>
      <w:pPr>
        <w:tabs>
          <w:tab w:val="num" w:pos="2880"/>
        </w:tabs>
        <w:ind w:left="2880" w:hanging="360"/>
      </w:pPr>
      <w:rPr>
        <w:rFonts w:ascii="Symbol" w:hAnsi="Symbol" w:hint="default"/>
      </w:rPr>
    </w:lvl>
    <w:lvl w:ilvl="4" w:tplc="7DB62236" w:tentative="1">
      <w:start w:val="1"/>
      <w:numFmt w:val="bullet"/>
      <w:lvlText w:val="o"/>
      <w:lvlJc w:val="left"/>
      <w:pPr>
        <w:tabs>
          <w:tab w:val="num" w:pos="3600"/>
        </w:tabs>
        <w:ind w:left="3600" w:hanging="360"/>
      </w:pPr>
      <w:rPr>
        <w:rFonts w:ascii="Courier New" w:hAnsi="Courier New" w:cs="Courier New" w:hint="default"/>
      </w:rPr>
    </w:lvl>
    <w:lvl w:ilvl="5" w:tplc="C80AD3E4" w:tentative="1">
      <w:start w:val="1"/>
      <w:numFmt w:val="bullet"/>
      <w:lvlText w:val=""/>
      <w:lvlJc w:val="left"/>
      <w:pPr>
        <w:tabs>
          <w:tab w:val="num" w:pos="4320"/>
        </w:tabs>
        <w:ind w:left="4320" w:hanging="360"/>
      </w:pPr>
      <w:rPr>
        <w:rFonts w:ascii="Wingdings" w:hAnsi="Wingdings" w:hint="default"/>
      </w:rPr>
    </w:lvl>
    <w:lvl w:ilvl="6" w:tplc="8586EEF6" w:tentative="1">
      <w:start w:val="1"/>
      <w:numFmt w:val="bullet"/>
      <w:lvlText w:val=""/>
      <w:lvlJc w:val="left"/>
      <w:pPr>
        <w:tabs>
          <w:tab w:val="num" w:pos="5040"/>
        </w:tabs>
        <w:ind w:left="5040" w:hanging="360"/>
      </w:pPr>
      <w:rPr>
        <w:rFonts w:ascii="Symbol" w:hAnsi="Symbol" w:hint="default"/>
      </w:rPr>
    </w:lvl>
    <w:lvl w:ilvl="7" w:tplc="FDC29732" w:tentative="1">
      <w:start w:val="1"/>
      <w:numFmt w:val="bullet"/>
      <w:lvlText w:val="o"/>
      <w:lvlJc w:val="left"/>
      <w:pPr>
        <w:tabs>
          <w:tab w:val="num" w:pos="5760"/>
        </w:tabs>
        <w:ind w:left="5760" w:hanging="360"/>
      </w:pPr>
      <w:rPr>
        <w:rFonts w:ascii="Courier New" w:hAnsi="Courier New" w:cs="Courier New" w:hint="default"/>
      </w:rPr>
    </w:lvl>
    <w:lvl w:ilvl="8" w:tplc="0346EF8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C764C8DA">
      <w:start w:val="1"/>
      <w:numFmt w:val="decimal"/>
      <w:lvlText w:val="%1)"/>
      <w:lvlJc w:val="left"/>
      <w:pPr>
        <w:tabs>
          <w:tab w:val="num" w:pos="340"/>
        </w:tabs>
        <w:ind w:left="340" w:hanging="340"/>
      </w:pPr>
      <w:rPr>
        <w:rFonts w:hint="default"/>
      </w:rPr>
    </w:lvl>
    <w:lvl w:ilvl="1" w:tplc="DD000CBA" w:tentative="1">
      <w:start w:val="1"/>
      <w:numFmt w:val="lowerLetter"/>
      <w:lvlText w:val="%2."/>
      <w:lvlJc w:val="left"/>
      <w:pPr>
        <w:tabs>
          <w:tab w:val="num" w:pos="1440"/>
        </w:tabs>
        <w:ind w:left="1440" w:hanging="360"/>
      </w:pPr>
    </w:lvl>
    <w:lvl w:ilvl="2" w:tplc="7A581426" w:tentative="1">
      <w:start w:val="1"/>
      <w:numFmt w:val="lowerRoman"/>
      <w:lvlText w:val="%3."/>
      <w:lvlJc w:val="right"/>
      <w:pPr>
        <w:tabs>
          <w:tab w:val="num" w:pos="2160"/>
        </w:tabs>
        <w:ind w:left="2160" w:hanging="180"/>
      </w:pPr>
    </w:lvl>
    <w:lvl w:ilvl="3" w:tplc="3A3A3938" w:tentative="1">
      <w:start w:val="1"/>
      <w:numFmt w:val="decimal"/>
      <w:lvlText w:val="%4."/>
      <w:lvlJc w:val="left"/>
      <w:pPr>
        <w:tabs>
          <w:tab w:val="num" w:pos="2880"/>
        </w:tabs>
        <w:ind w:left="2880" w:hanging="360"/>
      </w:pPr>
    </w:lvl>
    <w:lvl w:ilvl="4" w:tplc="830CC8D2" w:tentative="1">
      <w:start w:val="1"/>
      <w:numFmt w:val="lowerLetter"/>
      <w:lvlText w:val="%5."/>
      <w:lvlJc w:val="left"/>
      <w:pPr>
        <w:tabs>
          <w:tab w:val="num" w:pos="3600"/>
        </w:tabs>
        <w:ind w:left="3600" w:hanging="360"/>
      </w:pPr>
    </w:lvl>
    <w:lvl w:ilvl="5" w:tplc="BDD4EB40" w:tentative="1">
      <w:start w:val="1"/>
      <w:numFmt w:val="lowerRoman"/>
      <w:lvlText w:val="%6."/>
      <w:lvlJc w:val="right"/>
      <w:pPr>
        <w:tabs>
          <w:tab w:val="num" w:pos="4320"/>
        </w:tabs>
        <w:ind w:left="4320" w:hanging="180"/>
      </w:pPr>
    </w:lvl>
    <w:lvl w:ilvl="6" w:tplc="A5EA89E0" w:tentative="1">
      <w:start w:val="1"/>
      <w:numFmt w:val="decimal"/>
      <w:lvlText w:val="%7."/>
      <w:lvlJc w:val="left"/>
      <w:pPr>
        <w:tabs>
          <w:tab w:val="num" w:pos="5040"/>
        </w:tabs>
        <w:ind w:left="5040" w:hanging="360"/>
      </w:pPr>
    </w:lvl>
    <w:lvl w:ilvl="7" w:tplc="C8D2A236" w:tentative="1">
      <w:start w:val="1"/>
      <w:numFmt w:val="lowerLetter"/>
      <w:lvlText w:val="%8."/>
      <w:lvlJc w:val="left"/>
      <w:pPr>
        <w:tabs>
          <w:tab w:val="num" w:pos="5760"/>
        </w:tabs>
        <w:ind w:left="5760" w:hanging="360"/>
      </w:pPr>
    </w:lvl>
    <w:lvl w:ilvl="8" w:tplc="702A7A20"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F2566B9C">
      <w:start w:val="1"/>
      <w:numFmt w:val="decimal"/>
      <w:lvlText w:val="%1."/>
      <w:lvlJc w:val="left"/>
      <w:pPr>
        <w:tabs>
          <w:tab w:val="num" w:pos="1057"/>
        </w:tabs>
        <w:ind w:left="1057" w:hanging="360"/>
      </w:pPr>
      <w:rPr>
        <w:rFonts w:hint="default"/>
      </w:rPr>
    </w:lvl>
    <w:lvl w:ilvl="1" w:tplc="A6A46E64" w:tentative="1">
      <w:start w:val="1"/>
      <w:numFmt w:val="lowerLetter"/>
      <w:lvlText w:val="%2."/>
      <w:lvlJc w:val="left"/>
      <w:pPr>
        <w:tabs>
          <w:tab w:val="num" w:pos="2137"/>
        </w:tabs>
        <w:ind w:left="2137" w:hanging="360"/>
      </w:pPr>
    </w:lvl>
    <w:lvl w:ilvl="2" w:tplc="66AEB862" w:tentative="1">
      <w:start w:val="1"/>
      <w:numFmt w:val="lowerRoman"/>
      <w:lvlText w:val="%3."/>
      <w:lvlJc w:val="right"/>
      <w:pPr>
        <w:tabs>
          <w:tab w:val="num" w:pos="2857"/>
        </w:tabs>
        <w:ind w:left="2857" w:hanging="180"/>
      </w:pPr>
    </w:lvl>
    <w:lvl w:ilvl="3" w:tplc="4000B49E" w:tentative="1">
      <w:start w:val="1"/>
      <w:numFmt w:val="decimal"/>
      <w:lvlText w:val="%4."/>
      <w:lvlJc w:val="left"/>
      <w:pPr>
        <w:tabs>
          <w:tab w:val="num" w:pos="3577"/>
        </w:tabs>
        <w:ind w:left="3577" w:hanging="360"/>
      </w:pPr>
    </w:lvl>
    <w:lvl w:ilvl="4" w:tplc="8560449A" w:tentative="1">
      <w:start w:val="1"/>
      <w:numFmt w:val="lowerLetter"/>
      <w:lvlText w:val="%5."/>
      <w:lvlJc w:val="left"/>
      <w:pPr>
        <w:tabs>
          <w:tab w:val="num" w:pos="4297"/>
        </w:tabs>
        <w:ind w:left="4297" w:hanging="360"/>
      </w:pPr>
    </w:lvl>
    <w:lvl w:ilvl="5" w:tplc="596E5E3E" w:tentative="1">
      <w:start w:val="1"/>
      <w:numFmt w:val="lowerRoman"/>
      <w:lvlText w:val="%6."/>
      <w:lvlJc w:val="right"/>
      <w:pPr>
        <w:tabs>
          <w:tab w:val="num" w:pos="5017"/>
        </w:tabs>
        <w:ind w:left="5017" w:hanging="180"/>
      </w:pPr>
    </w:lvl>
    <w:lvl w:ilvl="6" w:tplc="EE4ECF04" w:tentative="1">
      <w:start w:val="1"/>
      <w:numFmt w:val="decimal"/>
      <w:lvlText w:val="%7."/>
      <w:lvlJc w:val="left"/>
      <w:pPr>
        <w:tabs>
          <w:tab w:val="num" w:pos="5737"/>
        </w:tabs>
        <w:ind w:left="5737" w:hanging="360"/>
      </w:pPr>
    </w:lvl>
    <w:lvl w:ilvl="7" w:tplc="5170B9C6" w:tentative="1">
      <w:start w:val="1"/>
      <w:numFmt w:val="lowerLetter"/>
      <w:lvlText w:val="%8."/>
      <w:lvlJc w:val="left"/>
      <w:pPr>
        <w:tabs>
          <w:tab w:val="num" w:pos="6457"/>
        </w:tabs>
        <w:ind w:left="6457" w:hanging="360"/>
      </w:pPr>
    </w:lvl>
    <w:lvl w:ilvl="8" w:tplc="62805732"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28964F44">
      <w:start w:val="1"/>
      <w:numFmt w:val="decimal"/>
      <w:pStyle w:val="ATSNumber1"/>
      <w:lvlText w:val="%1)"/>
      <w:lvlJc w:val="left"/>
      <w:pPr>
        <w:tabs>
          <w:tab w:val="num" w:pos="720"/>
        </w:tabs>
        <w:ind w:left="720" w:hanging="360"/>
      </w:pPr>
    </w:lvl>
    <w:lvl w:ilvl="1" w:tplc="5CB60678" w:tentative="1">
      <w:start w:val="1"/>
      <w:numFmt w:val="lowerLetter"/>
      <w:lvlText w:val="%2."/>
      <w:lvlJc w:val="left"/>
      <w:pPr>
        <w:tabs>
          <w:tab w:val="num" w:pos="1440"/>
        </w:tabs>
        <w:ind w:left="1440" w:hanging="360"/>
      </w:pPr>
    </w:lvl>
    <w:lvl w:ilvl="2" w:tplc="99E0B2CA" w:tentative="1">
      <w:start w:val="1"/>
      <w:numFmt w:val="lowerRoman"/>
      <w:lvlText w:val="%3."/>
      <w:lvlJc w:val="right"/>
      <w:pPr>
        <w:tabs>
          <w:tab w:val="num" w:pos="2160"/>
        </w:tabs>
        <w:ind w:left="2160" w:hanging="180"/>
      </w:pPr>
    </w:lvl>
    <w:lvl w:ilvl="3" w:tplc="80502554" w:tentative="1">
      <w:start w:val="1"/>
      <w:numFmt w:val="decimal"/>
      <w:lvlText w:val="%4."/>
      <w:lvlJc w:val="left"/>
      <w:pPr>
        <w:tabs>
          <w:tab w:val="num" w:pos="2880"/>
        </w:tabs>
        <w:ind w:left="2880" w:hanging="360"/>
      </w:pPr>
    </w:lvl>
    <w:lvl w:ilvl="4" w:tplc="8A2EA9D0" w:tentative="1">
      <w:start w:val="1"/>
      <w:numFmt w:val="lowerLetter"/>
      <w:lvlText w:val="%5."/>
      <w:lvlJc w:val="left"/>
      <w:pPr>
        <w:tabs>
          <w:tab w:val="num" w:pos="3600"/>
        </w:tabs>
        <w:ind w:left="3600" w:hanging="360"/>
      </w:pPr>
    </w:lvl>
    <w:lvl w:ilvl="5" w:tplc="3C2AA444" w:tentative="1">
      <w:start w:val="1"/>
      <w:numFmt w:val="lowerRoman"/>
      <w:lvlText w:val="%6."/>
      <w:lvlJc w:val="right"/>
      <w:pPr>
        <w:tabs>
          <w:tab w:val="num" w:pos="4320"/>
        </w:tabs>
        <w:ind w:left="4320" w:hanging="180"/>
      </w:pPr>
    </w:lvl>
    <w:lvl w:ilvl="6" w:tplc="72BAC806" w:tentative="1">
      <w:start w:val="1"/>
      <w:numFmt w:val="decimal"/>
      <w:lvlText w:val="%7."/>
      <w:lvlJc w:val="left"/>
      <w:pPr>
        <w:tabs>
          <w:tab w:val="num" w:pos="5040"/>
        </w:tabs>
        <w:ind w:left="5040" w:hanging="360"/>
      </w:pPr>
    </w:lvl>
    <w:lvl w:ilvl="7" w:tplc="3DA69AB0" w:tentative="1">
      <w:start w:val="1"/>
      <w:numFmt w:val="lowerLetter"/>
      <w:lvlText w:val="%8."/>
      <w:lvlJc w:val="left"/>
      <w:pPr>
        <w:tabs>
          <w:tab w:val="num" w:pos="5760"/>
        </w:tabs>
        <w:ind w:left="5760" w:hanging="360"/>
      </w:pPr>
    </w:lvl>
    <w:lvl w:ilvl="8" w:tplc="0290C3E0"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C122C0A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8F0AE0C4" w:tentative="1">
      <w:start w:val="1"/>
      <w:numFmt w:val="bullet"/>
      <w:lvlText w:val="o"/>
      <w:lvlJc w:val="left"/>
      <w:pPr>
        <w:tabs>
          <w:tab w:val="num" w:pos="2517"/>
        </w:tabs>
        <w:ind w:left="2517" w:hanging="360"/>
      </w:pPr>
      <w:rPr>
        <w:rFonts w:ascii="Courier New" w:hAnsi="Courier New" w:cs="Courier New" w:hint="default"/>
      </w:rPr>
    </w:lvl>
    <w:lvl w:ilvl="2" w:tplc="7DDCCCEA" w:tentative="1">
      <w:start w:val="1"/>
      <w:numFmt w:val="bullet"/>
      <w:lvlText w:val=""/>
      <w:lvlJc w:val="left"/>
      <w:pPr>
        <w:tabs>
          <w:tab w:val="num" w:pos="3237"/>
        </w:tabs>
        <w:ind w:left="3237" w:hanging="360"/>
      </w:pPr>
      <w:rPr>
        <w:rFonts w:ascii="Wingdings" w:hAnsi="Wingdings" w:hint="default"/>
      </w:rPr>
    </w:lvl>
    <w:lvl w:ilvl="3" w:tplc="CAFA50F0" w:tentative="1">
      <w:start w:val="1"/>
      <w:numFmt w:val="bullet"/>
      <w:lvlText w:val=""/>
      <w:lvlJc w:val="left"/>
      <w:pPr>
        <w:tabs>
          <w:tab w:val="num" w:pos="3957"/>
        </w:tabs>
        <w:ind w:left="3957" w:hanging="360"/>
      </w:pPr>
      <w:rPr>
        <w:rFonts w:ascii="Symbol" w:hAnsi="Symbol" w:hint="default"/>
      </w:rPr>
    </w:lvl>
    <w:lvl w:ilvl="4" w:tplc="952080D0" w:tentative="1">
      <w:start w:val="1"/>
      <w:numFmt w:val="bullet"/>
      <w:lvlText w:val="o"/>
      <w:lvlJc w:val="left"/>
      <w:pPr>
        <w:tabs>
          <w:tab w:val="num" w:pos="4677"/>
        </w:tabs>
        <w:ind w:left="4677" w:hanging="360"/>
      </w:pPr>
      <w:rPr>
        <w:rFonts w:ascii="Courier New" w:hAnsi="Courier New" w:cs="Courier New" w:hint="default"/>
      </w:rPr>
    </w:lvl>
    <w:lvl w:ilvl="5" w:tplc="2ED634B6" w:tentative="1">
      <w:start w:val="1"/>
      <w:numFmt w:val="bullet"/>
      <w:lvlText w:val=""/>
      <w:lvlJc w:val="left"/>
      <w:pPr>
        <w:tabs>
          <w:tab w:val="num" w:pos="5397"/>
        </w:tabs>
        <w:ind w:left="5397" w:hanging="360"/>
      </w:pPr>
      <w:rPr>
        <w:rFonts w:ascii="Wingdings" w:hAnsi="Wingdings" w:hint="default"/>
      </w:rPr>
    </w:lvl>
    <w:lvl w:ilvl="6" w:tplc="8FECB6C0" w:tentative="1">
      <w:start w:val="1"/>
      <w:numFmt w:val="bullet"/>
      <w:lvlText w:val=""/>
      <w:lvlJc w:val="left"/>
      <w:pPr>
        <w:tabs>
          <w:tab w:val="num" w:pos="6117"/>
        </w:tabs>
        <w:ind w:left="6117" w:hanging="360"/>
      </w:pPr>
      <w:rPr>
        <w:rFonts w:ascii="Symbol" w:hAnsi="Symbol" w:hint="default"/>
      </w:rPr>
    </w:lvl>
    <w:lvl w:ilvl="7" w:tplc="653ADC48" w:tentative="1">
      <w:start w:val="1"/>
      <w:numFmt w:val="bullet"/>
      <w:lvlText w:val="o"/>
      <w:lvlJc w:val="left"/>
      <w:pPr>
        <w:tabs>
          <w:tab w:val="num" w:pos="6837"/>
        </w:tabs>
        <w:ind w:left="6837" w:hanging="360"/>
      </w:pPr>
      <w:rPr>
        <w:rFonts w:ascii="Courier New" w:hAnsi="Courier New" w:cs="Courier New" w:hint="default"/>
      </w:rPr>
    </w:lvl>
    <w:lvl w:ilvl="8" w:tplc="7690D0A4"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3154EC60">
      <w:start w:val="1"/>
      <w:numFmt w:val="decimal"/>
      <w:pStyle w:val="ATSNumber2"/>
      <w:lvlText w:val="%1."/>
      <w:lvlJc w:val="left"/>
      <w:pPr>
        <w:tabs>
          <w:tab w:val="num" w:pos="720"/>
        </w:tabs>
        <w:ind w:left="720" w:hanging="360"/>
      </w:pPr>
      <w:rPr>
        <w:rFonts w:hint="default"/>
      </w:rPr>
    </w:lvl>
    <w:lvl w:ilvl="1" w:tplc="A940A550" w:tentative="1">
      <w:start w:val="1"/>
      <w:numFmt w:val="lowerLetter"/>
      <w:lvlText w:val="%2."/>
      <w:lvlJc w:val="left"/>
      <w:pPr>
        <w:tabs>
          <w:tab w:val="num" w:pos="1440"/>
        </w:tabs>
        <w:ind w:left="1440" w:hanging="360"/>
      </w:pPr>
    </w:lvl>
    <w:lvl w:ilvl="2" w:tplc="9E28DBA4" w:tentative="1">
      <w:start w:val="1"/>
      <w:numFmt w:val="lowerRoman"/>
      <w:lvlText w:val="%3."/>
      <w:lvlJc w:val="right"/>
      <w:pPr>
        <w:tabs>
          <w:tab w:val="num" w:pos="2160"/>
        </w:tabs>
        <w:ind w:left="2160" w:hanging="180"/>
      </w:pPr>
    </w:lvl>
    <w:lvl w:ilvl="3" w:tplc="C0E6BB3C" w:tentative="1">
      <w:start w:val="1"/>
      <w:numFmt w:val="decimal"/>
      <w:lvlText w:val="%4."/>
      <w:lvlJc w:val="left"/>
      <w:pPr>
        <w:tabs>
          <w:tab w:val="num" w:pos="2880"/>
        </w:tabs>
        <w:ind w:left="2880" w:hanging="360"/>
      </w:pPr>
    </w:lvl>
    <w:lvl w:ilvl="4" w:tplc="934A234C" w:tentative="1">
      <w:start w:val="1"/>
      <w:numFmt w:val="lowerLetter"/>
      <w:lvlText w:val="%5."/>
      <w:lvlJc w:val="left"/>
      <w:pPr>
        <w:tabs>
          <w:tab w:val="num" w:pos="3600"/>
        </w:tabs>
        <w:ind w:left="3600" w:hanging="360"/>
      </w:pPr>
    </w:lvl>
    <w:lvl w:ilvl="5" w:tplc="A26C8F60" w:tentative="1">
      <w:start w:val="1"/>
      <w:numFmt w:val="lowerRoman"/>
      <w:lvlText w:val="%6."/>
      <w:lvlJc w:val="right"/>
      <w:pPr>
        <w:tabs>
          <w:tab w:val="num" w:pos="4320"/>
        </w:tabs>
        <w:ind w:left="4320" w:hanging="180"/>
      </w:pPr>
    </w:lvl>
    <w:lvl w:ilvl="6" w:tplc="FF389960" w:tentative="1">
      <w:start w:val="1"/>
      <w:numFmt w:val="decimal"/>
      <w:lvlText w:val="%7."/>
      <w:lvlJc w:val="left"/>
      <w:pPr>
        <w:tabs>
          <w:tab w:val="num" w:pos="5040"/>
        </w:tabs>
        <w:ind w:left="5040" w:hanging="360"/>
      </w:pPr>
    </w:lvl>
    <w:lvl w:ilvl="7" w:tplc="7BAE37DA" w:tentative="1">
      <w:start w:val="1"/>
      <w:numFmt w:val="lowerLetter"/>
      <w:lvlText w:val="%8."/>
      <w:lvlJc w:val="left"/>
      <w:pPr>
        <w:tabs>
          <w:tab w:val="num" w:pos="5760"/>
        </w:tabs>
        <w:ind w:left="5760" w:hanging="360"/>
      </w:pPr>
    </w:lvl>
    <w:lvl w:ilvl="8" w:tplc="10C6EE6E" w:tentative="1">
      <w:start w:val="1"/>
      <w:numFmt w:val="lowerRoman"/>
      <w:lvlText w:val="%9."/>
      <w:lvlJc w:val="right"/>
      <w:pPr>
        <w:tabs>
          <w:tab w:val="num" w:pos="6480"/>
        </w:tabs>
        <w:ind w:left="6480" w:hanging="180"/>
      </w:pPr>
    </w:lvl>
  </w:abstractNum>
  <w:num w:numId="1" w16cid:durableId="1906180272">
    <w:abstractNumId w:val="9"/>
  </w:num>
  <w:num w:numId="2" w16cid:durableId="1537158399">
    <w:abstractNumId w:val="7"/>
  </w:num>
  <w:num w:numId="3" w16cid:durableId="1697458973">
    <w:abstractNumId w:val="6"/>
  </w:num>
  <w:num w:numId="4" w16cid:durableId="191966678">
    <w:abstractNumId w:val="5"/>
  </w:num>
  <w:num w:numId="5" w16cid:durableId="1359241159">
    <w:abstractNumId w:val="4"/>
  </w:num>
  <w:num w:numId="6" w16cid:durableId="172763101">
    <w:abstractNumId w:val="8"/>
  </w:num>
  <w:num w:numId="7" w16cid:durableId="107167631">
    <w:abstractNumId w:val="3"/>
  </w:num>
  <w:num w:numId="8" w16cid:durableId="215317852">
    <w:abstractNumId w:val="2"/>
  </w:num>
  <w:num w:numId="9" w16cid:durableId="1668095869">
    <w:abstractNumId w:val="1"/>
  </w:num>
  <w:num w:numId="10" w16cid:durableId="868227920">
    <w:abstractNumId w:val="0"/>
  </w:num>
  <w:num w:numId="11" w16cid:durableId="520361582">
    <w:abstractNumId w:val="11"/>
  </w:num>
  <w:num w:numId="12" w16cid:durableId="2013484662">
    <w:abstractNumId w:val="15"/>
  </w:num>
  <w:num w:numId="13" w16cid:durableId="783158468">
    <w:abstractNumId w:val="14"/>
  </w:num>
  <w:num w:numId="14" w16cid:durableId="1549802999">
    <w:abstractNumId w:val="12"/>
  </w:num>
  <w:num w:numId="15" w16cid:durableId="118112121">
    <w:abstractNumId w:val="13"/>
  </w:num>
  <w:num w:numId="16" w16cid:durableId="243684686">
    <w:abstractNumId w:val="10"/>
  </w:num>
  <w:num w:numId="17" w16cid:durableId="649406895">
    <w:abstractNumId w:val="11"/>
  </w:num>
  <w:num w:numId="18" w16cid:durableId="2114326949">
    <w:abstractNumId w:val="15"/>
  </w:num>
  <w:num w:numId="19" w16cid:durableId="974600707">
    <w:abstractNumId w:val="14"/>
  </w:num>
  <w:num w:numId="20" w16cid:durableId="54135820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A25"/>
    <w:rsid w:val="002D319B"/>
    <w:rsid w:val="0036480D"/>
    <w:rsid w:val="00674A86"/>
    <w:rsid w:val="00866536"/>
    <w:rsid w:val="009A0A25"/>
    <w:rsid w:val="00A86FD4"/>
    <w:rsid w:val="00AF5719"/>
    <w:rsid w:val="00F43F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76347B2"/>
  <w15:chartTrackingRefBased/>
  <w15:docId w15:val="{80386839-79D2-4EB3-9DF2-7786C4EE6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markedcontent">
    <w:name w:val="markedcontent"/>
    <w:qFormat/>
    <w:rsid w:val="00364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8F0100-5E7F-489D-B242-2730BB00C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1177</Words>
  <Characters>6461</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2022-04-18T15:26:00Z</dcterms:created>
  <dcterms:modified xsi:type="dcterms:W3CDTF">2022-05-24T15:02:00Z</dcterms:modified>
</cp:coreProperties>
</file>