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CA05E" w14:textId="77777777" w:rsidR="00C26F2D" w:rsidRPr="00BF077B" w:rsidRDefault="00DD5D6B" w:rsidP="00BF077B">
      <w:pPr>
        <w:pStyle w:val="ATSNormal"/>
        <w:rPr>
          <w:rStyle w:val="Ttulodellibro"/>
        </w:rPr>
      </w:pPr>
    </w:p>
    <w:p w14:paraId="5DA0F41D" w14:textId="77777777" w:rsidR="002F0A13" w:rsidRDefault="00DD5D6B" w:rsidP="004B4A60">
      <w:pPr>
        <w:rPr>
          <w:b/>
          <w:u w:val="single"/>
          <w:lang w:val="es-ES_tradnl"/>
        </w:rPr>
      </w:pPr>
    </w:p>
    <w:p w14:paraId="02C1DEB2" w14:textId="77777777" w:rsidR="002F0A13" w:rsidRDefault="00DD5D6B" w:rsidP="004B4A60">
      <w:pPr>
        <w:rPr>
          <w:b/>
          <w:u w:val="single"/>
          <w:lang w:val="es-ES_tradnl"/>
        </w:rPr>
      </w:pPr>
    </w:p>
    <w:p w14:paraId="62890431" w14:textId="77777777" w:rsidR="002F0A13" w:rsidRDefault="00DD5D6B" w:rsidP="004B4A60">
      <w:pPr>
        <w:rPr>
          <w:b/>
          <w:u w:val="single"/>
          <w:lang w:val="es-ES_tradnl"/>
        </w:rPr>
      </w:pPr>
    </w:p>
    <w:p w14:paraId="3D72A81E" w14:textId="77777777" w:rsidR="002F0A13" w:rsidRDefault="00DD5D6B" w:rsidP="004B4A60">
      <w:pPr>
        <w:rPr>
          <w:b/>
          <w:u w:val="single"/>
          <w:lang w:val="es-ES_tradnl"/>
        </w:rPr>
      </w:pPr>
    </w:p>
    <w:p w14:paraId="72A848FC" w14:textId="77777777" w:rsidR="00C26F2D" w:rsidRDefault="00DD5D6B" w:rsidP="004B4A60">
      <w:pPr>
        <w:rPr>
          <w:b/>
          <w:u w:val="single"/>
          <w:lang w:val="es-ES_tradnl"/>
        </w:rPr>
      </w:pPr>
    </w:p>
    <w:p w14:paraId="3D04CD54" w14:textId="77777777" w:rsidR="004B4A60" w:rsidRPr="0057246E" w:rsidRDefault="00DD5D6B" w:rsidP="001B789F">
      <w:pPr>
        <w:pStyle w:val="ATSTitle"/>
      </w:pPr>
      <w:bookmarkStart w:id="0" w:name="name"/>
      <w:r>
        <w:t>Relocation of artefacts from HSM 68: Supply depot, Hell’s Gate Moraine</w:t>
      </w:r>
      <w:bookmarkEnd w:id="0"/>
    </w:p>
    <w:p w14:paraId="7C45EB00" w14:textId="77777777" w:rsidR="004B4A60" w:rsidRPr="0057246E" w:rsidRDefault="00DD5D6B" w:rsidP="00F75424">
      <w:pPr>
        <w:jc w:val="center"/>
      </w:pPr>
    </w:p>
    <w:p w14:paraId="215556E3" w14:textId="77777777" w:rsidR="004B4A60" w:rsidRPr="002F0A13" w:rsidRDefault="00DD5D6B" w:rsidP="002F0A13"/>
    <w:p w14:paraId="61F30DEA" w14:textId="77777777" w:rsidR="004B4A60" w:rsidRDefault="00DD5D6B" w:rsidP="00F75424">
      <w:pPr>
        <w:jc w:val="center"/>
      </w:pPr>
      <w:bookmarkStart w:id="1" w:name="memo"/>
      <w:bookmarkEnd w:id="1"/>
    </w:p>
    <w:p w14:paraId="4469C6D7" w14:textId="77777777" w:rsidR="0097629D" w:rsidRDefault="00DD5D6B" w:rsidP="00F75424">
      <w:pPr>
        <w:jc w:val="center"/>
      </w:pPr>
    </w:p>
    <w:p w14:paraId="28FDF11C" w14:textId="77777777" w:rsidR="0097629D" w:rsidRDefault="00DD5D6B" w:rsidP="00F75424">
      <w:pPr>
        <w:jc w:val="center"/>
      </w:pPr>
    </w:p>
    <w:p w14:paraId="31179232" w14:textId="77777777" w:rsidR="0097629D" w:rsidRDefault="00DD5D6B" w:rsidP="00F75424">
      <w:pPr>
        <w:jc w:val="center"/>
      </w:pPr>
    </w:p>
    <w:p w14:paraId="70504587" w14:textId="77777777" w:rsidR="0097629D" w:rsidRPr="00C26F2D" w:rsidRDefault="00DD5D6B" w:rsidP="00F75424">
      <w:pPr>
        <w:jc w:val="center"/>
      </w:pPr>
    </w:p>
    <w:p w14:paraId="5288432E" w14:textId="77777777" w:rsidR="004B4A60" w:rsidRPr="0057246E" w:rsidRDefault="00DD5D6B" w:rsidP="004B4A60"/>
    <w:p w14:paraId="50860E5B" w14:textId="77777777" w:rsidR="00C26F2D" w:rsidRDefault="00DD5D6B" w:rsidP="00952E9F">
      <w:pPr>
        <w:sectPr w:rsidR="00C26F2D" w:rsidSect="00D5023C">
          <w:headerReference w:type="default" r:id="rId8"/>
          <w:footerReference w:type="even" r:id="rId9"/>
          <w:footerReference w:type="default" r:id="rId10"/>
          <w:pgSz w:w="11907" w:h="16840" w:code="9"/>
          <w:pgMar w:top="1134" w:right="1701" w:bottom="1134" w:left="1701" w:header="709" w:footer="709" w:gutter="0"/>
          <w:cols w:space="708"/>
          <w:docGrid w:linePitch="360"/>
        </w:sectPr>
      </w:pPr>
    </w:p>
    <w:p w14:paraId="139C8A82" w14:textId="77777777" w:rsidR="00DD5D6B" w:rsidRDefault="00DD5D6B" w:rsidP="00DD5D6B">
      <w:pPr>
        <w:pStyle w:val="ATSHeading1"/>
      </w:pPr>
      <w:r>
        <w:lastRenderedPageBreak/>
        <w:t>Relocation of artefacts from HSM 68: Supply depot, Hell’s Gate Moraine</w:t>
      </w:r>
    </w:p>
    <w:p w14:paraId="777A4CBB" w14:textId="77777777" w:rsidR="00DD5D6B" w:rsidRPr="001241D8" w:rsidRDefault="00DD5D6B" w:rsidP="00DD5D6B">
      <w:pPr>
        <w:pStyle w:val="ATSNormal"/>
        <w:jc w:val="center"/>
        <w:rPr>
          <w:rFonts w:eastAsia="Malgun Gothic"/>
          <w:b/>
          <w:lang w:eastAsia="en-US"/>
        </w:rPr>
      </w:pPr>
      <w:r w:rsidRPr="001241D8">
        <w:rPr>
          <w:rFonts w:eastAsia="Malgun Gothic"/>
          <w:b/>
          <w:lang w:eastAsia="en-US"/>
        </w:rPr>
        <w:t>Working Paper submitted by New Zealand, Norway and the United Kingdom</w:t>
      </w:r>
    </w:p>
    <w:p w14:paraId="29DE8D6B" w14:textId="77777777" w:rsidR="00DD5D6B" w:rsidRPr="00DE77E5" w:rsidRDefault="00DD5D6B" w:rsidP="00DD5D6B">
      <w:pPr>
        <w:pStyle w:val="ATSHeading2"/>
      </w:pPr>
      <w:r w:rsidRPr="00DE77E5">
        <w:t>Sum</w:t>
      </w:r>
      <w:r>
        <w:t>mary</w:t>
      </w:r>
    </w:p>
    <w:p w14:paraId="59E41E42" w14:textId="77777777" w:rsidR="00DD5D6B" w:rsidRPr="00A928A5" w:rsidRDefault="00DD5D6B" w:rsidP="00DD5D6B">
      <w:pPr>
        <w:spacing w:before="120" w:after="120"/>
        <w:rPr>
          <w:szCs w:val="22"/>
          <w:lang w:val="en-US" w:eastAsia="en-GB"/>
        </w:rPr>
      </w:pPr>
      <w:r>
        <w:rPr>
          <w:szCs w:val="22"/>
          <w:lang w:val="en-US" w:eastAsia="en-GB"/>
        </w:rPr>
        <w:t xml:space="preserve">Artefacts from Historic Site and Monument No. 68 Supply Depot, Hell’s Gate Moraine (HSM 68) were removed from their original location in the 1994/95 season and have been stored in a container at New Zealand’s Scott Base ever since. New Zealand, Norway and the United Kingdom reviewed the future storage and display options for the artefacts and </w:t>
      </w:r>
      <w:r w:rsidRPr="00B5352F">
        <w:rPr>
          <w:szCs w:val="22"/>
          <w:lang w:val="en-US" w:eastAsia="en-GB"/>
        </w:rPr>
        <w:t>recommend they be removed from Antarctica for storage and safe keeping of the objects within the Reserve Collection</w:t>
      </w:r>
      <w:r>
        <w:rPr>
          <w:szCs w:val="22"/>
          <w:lang w:val="en-US" w:eastAsia="en-GB"/>
        </w:rPr>
        <w:t xml:space="preserve"> supported by the New Zealand Antarctic Heritage Trust (AHT)</w:t>
      </w:r>
      <w:r w:rsidRPr="00B5352F">
        <w:rPr>
          <w:szCs w:val="22"/>
          <w:lang w:val="en-US" w:eastAsia="en-GB"/>
        </w:rPr>
        <w:t xml:space="preserve"> at Canterbury Museum, Christchurch, New Zealand.</w:t>
      </w:r>
    </w:p>
    <w:p w14:paraId="1F69A265" w14:textId="77777777" w:rsidR="00DD5D6B" w:rsidRPr="002E7F98" w:rsidRDefault="00DD5D6B" w:rsidP="00DD5D6B">
      <w:pPr>
        <w:pStyle w:val="ATSHeading2"/>
        <w:rPr>
          <w:lang w:val="en-US"/>
        </w:rPr>
      </w:pPr>
      <w:r>
        <w:t>Background</w:t>
      </w:r>
    </w:p>
    <w:p w14:paraId="3287BD0E" w14:textId="77777777" w:rsidR="00DD5D6B" w:rsidRPr="00D62231" w:rsidRDefault="00DD5D6B" w:rsidP="00DD5D6B">
      <w:pPr>
        <w:pStyle w:val="ATSNormal"/>
        <w:rPr>
          <w:i/>
          <w:szCs w:val="22"/>
          <w:lang w:val="en-US"/>
        </w:rPr>
      </w:pPr>
      <w:r w:rsidRPr="002E7F98">
        <w:rPr>
          <w:szCs w:val="22"/>
          <w:lang w:val="en-US"/>
        </w:rPr>
        <w:t xml:space="preserve">Heroic-era artefacts from </w:t>
      </w:r>
      <w:r>
        <w:rPr>
          <w:szCs w:val="22"/>
          <w:lang w:val="en-US"/>
        </w:rPr>
        <w:t xml:space="preserve">HSM 68: Supply Depot, </w:t>
      </w:r>
      <w:r w:rsidRPr="002E7F98">
        <w:rPr>
          <w:szCs w:val="22"/>
          <w:lang w:val="en-US"/>
        </w:rPr>
        <w:t xml:space="preserve">Hell’s Gate Moraine located adjacent to Inexpressible Island, Terra Nova Bay, Ross Sea region (Figure 1), were removed from their original locations in 1994/95 (Figure 2) under the directive of </w:t>
      </w:r>
      <w:r>
        <w:rPr>
          <w:szCs w:val="22"/>
          <w:lang w:val="en-US"/>
        </w:rPr>
        <w:t>the</w:t>
      </w:r>
      <w:r w:rsidRPr="002E7F98">
        <w:rPr>
          <w:szCs w:val="22"/>
          <w:lang w:val="en-US"/>
        </w:rPr>
        <w:t xml:space="preserve"> Director</w:t>
      </w:r>
      <w:r>
        <w:rPr>
          <w:szCs w:val="22"/>
          <w:lang w:val="en-US"/>
        </w:rPr>
        <w:t xml:space="preserve"> at the time</w:t>
      </w:r>
      <w:r w:rsidRPr="002E7F98">
        <w:rPr>
          <w:szCs w:val="22"/>
          <w:lang w:val="en-US"/>
        </w:rPr>
        <w:t xml:space="preserve"> of </w:t>
      </w:r>
      <w:r>
        <w:rPr>
          <w:szCs w:val="22"/>
          <w:lang w:val="en-US"/>
        </w:rPr>
        <w:t>the New Zealand Antarctic Programme to prevent the permanent loss of the artefacts to the environment</w:t>
      </w:r>
      <w:r w:rsidRPr="002E7F98">
        <w:rPr>
          <w:szCs w:val="22"/>
          <w:lang w:val="en-US"/>
        </w:rPr>
        <w:t xml:space="preserve">. </w:t>
      </w:r>
    </w:p>
    <w:p w14:paraId="1C6C9D0D" w14:textId="77777777" w:rsidR="00DD5D6B" w:rsidRPr="002E7F98" w:rsidRDefault="00DD5D6B" w:rsidP="00DD5D6B">
      <w:pPr>
        <w:pStyle w:val="ATSNormal"/>
        <w:rPr>
          <w:szCs w:val="22"/>
          <w:lang w:val="en-US"/>
        </w:rPr>
      </w:pPr>
      <w:r w:rsidRPr="002E7F98">
        <w:rPr>
          <w:szCs w:val="22"/>
          <w:lang w:val="en-US"/>
        </w:rPr>
        <w:t>The cache or artefacts comprises a sled, tools and food left as an emergency depot for future sledging parties</w:t>
      </w:r>
      <w:r>
        <w:rPr>
          <w:szCs w:val="22"/>
          <w:lang w:val="en-US"/>
        </w:rPr>
        <w:t xml:space="preserve"> (Figure 3)</w:t>
      </w:r>
      <w:r w:rsidRPr="002E7F98">
        <w:rPr>
          <w:szCs w:val="22"/>
          <w:lang w:val="en-US"/>
        </w:rPr>
        <w:t xml:space="preserve">. </w:t>
      </w:r>
      <w:r>
        <w:rPr>
          <w:szCs w:val="22"/>
          <w:lang w:val="en-US"/>
        </w:rPr>
        <w:t xml:space="preserve">In addition, some artefacts from </w:t>
      </w:r>
      <w:r w:rsidRPr="002E7F98">
        <w:rPr>
          <w:szCs w:val="22"/>
          <w:lang w:val="en-US"/>
        </w:rPr>
        <w:t>an emergency depot</w:t>
      </w:r>
      <w:r>
        <w:rPr>
          <w:szCs w:val="22"/>
          <w:lang w:val="en-US"/>
        </w:rPr>
        <w:t xml:space="preserve"> were recovered and included within the cache including</w:t>
      </w:r>
      <w:r w:rsidRPr="002E7F98">
        <w:rPr>
          <w:szCs w:val="22"/>
          <w:lang w:val="en-US"/>
        </w:rPr>
        <w:t xml:space="preserve"> a handful of leather sledging straps, some wooden spars from a sledge</w:t>
      </w:r>
      <w:r>
        <w:rPr>
          <w:szCs w:val="22"/>
          <w:lang w:val="en-US"/>
        </w:rPr>
        <w:t xml:space="preserve"> and </w:t>
      </w:r>
      <w:r w:rsidRPr="002E7F98">
        <w:rPr>
          <w:szCs w:val="22"/>
          <w:lang w:val="en-US"/>
        </w:rPr>
        <w:t>some rope</w:t>
      </w:r>
      <w:r w:rsidRPr="00BF62D9">
        <w:rPr>
          <w:szCs w:val="22"/>
          <w:lang w:val="en-US"/>
        </w:rPr>
        <w:t>.</w:t>
      </w:r>
    </w:p>
    <w:p w14:paraId="0DD1C2D5" w14:textId="77777777" w:rsidR="00DD5D6B" w:rsidRDefault="00DD5D6B" w:rsidP="00DD5D6B">
      <w:pPr>
        <w:pStyle w:val="ATSNormal"/>
        <w:rPr>
          <w:szCs w:val="22"/>
          <w:lang w:val="en-US"/>
        </w:rPr>
      </w:pPr>
      <w:r w:rsidRPr="002E7F98">
        <w:rPr>
          <w:szCs w:val="22"/>
          <w:lang w:val="en-US"/>
        </w:rPr>
        <w:t xml:space="preserve">The artefacts have </w:t>
      </w:r>
      <w:r>
        <w:rPr>
          <w:szCs w:val="22"/>
          <w:lang w:val="en-US"/>
        </w:rPr>
        <w:t>been cared for by</w:t>
      </w:r>
      <w:r w:rsidRPr="002E7F98">
        <w:rPr>
          <w:szCs w:val="22"/>
          <w:lang w:val="en-US"/>
        </w:rPr>
        <w:t xml:space="preserve"> the </w:t>
      </w:r>
      <w:r>
        <w:rPr>
          <w:szCs w:val="22"/>
          <w:lang w:val="en-US"/>
        </w:rPr>
        <w:t xml:space="preserve">New Zealand </w:t>
      </w:r>
      <w:r w:rsidRPr="002E7F98">
        <w:rPr>
          <w:szCs w:val="22"/>
          <w:lang w:val="en-US"/>
        </w:rPr>
        <w:t xml:space="preserve">Antarctic Heritage Trust ever since. The artefacts have been </w:t>
      </w:r>
      <w:r>
        <w:rPr>
          <w:szCs w:val="22"/>
          <w:lang w:val="en-US"/>
        </w:rPr>
        <w:t>conserved</w:t>
      </w:r>
      <w:r w:rsidRPr="002E7F98">
        <w:rPr>
          <w:szCs w:val="22"/>
          <w:lang w:val="en-US"/>
        </w:rPr>
        <w:t xml:space="preserve"> and stored in a shipping container outside at Scott Base (Figure 3, 4 and 5). </w:t>
      </w:r>
      <w:r>
        <w:rPr>
          <w:szCs w:val="22"/>
          <w:lang w:val="en-US"/>
        </w:rPr>
        <w:t>With the Scott Base Redevelopment underway, a</w:t>
      </w:r>
      <w:r w:rsidRPr="002E7F98">
        <w:rPr>
          <w:szCs w:val="22"/>
          <w:lang w:val="en-US"/>
        </w:rPr>
        <w:t xml:space="preserve"> more permanent home is required for these artefacts.</w:t>
      </w:r>
      <w:r>
        <w:rPr>
          <w:szCs w:val="22"/>
          <w:lang w:val="en-US"/>
        </w:rPr>
        <w:t xml:space="preserve"> A list of artefacts is presented in Attachment 1.</w:t>
      </w:r>
    </w:p>
    <w:p w14:paraId="432C2751" w14:textId="77777777" w:rsidR="00DD5D6B" w:rsidRPr="008C5EFD" w:rsidRDefault="00DD5D6B" w:rsidP="00DD5D6B">
      <w:pPr>
        <w:pStyle w:val="ATSHeading2"/>
      </w:pPr>
      <w:r w:rsidRPr="008C5EFD">
        <w:t>Assessment of options</w:t>
      </w:r>
    </w:p>
    <w:p w14:paraId="0FED2246" w14:textId="77777777" w:rsidR="00DD5D6B" w:rsidRPr="008C5EFD" w:rsidRDefault="00DD5D6B" w:rsidP="00DD5D6B">
      <w:pPr>
        <w:pStyle w:val="ATSNormal"/>
        <w:rPr>
          <w:szCs w:val="22"/>
          <w:lang w:val="en-US"/>
        </w:rPr>
      </w:pPr>
      <w:r w:rsidRPr="008C5EFD">
        <w:rPr>
          <w:szCs w:val="22"/>
          <w:lang w:val="en-US"/>
        </w:rPr>
        <w:t xml:space="preserve">The cache constitutes a unique part of the story of heroic-era exploration, and their greatest value (having already been removed from their original site) lies in being understood as a grouping of objects. </w:t>
      </w:r>
    </w:p>
    <w:p w14:paraId="174894B9" w14:textId="77777777" w:rsidR="00DD5D6B" w:rsidRDefault="00DD5D6B" w:rsidP="00DD5D6B">
      <w:pPr>
        <w:pStyle w:val="Default"/>
        <w:spacing w:before="120" w:after="120"/>
        <w:rPr>
          <w:color w:val="auto"/>
          <w:sz w:val="22"/>
          <w:szCs w:val="22"/>
          <w:lang w:val="en-US" w:eastAsia="en-GB"/>
        </w:rPr>
      </w:pPr>
      <w:r w:rsidRPr="001014E3">
        <w:rPr>
          <w:color w:val="auto"/>
          <w:sz w:val="22"/>
          <w:szCs w:val="22"/>
          <w:lang w:val="en-US" w:eastAsia="en-GB"/>
        </w:rPr>
        <w:t xml:space="preserve">With reference to the Guidelines for the designation and protection of Historic Sites and Monuments (Resolution 3 (2009)) and </w:t>
      </w:r>
      <w:r>
        <w:rPr>
          <w:color w:val="auto"/>
          <w:sz w:val="22"/>
          <w:szCs w:val="22"/>
          <w:lang w:val="en-US" w:eastAsia="en-GB"/>
        </w:rPr>
        <w:t xml:space="preserve">the </w:t>
      </w:r>
      <w:r w:rsidRPr="001014E3">
        <w:rPr>
          <w:color w:val="auto"/>
          <w:sz w:val="22"/>
          <w:szCs w:val="22"/>
          <w:lang w:val="en-US" w:eastAsia="en-GB"/>
        </w:rPr>
        <w:t>Guidelines for the assessment and management of Heritage in Antarctica (Resolution 1 (2022))</w:t>
      </w:r>
      <w:r>
        <w:rPr>
          <w:color w:val="auto"/>
          <w:sz w:val="22"/>
          <w:szCs w:val="22"/>
          <w:lang w:val="en-US" w:eastAsia="en-GB"/>
        </w:rPr>
        <w:t>,</w:t>
      </w:r>
      <w:r w:rsidRPr="001014E3">
        <w:rPr>
          <w:color w:val="auto"/>
          <w:sz w:val="22"/>
          <w:szCs w:val="22"/>
          <w:lang w:val="en-US" w:eastAsia="en-GB"/>
        </w:rPr>
        <w:t xml:space="preserve"> New Zealand, Norway and the United Kingdom reviewed the provenance, condition, and future storage and display options for the artefacts as outlined in Table 1. It was identified that the most appropriate option for storage and safe keeping of the objects </w:t>
      </w:r>
      <w:r>
        <w:rPr>
          <w:color w:val="auto"/>
          <w:sz w:val="22"/>
          <w:szCs w:val="22"/>
          <w:lang w:val="en-US" w:eastAsia="en-GB"/>
        </w:rPr>
        <w:t xml:space="preserve">is as part of the Reserve Collection supported by </w:t>
      </w:r>
      <w:r w:rsidRPr="00B5352F">
        <w:rPr>
          <w:color w:val="auto"/>
          <w:sz w:val="22"/>
          <w:szCs w:val="22"/>
          <w:lang w:val="en-US" w:eastAsia="en-GB"/>
        </w:rPr>
        <w:t>the New Zealand Antarctic Heritage Trust at Canterbury Museum, Christchurch, New Zealand</w:t>
      </w:r>
      <w:r w:rsidRPr="001014E3">
        <w:rPr>
          <w:color w:val="auto"/>
          <w:sz w:val="22"/>
          <w:szCs w:val="22"/>
          <w:lang w:val="en-US" w:eastAsia="en-GB"/>
        </w:rPr>
        <w:t xml:space="preserve">. </w:t>
      </w:r>
    </w:p>
    <w:p w14:paraId="567E4703" w14:textId="77777777" w:rsidR="00DD5D6B" w:rsidRDefault="00DD5D6B" w:rsidP="00DD5D6B">
      <w:pPr>
        <w:pStyle w:val="Default"/>
        <w:rPr>
          <w:color w:val="auto"/>
          <w:sz w:val="22"/>
          <w:szCs w:val="22"/>
          <w:lang w:val="en-US" w:eastAsia="en-GB"/>
        </w:rPr>
      </w:pPr>
    </w:p>
    <w:p w14:paraId="457714B5" w14:textId="77777777" w:rsidR="00DD5D6B" w:rsidRPr="001014E3" w:rsidRDefault="00DD5D6B" w:rsidP="00DD5D6B">
      <w:pPr>
        <w:pStyle w:val="Default"/>
        <w:rPr>
          <w:color w:val="auto"/>
          <w:sz w:val="22"/>
          <w:szCs w:val="22"/>
          <w:lang w:val="en-US" w:eastAsia="en-GB"/>
        </w:rPr>
      </w:pPr>
    </w:p>
    <w:p w14:paraId="04623CB3" w14:textId="77777777" w:rsidR="00DD5D6B" w:rsidRPr="001014E3" w:rsidRDefault="00DD5D6B" w:rsidP="00DD5D6B">
      <w:pPr>
        <w:pStyle w:val="ATSHeading2"/>
      </w:pPr>
      <w:r w:rsidRPr="001014E3">
        <w:t>Recommendation:</w:t>
      </w:r>
    </w:p>
    <w:p w14:paraId="47BF4371" w14:textId="77777777" w:rsidR="00DD5D6B" w:rsidRDefault="00DD5D6B" w:rsidP="00DD5D6B">
      <w:pPr>
        <w:pStyle w:val="ATSNormal"/>
        <w:spacing w:line="256" w:lineRule="auto"/>
        <w:rPr>
          <w:szCs w:val="22"/>
          <w:lang w:val="en-US"/>
        </w:rPr>
      </w:pPr>
      <w:r>
        <w:rPr>
          <w:szCs w:val="22"/>
          <w:lang w:val="en-US"/>
        </w:rPr>
        <w:t>New Zealand, Norway and the United Kingdom recommend the CEP:</w:t>
      </w:r>
    </w:p>
    <w:p w14:paraId="0F8B2A88" w14:textId="77777777" w:rsidR="00DD5D6B" w:rsidRPr="00B5352F" w:rsidRDefault="00DD5D6B" w:rsidP="00DD5D6B">
      <w:pPr>
        <w:pStyle w:val="ATSNormal"/>
        <w:numPr>
          <w:ilvl w:val="0"/>
          <w:numId w:val="23"/>
        </w:numPr>
        <w:spacing w:line="256" w:lineRule="auto"/>
        <w:rPr>
          <w:szCs w:val="22"/>
          <w:lang w:val="en-US"/>
        </w:rPr>
      </w:pPr>
      <w:r w:rsidRPr="00B5352F">
        <w:rPr>
          <w:szCs w:val="22"/>
          <w:lang w:val="en-US"/>
        </w:rPr>
        <w:lastRenderedPageBreak/>
        <w:t>Support the preferred long-term storage and safe keeping of the objects as part of the Reserve Collection</w:t>
      </w:r>
      <w:r>
        <w:rPr>
          <w:szCs w:val="22"/>
          <w:lang w:val="en-US"/>
        </w:rPr>
        <w:t xml:space="preserve"> supported by the </w:t>
      </w:r>
      <w:r w:rsidRPr="00B5352F">
        <w:rPr>
          <w:szCs w:val="22"/>
          <w:lang w:val="en-US"/>
        </w:rPr>
        <w:t>New Zealand Antarctic Heritage Trust at Canterbury Museum, Christchurch, New Zealand for possible future display as part of the museums Antarctic collection or for possible return to Antarctica if desired; and</w:t>
      </w:r>
    </w:p>
    <w:p w14:paraId="68EB6D22" w14:textId="77777777" w:rsidR="00DD5D6B" w:rsidRPr="00B5352F" w:rsidRDefault="00DD5D6B" w:rsidP="00DD5D6B">
      <w:pPr>
        <w:pStyle w:val="ATSNormal"/>
        <w:numPr>
          <w:ilvl w:val="0"/>
          <w:numId w:val="23"/>
        </w:numPr>
        <w:spacing w:line="256" w:lineRule="auto"/>
        <w:rPr>
          <w:szCs w:val="22"/>
          <w:lang w:val="en-US"/>
        </w:rPr>
      </w:pPr>
      <w:r w:rsidRPr="00B5352F">
        <w:rPr>
          <w:szCs w:val="22"/>
          <w:lang w:val="en-US"/>
        </w:rPr>
        <w:t>Update the Conservation Status on the HSM No. 68 listing on the Antarctic Protected Area database to read</w:t>
      </w:r>
      <w:r w:rsidRPr="001241D8">
        <w:rPr>
          <w:szCs w:val="22"/>
          <w:lang w:val="en-US"/>
        </w:rPr>
        <w:t xml:space="preserve">: </w:t>
      </w:r>
      <w:r w:rsidRPr="001241D8">
        <w:rPr>
          <w:i/>
          <w:szCs w:val="22"/>
          <w:lang w:val="en-US"/>
        </w:rPr>
        <w:t>Sledge and supplies removed from site in 1994. The artefacts have been documented and conserved (2017) by the New Zealand-based Antarctic Heritage Trust. They are stored at Canterbury Museum, Christchurch, New Zealand as part of the Reserve Collection supported by the New Zealand Antarctic Heritage Trust. The artefacts are extremely fragile</w:t>
      </w:r>
      <w:r w:rsidRPr="001241D8">
        <w:rPr>
          <w:szCs w:val="22"/>
          <w:lang w:val="en-US"/>
        </w:rPr>
        <w:t>.</w:t>
      </w:r>
    </w:p>
    <w:p w14:paraId="2AC6A75E" w14:textId="77777777" w:rsidR="00DD5D6B" w:rsidRDefault="00DD5D6B" w:rsidP="00DD5D6B">
      <w:pPr>
        <w:pStyle w:val="ATSNormal"/>
        <w:spacing w:before="0" w:after="0"/>
        <w:rPr>
          <w:szCs w:val="22"/>
          <w:lang w:val="en-US"/>
        </w:rPr>
      </w:pPr>
    </w:p>
    <w:p w14:paraId="220F77D9" w14:textId="77777777" w:rsidR="00DD5D6B" w:rsidRPr="008C5EFD" w:rsidRDefault="00DD5D6B" w:rsidP="00DD5D6B">
      <w:pPr>
        <w:pStyle w:val="ATSNormal"/>
        <w:spacing w:before="0" w:after="0"/>
        <w:rPr>
          <w:szCs w:val="22"/>
          <w:lang w:val="en-US"/>
        </w:rPr>
      </w:pPr>
    </w:p>
    <w:p w14:paraId="46758A3C" w14:textId="77777777" w:rsidR="00DD5D6B" w:rsidRPr="002E7F98" w:rsidRDefault="00DD5D6B" w:rsidP="00DD5D6B">
      <w:pPr>
        <w:spacing w:before="120" w:after="120"/>
        <w:jc w:val="center"/>
        <w:rPr>
          <w:szCs w:val="22"/>
          <w:lang w:val="en-US" w:eastAsia="en-GB"/>
        </w:rPr>
      </w:pPr>
      <w:r w:rsidRPr="002E7F98">
        <w:rPr>
          <w:noProof/>
          <w:szCs w:val="22"/>
          <w:lang w:val="en-US" w:eastAsia="en-GB"/>
        </w:rPr>
        <w:drawing>
          <wp:inline distT="0" distB="0" distL="0" distR="0" wp14:anchorId="6EB28664" wp14:editId="51DA8A16">
            <wp:extent cx="4895850" cy="3314700"/>
            <wp:effectExtent l="0" t="0" r="0" b="0"/>
            <wp:docPr id="4" name="Picture 4" descr="Imagen que contiene exterior, nieve, agua, cub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n que contiene exterior, nieve, agua, cubier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3314700"/>
                    </a:xfrm>
                    <a:prstGeom prst="rect">
                      <a:avLst/>
                    </a:prstGeom>
                    <a:noFill/>
                    <a:ln>
                      <a:noFill/>
                    </a:ln>
                  </pic:spPr>
                </pic:pic>
              </a:graphicData>
            </a:graphic>
          </wp:inline>
        </w:drawing>
      </w:r>
    </w:p>
    <w:p w14:paraId="264507CD" w14:textId="77777777" w:rsidR="00DD5D6B" w:rsidRPr="002E7F98" w:rsidRDefault="00DD5D6B" w:rsidP="00DD5D6B">
      <w:pPr>
        <w:pStyle w:val="ATSNormal"/>
        <w:rPr>
          <w:szCs w:val="22"/>
          <w:lang w:val="en-US"/>
        </w:rPr>
      </w:pPr>
      <w:r w:rsidRPr="002E7F98">
        <w:rPr>
          <w:szCs w:val="22"/>
          <w:lang w:val="en-US"/>
        </w:rPr>
        <w:t>Figure 1: Artefacts as found before removal.</w:t>
      </w:r>
    </w:p>
    <w:p w14:paraId="4148FB72" w14:textId="77777777" w:rsidR="00DD5D6B" w:rsidRPr="002E7F98" w:rsidRDefault="00DD5D6B" w:rsidP="00DD5D6B">
      <w:pPr>
        <w:spacing w:before="120" w:after="120"/>
        <w:rPr>
          <w:szCs w:val="22"/>
          <w:lang w:val="en-US" w:eastAsia="en-GB"/>
        </w:rPr>
      </w:pPr>
    </w:p>
    <w:p w14:paraId="27E31231" w14:textId="77777777" w:rsidR="00DD5D6B" w:rsidRPr="002E7F98" w:rsidRDefault="00DD5D6B" w:rsidP="00DD5D6B">
      <w:pPr>
        <w:spacing w:before="120" w:after="120"/>
        <w:jc w:val="center"/>
        <w:rPr>
          <w:szCs w:val="22"/>
          <w:lang w:val="en-US" w:eastAsia="en-GB"/>
        </w:rPr>
      </w:pPr>
      <w:r w:rsidRPr="002E7F98">
        <w:rPr>
          <w:noProof/>
          <w:szCs w:val="22"/>
          <w:lang w:val="en-US" w:eastAsia="en-GB"/>
        </w:rPr>
        <w:lastRenderedPageBreak/>
        <w:drawing>
          <wp:inline distT="0" distB="0" distL="0" distR="0" wp14:anchorId="47F04D3A" wp14:editId="68CF7EBD">
            <wp:extent cx="4895850" cy="3581400"/>
            <wp:effectExtent l="0" t="0" r="0" b="0"/>
            <wp:docPr id="3" name="Picture 3" descr="Un grupo de personas alrededor de una mes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 grupo de personas alrededor de una mesa de mader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3581400"/>
                    </a:xfrm>
                    <a:prstGeom prst="rect">
                      <a:avLst/>
                    </a:prstGeom>
                    <a:noFill/>
                    <a:ln>
                      <a:noFill/>
                    </a:ln>
                  </pic:spPr>
                </pic:pic>
              </a:graphicData>
            </a:graphic>
          </wp:inline>
        </w:drawing>
      </w:r>
    </w:p>
    <w:p w14:paraId="4D3DAA1B" w14:textId="77777777" w:rsidR="00DD5D6B" w:rsidRPr="002E7F98" w:rsidRDefault="00DD5D6B" w:rsidP="00DD5D6B">
      <w:pPr>
        <w:pStyle w:val="ATSNormal"/>
        <w:rPr>
          <w:szCs w:val="22"/>
          <w:lang w:val="en-US"/>
        </w:rPr>
      </w:pPr>
      <w:r w:rsidRPr="002E7F98">
        <w:rPr>
          <w:szCs w:val="22"/>
          <w:lang w:val="en-US"/>
        </w:rPr>
        <w:t>Figure 2: Artefacts removed to Scott Base in 1994/95.</w:t>
      </w:r>
    </w:p>
    <w:p w14:paraId="51B3B283" w14:textId="77777777" w:rsidR="00DD5D6B" w:rsidRPr="002E7F98" w:rsidRDefault="00DD5D6B" w:rsidP="00DD5D6B">
      <w:pPr>
        <w:pStyle w:val="ATSNormal"/>
        <w:rPr>
          <w:szCs w:val="22"/>
          <w:lang w:val="en-US"/>
        </w:rPr>
      </w:pPr>
    </w:p>
    <w:p w14:paraId="75D42A39" w14:textId="77777777" w:rsidR="00DD5D6B" w:rsidRPr="002E7F98" w:rsidRDefault="00DD5D6B" w:rsidP="00DD5D6B">
      <w:pPr>
        <w:spacing w:before="120" w:after="120"/>
        <w:jc w:val="center"/>
        <w:rPr>
          <w:szCs w:val="22"/>
          <w:lang w:val="en-US" w:eastAsia="en-GB"/>
        </w:rPr>
      </w:pPr>
      <w:r w:rsidRPr="002E7F98">
        <w:rPr>
          <w:noProof/>
          <w:szCs w:val="22"/>
          <w:lang w:val="en-US" w:eastAsia="en-GB"/>
        </w:rPr>
        <w:drawing>
          <wp:inline distT="0" distB="0" distL="0" distR="0" wp14:anchorId="7B3DFC3D" wp14:editId="1402995D">
            <wp:extent cx="4489450" cy="3647678"/>
            <wp:effectExtent l="0" t="0" r="6350" b="0"/>
            <wp:docPr id="1" name="Picture 1" descr="Imagen que contiene interior, tabla, viej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n que contiene interior, tabla, viejo, cuart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2943" cy="3658641"/>
                    </a:xfrm>
                    <a:prstGeom prst="rect">
                      <a:avLst/>
                    </a:prstGeom>
                    <a:noFill/>
                    <a:ln>
                      <a:noFill/>
                    </a:ln>
                  </pic:spPr>
                </pic:pic>
              </a:graphicData>
            </a:graphic>
          </wp:inline>
        </w:drawing>
      </w:r>
    </w:p>
    <w:p w14:paraId="6764B65B" w14:textId="77777777" w:rsidR="00DD5D6B" w:rsidRPr="002E7F98" w:rsidRDefault="00DD5D6B" w:rsidP="00DD5D6B">
      <w:pPr>
        <w:spacing w:before="120" w:after="120"/>
        <w:rPr>
          <w:szCs w:val="22"/>
          <w:lang w:val="en-US" w:eastAsia="en-GB"/>
        </w:rPr>
      </w:pPr>
      <w:r w:rsidRPr="002E7F98">
        <w:rPr>
          <w:szCs w:val="22"/>
          <w:lang w:val="en-US" w:eastAsia="en-GB"/>
        </w:rPr>
        <w:t>Figure 3: Conserved Hells Gate Moraine sledge, tent poles, tools and food boxes.</w:t>
      </w:r>
    </w:p>
    <w:p w14:paraId="1DB49F65" w14:textId="77777777" w:rsidR="00DD5D6B" w:rsidRPr="002E7F98" w:rsidRDefault="00DD5D6B" w:rsidP="00DD5D6B">
      <w:pPr>
        <w:spacing w:before="120" w:after="120"/>
        <w:rPr>
          <w:szCs w:val="22"/>
          <w:lang w:val="en-US" w:eastAsia="en-GB"/>
        </w:rPr>
      </w:pPr>
    </w:p>
    <w:p w14:paraId="3553B378" w14:textId="77777777" w:rsidR="00DD5D6B" w:rsidRPr="00D62231" w:rsidRDefault="00DD5D6B" w:rsidP="00DD5D6B">
      <w:pPr>
        <w:spacing w:before="120" w:after="120"/>
        <w:jc w:val="center"/>
        <w:rPr>
          <w:szCs w:val="22"/>
          <w:lang w:val="en-US" w:eastAsia="en-GB"/>
        </w:rPr>
      </w:pPr>
      <w:r w:rsidRPr="00D62231">
        <w:rPr>
          <w:noProof/>
          <w:szCs w:val="22"/>
          <w:lang w:val="en-US" w:eastAsia="en-GB"/>
        </w:rPr>
        <w:lastRenderedPageBreak/>
        <w:drawing>
          <wp:inline distT="0" distB="0" distL="0" distR="0" wp14:anchorId="42C23929" wp14:editId="3017B276">
            <wp:extent cx="4495800" cy="2473569"/>
            <wp:effectExtent l="0" t="0" r="0" b="3175"/>
            <wp:docPr id="6" name="Picture 6" descr="Imagen que contiene interior, herramienta, palet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n que contiene interior, herramienta, paleta, tabl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4425" cy="2478314"/>
                    </a:xfrm>
                    <a:prstGeom prst="rect">
                      <a:avLst/>
                    </a:prstGeom>
                    <a:noFill/>
                    <a:ln>
                      <a:noFill/>
                    </a:ln>
                  </pic:spPr>
                </pic:pic>
              </a:graphicData>
            </a:graphic>
          </wp:inline>
        </w:drawing>
      </w:r>
    </w:p>
    <w:p w14:paraId="6718CAE6" w14:textId="77777777" w:rsidR="00DD5D6B" w:rsidRPr="00D62231" w:rsidRDefault="00DD5D6B" w:rsidP="00DD5D6B">
      <w:pPr>
        <w:spacing w:before="120" w:after="120"/>
        <w:rPr>
          <w:szCs w:val="22"/>
          <w:lang w:val="en-US" w:eastAsia="en-GB"/>
        </w:rPr>
      </w:pPr>
      <w:r w:rsidRPr="00D62231">
        <w:rPr>
          <w:szCs w:val="22"/>
          <w:lang w:val="en-US" w:eastAsia="en-GB"/>
        </w:rPr>
        <w:t>Figure 4: Hells Gate Moraine spade</w:t>
      </w:r>
    </w:p>
    <w:p w14:paraId="3D2CBE42" w14:textId="77777777" w:rsidR="00DD5D6B" w:rsidRPr="00D62231" w:rsidRDefault="00DD5D6B" w:rsidP="00DD5D6B">
      <w:pPr>
        <w:spacing w:before="120" w:after="120"/>
        <w:rPr>
          <w:szCs w:val="22"/>
          <w:lang w:val="en-US" w:eastAsia="en-GB"/>
        </w:rPr>
      </w:pPr>
    </w:p>
    <w:p w14:paraId="788BC89C" w14:textId="77777777" w:rsidR="00DD5D6B" w:rsidRPr="00D62231" w:rsidRDefault="00DD5D6B" w:rsidP="00DD5D6B">
      <w:pPr>
        <w:spacing w:before="120" w:after="120"/>
        <w:jc w:val="center"/>
        <w:rPr>
          <w:szCs w:val="22"/>
          <w:lang w:val="en-US" w:eastAsia="en-GB"/>
        </w:rPr>
      </w:pPr>
      <w:r w:rsidRPr="00D62231">
        <w:rPr>
          <w:noProof/>
          <w:szCs w:val="22"/>
          <w:lang w:val="en-US" w:eastAsia="en-GB"/>
        </w:rPr>
        <w:drawing>
          <wp:inline distT="0" distB="0" distL="0" distR="0" wp14:anchorId="1826272C" wp14:editId="0AB96F58">
            <wp:extent cx="3721100" cy="24822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5432" cy="2485158"/>
                    </a:xfrm>
                    <a:prstGeom prst="rect">
                      <a:avLst/>
                    </a:prstGeom>
                    <a:noFill/>
                    <a:ln>
                      <a:noFill/>
                    </a:ln>
                  </pic:spPr>
                </pic:pic>
              </a:graphicData>
            </a:graphic>
          </wp:inline>
        </w:drawing>
      </w:r>
    </w:p>
    <w:p w14:paraId="259BF253" w14:textId="77777777" w:rsidR="00DD5D6B" w:rsidRPr="00D62231" w:rsidRDefault="00DD5D6B" w:rsidP="00DD5D6B">
      <w:pPr>
        <w:spacing w:before="120" w:after="120"/>
        <w:rPr>
          <w:szCs w:val="22"/>
          <w:lang w:val="en-US" w:eastAsia="en-GB"/>
        </w:rPr>
      </w:pPr>
      <w:r w:rsidRPr="00D62231">
        <w:rPr>
          <w:szCs w:val="22"/>
          <w:lang w:val="en-US" w:eastAsia="en-GB"/>
        </w:rPr>
        <w:t>Figure 5: Hells Gate Moraine Venesta case, after conservation.</w:t>
      </w:r>
    </w:p>
    <w:p w14:paraId="6AAC121F" w14:textId="77777777" w:rsidR="00DD5D6B" w:rsidRPr="002E7F98" w:rsidRDefault="00DD5D6B" w:rsidP="00DD5D6B">
      <w:pPr>
        <w:spacing w:before="120" w:after="120"/>
        <w:rPr>
          <w:szCs w:val="22"/>
          <w:lang w:val="en-US" w:eastAsia="en-GB"/>
        </w:rPr>
      </w:pPr>
    </w:p>
    <w:p w14:paraId="66402366" w14:textId="77777777" w:rsidR="00DD5D6B" w:rsidRDefault="00DD5D6B" w:rsidP="00DD5D6B">
      <w:pPr>
        <w:rPr>
          <w:szCs w:val="22"/>
          <w:lang w:val="en-US" w:eastAsia="en-GB"/>
        </w:rPr>
      </w:pPr>
      <w:r>
        <w:rPr>
          <w:szCs w:val="22"/>
          <w:lang w:val="en-US" w:eastAsia="en-GB"/>
        </w:rPr>
        <w:br w:type="page"/>
      </w:r>
    </w:p>
    <w:p w14:paraId="459AEEB9" w14:textId="77777777" w:rsidR="00DD5D6B" w:rsidRDefault="00DD5D6B" w:rsidP="00DD5D6B">
      <w:pPr>
        <w:pStyle w:val="ATSNormal"/>
        <w:keepNext/>
        <w:spacing w:line="257" w:lineRule="auto"/>
        <w:rPr>
          <w:szCs w:val="22"/>
          <w:lang w:val="en-US"/>
        </w:rPr>
      </w:pPr>
      <w:r>
        <w:rPr>
          <w:szCs w:val="22"/>
          <w:lang w:val="en-US"/>
        </w:rPr>
        <w:lastRenderedPageBreak/>
        <w:t>Table 1: Long term storage options of artefacts from HSM 68.</w:t>
      </w:r>
    </w:p>
    <w:tbl>
      <w:tblPr>
        <w:tblStyle w:val="Tablaconcuadrcula"/>
        <w:tblW w:w="9067" w:type="dxa"/>
        <w:jc w:val="center"/>
        <w:tblLook w:val="04A0" w:firstRow="1" w:lastRow="0" w:firstColumn="1" w:lastColumn="0" w:noHBand="0" w:noVBand="1"/>
      </w:tblPr>
      <w:tblGrid>
        <w:gridCol w:w="567"/>
        <w:gridCol w:w="2972"/>
        <w:gridCol w:w="5528"/>
      </w:tblGrid>
      <w:tr w:rsidR="00DD5D6B" w:rsidRPr="00C4081E" w14:paraId="1B35363D" w14:textId="77777777" w:rsidTr="001F3EA3">
        <w:trPr>
          <w:trHeight w:val="373"/>
          <w:tblHeader/>
          <w:jc w:val="center"/>
        </w:trPr>
        <w:tc>
          <w:tcPr>
            <w:tcW w:w="567" w:type="dxa"/>
            <w:tcBorders>
              <w:top w:val="single" w:sz="4" w:space="0" w:color="auto"/>
              <w:left w:val="single" w:sz="4" w:space="0" w:color="auto"/>
              <w:bottom w:val="single" w:sz="4" w:space="0" w:color="auto"/>
              <w:right w:val="single" w:sz="4" w:space="0" w:color="auto"/>
            </w:tcBorders>
          </w:tcPr>
          <w:p w14:paraId="63C513E9" w14:textId="77777777" w:rsidR="00DD5D6B" w:rsidRPr="00C4081E" w:rsidRDefault="00DD5D6B" w:rsidP="001F3EA3">
            <w:pPr>
              <w:jc w:val="center"/>
              <w:rPr>
                <w:rFonts w:eastAsia="Calibri"/>
                <w:b/>
                <w:szCs w:val="22"/>
                <w:lang w:val="en-NZ"/>
              </w:rPr>
            </w:pPr>
          </w:p>
        </w:tc>
        <w:tc>
          <w:tcPr>
            <w:tcW w:w="2972" w:type="dxa"/>
            <w:tcBorders>
              <w:top w:val="single" w:sz="4" w:space="0" w:color="auto"/>
              <w:left w:val="single" w:sz="4" w:space="0" w:color="auto"/>
              <w:bottom w:val="single" w:sz="4" w:space="0" w:color="auto"/>
              <w:right w:val="single" w:sz="4" w:space="0" w:color="auto"/>
            </w:tcBorders>
            <w:vAlign w:val="center"/>
            <w:hideMark/>
          </w:tcPr>
          <w:p w14:paraId="1A99B048" w14:textId="77777777" w:rsidR="00DD5D6B" w:rsidRPr="00C4081E" w:rsidRDefault="00DD5D6B" w:rsidP="001F3EA3">
            <w:pPr>
              <w:jc w:val="center"/>
              <w:rPr>
                <w:rFonts w:eastAsia="Calibri"/>
                <w:b/>
                <w:szCs w:val="22"/>
                <w:lang w:val="en-NZ"/>
              </w:rPr>
            </w:pPr>
            <w:r w:rsidRPr="00C4081E">
              <w:rPr>
                <w:rFonts w:eastAsia="Calibri"/>
                <w:b/>
                <w:szCs w:val="22"/>
                <w:lang w:val="en-NZ"/>
              </w:rPr>
              <w:t>Storage option</w:t>
            </w:r>
          </w:p>
        </w:tc>
        <w:tc>
          <w:tcPr>
            <w:tcW w:w="5528" w:type="dxa"/>
            <w:tcBorders>
              <w:top w:val="single" w:sz="4" w:space="0" w:color="auto"/>
              <w:left w:val="single" w:sz="4" w:space="0" w:color="auto"/>
              <w:bottom w:val="single" w:sz="4" w:space="0" w:color="auto"/>
              <w:right w:val="single" w:sz="4" w:space="0" w:color="auto"/>
            </w:tcBorders>
            <w:vAlign w:val="center"/>
            <w:hideMark/>
          </w:tcPr>
          <w:p w14:paraId="150C7D72" w14:textId="77777777" w:rsidR="00DD5D6B" w:rsidRPr="00C4081E" w:rsidRDefault="00DD5D6B" w:rsidP="001F3EA3">
            <w:pPr>
              <w:jc w:val="center"/>
              <w:rPr>
                <w:rFonts w:eastAsia="Calibri"/>
                <w:b/>
                <w:szCs w:val="22"/>
                <w:lang w:val="en-NZ"/>
              </w:rPr>
            </w:pPr>
            <w:r w:rsidRPr="00C4081E">
              <w:rPr>
                <w:rFonts w:eastAsia="Calibri"/>
                <w:b/>
                <w:szCs w:val="22"/>
                <w:lang w:val="en-NZ"/>
              </w:rPr>
              <w:t>Assessment of the options</w:t>
            </w:r>
          </w:p>
        </w:tc>
      </w:tr>
      <w:tr w:rsidR="00DD5D6B" w:rsidRPr="00C4081E" w14:paraId="5261BDBB" w14:textId="77777777" w:rsidTr="001F3EA3">
        <w:trPr>
          <w:trHeight w:val="555"/>
          <w:jc w:val="center"/>
        </w:trPr>
        <w:tc>
          <w:tcPr>
            <w:tcW w:w="56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36E81FF" w14:textId="77777777" w:rsidR="00DD5D6B" w:rsidRPr="00C4081E" w:rsidRDefault="00DD5D6B" w:rsidP="001F3EA3">
            <w:pPr>
              <w:ind w:left="113" w:right="113"/>
              <w:jc w:val="center"/>
              <w:rPr>
                <w:rFonts w:eastAsia="Calibri"/>
                <w:b/>
                <w:szCs w:val="22"/>
                <w:lang w:val="en-NZ"/>
              </w:rPr>
            </w:pPr>
            <w:r w:rsidRPr="00C4081E">
              <w:rPr>
                <w:rFonts w:eastAsia="Calibri"/>
                <w:b/>
                <w:szCs w:val="22"/>
                <w:lang w:val="en-NZ"/>
              </w:rPr>
              <w:t>Retain artefacts in Antarctica</w:t>
            </w:r>
          </w:p>
        </w:tc>
        <w:tc>
          <w:tcPr>
            <w:tcW w:w="2972" w:type="dxa"/>
            <w:tcBorders>
              <w:top w:val="single" w:sz="4" w:space="0" w:color="auto"/>
              <w:left w:val="single" w:sz="4" w:space="0" w:color="auto"/>
              <w:bottom w:val="single" w:sz="4" w:space="0" w:color="auto"/>
              <w:right w:val="single" w:sz="4" w:space="0" w:color="auto"/>
            </w:tcBorders>
            <w:vAlign w:val="center"/>
            <w:hideMark/>
          </w:tcPr>
          <w:p w14:paraId="217E0A8D" w14:textId="77777777" w:rsidR="00DD5D6B" w:rsidRPr="00C4081E" w:rsidRDefault="00DD5D6B" w:rsidP="00DD5D6B">
            <w:pPr>
              <w:pStyle w:val="Prrafodelista"/>
              <w:numPr>
                <w:ilvl w:val="0"/>
                <w:numId w:val="21"/>
              </w:numPr>
              <w:ind w:left="322" w:hanging="245"/>
              <w:contextualSpacing/>
              <w:rPr>
                <w:rFonts w:eastAsia="Calibri"/>
                <w:szCs w:val="22"/>
                <w:lang w:val="en-NZ"/>
              </w:rPr>
            </w:pPr>
            <w:r w:rsidRPr="00C4081E">
              <w:rPr>
                <w:rFonts w:eastAsia="Calibri"/>
                <w:szCs w:val="22"/>
                <w:lang w:val="en-NZ"/>
              </w:rPr>
              <w:t>Return to the original cache sites</w:t>
            </w:r>
          </w:p>
        </w:tc>
        <w:tc>
          <w:tcPr>
            <w:tcW w:w="5528" w:type="dxa"/>
            <w:tcBorders>
              <w:top w:val="single" w:sz="4" w:space="0" w:color="auto"/>
              <w:left w:val="single" w:sz="4" w:space="0" w:color="auto"/>
              <w:bottom w:val="single" w:sz="4" w:space="0" w:color="auto"/>
              <w:right w:val="single" w:sz="4" w:space="0" w:color="auto"/>
            </w:tcBorders>
            <w:vAlign w:val="center"/>
            <w:hideMark/>
          </w:tcPr>
          <w:p w14:paraId="7B6780CF"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 xml:space="preserve">Keeps the objects in Antarctica but this will result in the items’ deterioration and loss to the environment (as occurred to Granite Harbour depot) within 2-3 decades. </w:t>
            </w:r>
          </w:p>
          <w:p w14:paraId="4CC5913D" w14:textId="77777777" w:rsidR="00DD5D6B" w:rsidRPr="00C4081E" w:rsidRDefault="00DD5D6B" w:rsidP="00DD5D6B">
            <w:pPr>
              <w:pStyle w:val="Prrafodelista"/>
              <w:numPr>
                <w:ilvl w:val="0"/>
                <w:numId w:val="22"/>
              </w:numPr>
              <w:spacing w:before="60" w:after="60"/>
              <w:ind w:left="317" w:hanging="238"/>
              <w:contextualSpacing/>
              <w:rPr>
                <w:rFonts w:eastAsia="Calibri"/>
                <w:b/>
                <w:szCs w:val="22"/>
                <w:lang w:val="en-NZ"/>
              </w:rPr>
            </w:pPr>
            <w:r w:rsidRPr="00C4081E">
              <w:rPr>
                <w:rFonts w:eastAsia="Calibri"/>
                <w:b/>
                <w:szCs w:val="22"/>
                <w:lang w:val="en-NZ"/>
              </w:rPr>
              <w:t>Not recommended</w:t>
            </w:r>
          </w:p>
        </w:tc>
      </w:tr>
      <w:tr w:rsidR="00DD5D6B" w:rsidRPr="00C4081E" w14:paraId="0D07132F" w14:textId="77777777" w:rsidTr="001F3EA3">
        <w:trPr>
          <w:trHeight w:val="282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B89058" w14:textId="77777777" w:rsidR="00DD5D6B" w:rsidRPr="00C4081E" w:rsidRDefault="00DD5D6B" w:rsidP="001F3EA3">
            <w:pPr>
              <w:rPr>
                <w:rFonts w:eastAsia="Calibri"/>
                <w:b/>
                <w:szCs w:val="22"/>
                <w:lang w:val="en-NZ"/>
              </w:rPr>
            </w:pPr>
          </w:p>
        </w:tc>
        <w:tc>
          <w:tcPr>
            <w:tcW w:w="2972" w:type="dxa"/>
            <w:tcBorders>
              <w:top w:val="single" w:sz="4" w:space="0" w:color="auto"/>
              <w:left w:val="single" w:sz="4" w:space="0" w:color="auto"/>
              <w:bottom w:val="single" w:sz="4" w:space="0" w:color="auto"/>
              <w:right w:val="single" w:sz="4" w:space="0" w:color="auto"/>
            </w:tcBorders>
            <w:vAlign w:val="center"/>
            <w:hideMark/>
          </w:tcPr>
          <w:p w14:paraId="6586388A" w14:textId="77777777" w:rsidR="00DD5D6B" w:rsidRPr="00C4081E" w:rsidRDefault="00DD5D6B" w:rsidP="00DD5D6B">
            <w:pPr>
              <w:pStyle w:val="Prrafodelista"/>
              <w:numPr>
                <w:ilvl w:val="0"/>
                <w:numId w:val="21"/>
              </w:numPr>
              <w:ind w:left="322" w:hanging="245"/>
              <w:contextualSpacing/>
              <w:rPr>
                <w:rFonts w:eastAsia="Calibri"/>
                <w:szCs w:val="22"/>
                <w:lang w:val="en-NZ"/>
              </w:rPr>
            </w:pPr>
            <w:r w:rsidRPr="00C4081E">
              <w:rPr>
                <w:rFonts w:eastAsia="Calibri"/>
                <w:szCs w:val="22"/>
                <w:lang w:val="en-NZ"/>
              </w:rPr>
              <w:t>Placement in Discovery Hut (Hut Point)</w:t>
            </w:r>
            <w:r>
              <w:rPr>
                <w:rFonts w:eastAsia="Calibri"/>
                <w:szCs w:val="22"/>
                <w:lang w:val="en-NZ"/>
              </w:rPr>
              <w:t>, ASPA 158</w:t>
            </w:r>
          </w:p>
        </w:tc>
        <w:tc>
          <w:tcPr>
            <w:tcW w:w="5528" w:type="dxa"/>
            <w:tcBorders>
              <w:top w:val="single" w:sz="4" w:space="0" w:color="auto"/>
              <w:left w:val="single" w:sz="4" w:space="0" w:color="auto"/>
              <w:bottom w:val="single" w:sz="4" w:space="0" w:color="auto"/>
              <w:right w:val="single" w:sz="4" w:space="0" w:color="auto"/>
            </w:tcBorders>
            <w:vAlign w:val="center"/>
            <w:hideMark/>
          </w:tcPr>
          <w:p w14:paraId="6933E54A"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 xml:space="preserve">Keeps the objects in Antarctica, and in a heroic era context. </w:t>
            </w:r>
          </w:p>
          <w:p w14:paraId="06F03BF3"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 xml:space="preserve">Keeps food products frozen for most of the year, slowing deterioration. </w:t>
            </w:r>
          </w:p>
          <w:p w14:paraId="49389A9D"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Places the cache collections at risk of being separated in the long term due to future generations not realising the provenance and significance of the cache items. It would also confuse the real Hut Point stories, and is not a site the stores originated from.</w:t>
            </w:r>
          </w:p>
          <w:p w14:paraId="1B9061DD" w14:textId="77777777" w:rsidR="00DD5D6B" w:rsidRPr="00C4081E" w:rsidRDefault="00DD5D6B" w:rsidP="00DD5D6B">
            <w:pPr>
              <w:pStyle w:val="Prrafodelista"/>
              <w:numPr>
                <w:ilvl w:val="0"/>
                <w:numId w:val="22"/>
              </w:numPr>
              <w:spacing w:before="60" w:after="60"/>
              <w:ind w:left="317" w:hanging="238"/>
              <w:contextualSpacing/>
              <w:rPr>
                <w:rFonts w:eastAsia="Calibri"/>
                <w:b/>
                <w:szCs w:val="22"/>
                <w:lang w:val="en-NZ"/>
              </w:rPr>
            </w:pPr>
            <w:r w:rsidRPr="00C4081E">
              <w:rPr>
                <w:rFonts w:eastAsia="Calibri"/>
                <w:b/>
                <w:szCs w:val="22"/>
                <w:lang w:val="en-NZ"/>
              </w:rPr>
              <w:t xml:space="preserve">Not recommended </w:t>
            </w:r>
          </w:p>
        </w:tc>
      </w:tr>
      <w:tr w:rsidR="00DD5D6B" w:rsidRPr="00C4081E" w14:paraId="40A0674D" w14:textId="77777777" w:rsidTr="001F3EA3">
        <w:trPr>
          <w:trHeight w:val="311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77B8E1" w14:textId="77777777" w:rsidR="00DD5D6B" w:rsidRPr="00C4081E" w:rsidRDefault="00DD5D6B" w:rsidP="001F3EA3">
            <w:pPr>
              <w:rPr>
                <w:rFonts w:eastAsia="Calibri"/>
                <w:b/>
                <w:szCs w:val="22"/>
                <w:lang w:val="en-NZ"/>
              </w:rPr>
            </w:pPr>
          </w:p>
        </w:tc>
        <w:tc>
          <w:tcPr>
            <w:tcW w:w="2972" w:type="dxa"/>
            <w:tcBorders>
              <w:top w:val="single" w:sz="4" w:space="0" w:color="auto"/>
              <w:left w:val="single" w:sz="4" w:space="0" w:color="auto"/>
              <w:bottom w:val="single" w:sz="4" w:space="0" w:color="auto"/>
              <w:right w:val="single" w:sz="4" w:space="0" w:color="auto"/>
            </w:tcBorders>
            <w:vAlign w:val="center"/>
            <w:hideMark/>
          </w:tcPr>
          <w:p w14:paraId="02FC8288" w14:textId="77777777" w:rsidR="00DD5D6B" w:rsidRPr="00C4081E" w:rsidRDefault="00DD5D6B" w:rsidP="00DD5D6B">
            <w:pPr>
              <w:pStyle w:val="Prrafodelista"/>
              <w:numPr>
                <w:ilvl w:val="0"/>
                <w:numId w:val="21"/>
              </w:numPr>
              <w:ind w:left="322" w:hanging="245"/>
              <w:contextualSpacing/>
              <w:rPr>
                <w:rFonts w:eastAsia="Calibri"/>
                <w:szCs w:val="22"/>
                <w:lang w:val="en-NZ"/>
              </w:rPr>
            </w:pPr>
            <w:r w:rsidRPr="00C4081E">
              <w:rPr>
                <w:rFonts w:eastAsia="Calibri"/>
                <w:szCs w:val="22"/>
                <w:lang w:val="en-NZ"/>
              </w:rPr>
              <w:t>Placement in Terra Nova Hut (Cape Evans)</w:t>
            </w:r>
            <w:r>
              <w:rPr>
                <w:rFonts w:eastAsia="Calibri"/>
                <w:szCs w:val="22"/>
                <w:lang w:val="en-NZ"/>
              </w:rPr>
              <w:t>, ASPA 155</w:t>
            </w:r>
          </w:p>
        </w:tc>
        <w:tc>
          <w:tcPr>
            <w:tcW w:w="5528" w:type="dxa"/>
            <w:tcBorders>
              <w:top w:val="single" w:sz="4" w:space="0" w:color="auto"/>
              <w:left w:val="single" w:sz="4" w:space="0" w:color="auto"/>
              <w:bottom w:val="single" w:sz="4" w:space="0" w:color="auto"/>
              <w:right w:val="single" w:sz="4" w:space="0" w:color="auto"/>
            </w:tcBorders>
            <w:vAlign w:val="center"/>
            <w:hideMark/>
          </w:tcPr>
          <w:p w14:paraId="2C285960"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 xml:space="preserve">Keeps the objects in Antarctica, and provides some context for the items as stores were loaded at Cape Evans directly before the Terra Nova headed north up McMurdo Sound and placed depots on the return voyage to New Zealand. </w:t>
            </w:r>
          </w:p>
          <w:p w14:paraId="22F973AC"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 xml:space="preserve">Keeps food products frozen for most of the year, slowing deterioration. </w:t>
            </w:r>
          </w:p>
          <w:p w14:paraId="56D75604"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The sledge is 3 metres in length, and there isn’t an area big enough for the sled in the hut except the hut rafters, meaning it will have to be separated from the objects.</w:t>
            </w:r>
          </w:p>
          <w:p w14:paraId="1E0BAAB3" w14:textId="77777777" w:rsidR="00DD5D6B" w:rsidRPr="00C4081E" w:rsidRDefault="00DD5D6B" w:rsidP="00DD5D6B">
            <w:pPr>
              <w:pStyle w:val="Prrafodelista"/>
              <w:numPr>
                <w:ilvl w:val="0"/>
                <w:numId w:val="22"/>
              </w:numPr>
              <w:spacing w:before="60" w:after="60"/>
              <w:ind w:left="317" w:hanging="238"/>
              <w:contextualSpacing/>
              <w:rPr>
                <w:rFonts w:eastAsia="Calibri"/>
                <w:b/>
                <w:szCs w:val="22"/>
                <w:lang w:val="en-NZ"/>
              </w:rPr>
            </w:pPr>
            <w:r w:rsidRPr="00C4081E">
              <w:rPr>
                <w:rFonts w:eastAsia="Calibri"/>
                <w:b/>
                <w:szCs w:val="22"/>
                <w:lang w:val="en-NZ"/>
              </w:rPr>
              <w:t>Not recommended</w:t>
            </w:r>
          </w:p>
        </w:tc>
      </w:tr>
      <w:tr w:rsidR="00DD5D6B" w:rsidRPr="00C4081E" w14:paraId="35E22EC2" w14:textId="77777777" w:rsidTr="001F3EA3">
        <w:trPr>
          <w:trHeight w:val="107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A7B961" w14:textId="77777777" w:rsidR="00DD5D6B" w:rsidRPr="00C4081E" w:rsidRDefault="00DD5D6B" w:rsidP="001F3EA3">
            <w:pPr>
              <w:rPr>
                <w:rFonts w:eastAsia="Calibri"/>
                <w:b/>
                <w:szCs w:val="22"/>
                <w:lang w:val="en-NZ"/>
              </w:rPr>
            </w:pPr>
          </w:p>
        </w:tc>
        <w:tc>
          <w:tcPr>
            <w:tcW w:w="2972" w:type="dxa"/>
            <w:tcBorders>
              <w:top w:val="single" w:sz="4" w:space="0" w:color="auto"/>
              <w:left w:val="single" w:sz="4" w:space="0" w:color="auto"/>
              <w:bottom w:val="single" w:sz="4" w:space="0" w:color="auto"/>
              <w:right w:val="single" w:sz="4" w:space="0" w:color="auto"/>
            </w:tcBorders>
            <w:vAlign w:val="center"/>
            <w:hideMark/>
          </w:tcPr>
          <w:p w14:paraId="117FB83A" w14:textId="77777777" w:rsidR="00DD5D6B" w:rsidRPr="00C4081E" w:rsidRDefault="00DD5D6B" w:rsidP="00DD5D6B">
            <w:pPr>
              <w:pStyle w:val="Prrafodelista"/>
              <w:numPr>
                <w:ilvl w:val="0"/>
                <w:numId w:val="21"/>
              </w:numPr>
              <w:ind w:left="322" w:hanging="245"/>
              <w:contextualSpacing/>
              <w:rPr>
                <w:rFonts w:eastAsia="Calibri"/>
                <w:i/>
                <w:szCs w:val="22"/>
                <w:lang w:val="en-NZ"/>
              </w:rPr>
            </w:pPr>
            <w:r w:rsidRPr="00CA0D70">
              <w:rPr>
                <w:rFonts w:eastAsia="Calibri"/>
                <w:szCs w:val="22"/>
                <w:lang w:val="en-NZ"/>
              </w:rPr>
              <w:t xml:space="preserve">Placement in Borchgrevink’s Stores Hut (Cape Adare) </w:t>
            </w:r>
            <w:r>
              <w:rPr>
                <w:rFonts w:eastAsia="Calibri"/>
                <w:szCs w:val="22"/>
                <w:lang w:val="en-NZ"/>
              </w:rPr>
              <w:t>ASPA 159</w:t>
            </w:r>
          </w:p>
        </w:tc>
        <w:tc>
          <w:tcPr>
            <w:tcW w:w="5528" w:type="dxa"/>
            <w:tcBorders>
              <w:top w:val="single" w:sz="4" w:space="0" w:color="auto"/>
              <w:left w:val="single" w:sz="4" w:space="0" w:color="auto"/>
              <w:bottom w:val="single" w:sz="4" w:space="0" w:color="auto"/>
              <w:right w:val="single" w:sz="4" w:space="0" w:color="auto"/>
            </w:tcBorders>
            <w:vAlign w:val="center"/>
            <w:hideMark/>
          </w:tcPr>
          <w:p w14:paraId="6BCB3174"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Keeps the objects in Antarctica, and provides some context for the items. Scott’s Northern Party used both of the extant 1899 huts during 1911 for additional storage and workspace. The Hell’s Gate Moraine depot was left as a result of the Northern Party’s subsequent experience of being marooned across a winter, in case any future coastal party should find themselves in need of emergency supplies.</w:t>
            </w:r>
          </w:p>
          <w:p w14:paraId="6D352BAB"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 xml:space="preserve">Keeps food products frozen for most of the year, slowing deterioration. </w:t>
            </w:r>
          </w:p>
          <w:p w14:paraId="2BD93B21" w14:textId="77777777" w:rsidR="00DD5D6B"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 xml:space="preserve">The sledge is 3 metres in length. There </w:t>
            </w:r>
            <w:r>
              <w:rPr>
                <w:rFonts w:eastAsia="Calibri"/>
                <w:szCs w:val="22"/>
                <w:lang w:val="en-NZ"/>
              </w:rPr>
              <w:t>may</w:t>
            </w:r>
            <w:r w:rsidRPr="00C4081E">
              <w:rPr>
                <w:rFonts w:eastAsia="Calibri"/>
                <w:szCs w:val="22"/>
                <w:lang w:val="en-NZ"/>
              </w:rPr>
              <w:t xml:space="preserve"> be space for the sled and objects in the re-roofed store room at Cape Adare</w:t>
            </w:r>
            <w:r>
              <w:rPr>
                <w:rFonts w:eastAsia="Calibri"/>
                <w:szCs w:val="22"/>
                <w:lang w:val="en-NZ"/>
              </w:rPr>
              <w:t xml:space="preserve"> but it will be considerably cramped. There is no room in the Living Hut for these artefacts.</w:t>
            </w:r>
          </w:p>
          <w:p w14:paraId="47BE2C24"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Pr>
                <w:rFonts w:eastAsia="Calibri"/>
                <w:szCs w:val="22"/>
                <w:lang w:val="en-NZ"/>
              </w:rPr>
              <w:t>Logistics for transporting these items from Scott Base to Cape Adare and ongoing access for maintenance and conservation is extremely difficult.</w:t>
            </w:r>
          </w:p>
          <w:p w14:paraId="65B04209" w14:textId="77777777" w:rsidR="00DD5D6B" w:rsidRPr="00C4081E" w:rsidRDefault="00DD5D6B" w:rsidP="00DD5D6B">
            <w:pPr>
              <w:pStyle w:val="Prrafodelista"/>
              <w:numPr>
                <w:ilvl w:val="0"/>
                <w:numId w:val="22"/>
              </w:numPr>
              <w:spacing w:before="60" w:after="60"/>
              <w:ind w:left="317" w:hanging="238"/>
              <w:contextualSpacing/>
              <w:rPr>
                <w:rFonts w:eastAsia="Calibri"/>
                <w:i/>
                <w:szCs w:val="22"/>
                <w:lang w:val="en-NZ"/>
              </w:rPr>
            </w:pPr>
            <w:r w:rsidRPr="00C4081E">
              <w:rPr>
                <w:rFonts w:eastAsia="Calibri"/>
                <w:b/>
                <w:szCs w:val="22"/>
                <w:lang w:val="en-NZ"/>
              </w:rPr>
              <w:t>Not recommended</w:t>
            </w:r>
          </w:p>
        </w:tc>
      </w:tr>
      <w:tr w:rsidR="00DD5D6B" w:rsidRPr="00C4081E" w14:paraId="4ADEF47B" w14:textId="77777777" w:rsidTr="001F3EA3">
        <w:trPr>
          <w:trHeight w:val="362"/>
          <w:jc w:val="center"/>
        </w:trPr>
        <w:tc>
          <w:tcPr>
            <w:tcW w:w="56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41289A00" w14:textId="77777777" w:rsidR="00DD5D6B" w:rsidRPr="00C4081E" w:rsidRDefault="00DD5D6B" w:rsidP="001F3EA3">
            <w:pPr>
              <w:ind w:left="113" w:right="113"/>
              <w:jc w:val="center"/>
              <w:rPr>
                <w:rFonts w:eastAsia="Calibri"/>
                <w:b/>
                <w:szCs w:val="22"/>
                <w:lang w:val="en-NZ"/>
              </w:rPr>
            </w:pPr>
            <w:r w:rsidRPr="00C4081E">
              <w:rPr>
                <w:rFonts w:eastAsia="Calibri"/>
                <w:b/>
                <w:szCs w:val="22"/>
                <w:lang w:val="en-NZ"/>
              </w:rPr>
              <w:t>Return objects to New Zealand</w:t>
            </w:r>
          </w:p>
        </w:tc>
        <w:tc>
          <w:tcPr>
            <w:tcW w:w="2972" w:type="dxa"/>
            <w:tcBorders>
              <w:top w:val="single" w:sz="4" w:space="0" w:color="auto"/>
              <w:left w:val="single" w:sz="4" w:space="0" w:color="auto"/>
              <w:bottom w:val="single" w:sz="4" w:space="0" w:color="auto"/>
              <w:right w:val="single" w:sz="4" w:space="0" w:color="auto"/>
            </w:tcBorders>
            <w:vAlign w:val="center"/>
            <w:hideMark/>
          </w:tcPr>
          <w:p w14:paraId="4DA8BD74" w14:textId="77777777" w:rsidR="00DD5D6B" w:rsidRPr="00C4081E" w:rsidRDefault="00DD5D6B" w:rsidP="00DD5D6B">
            <w:pPr>
              <w:pStyle w:val="Prrafodelista"/>
              <w:numPr>
                <w:ilvl w:val="0"/>
                <w:numId w:val="21"/>
              </w:numPr>
              <w:ind w:left="323" w:hanging="244"/>
              <w:contextualSpacing/>
              <w:rPr>
                <w:szCs w:val="22"/>
                <w:lang w:val="en-NZ"/>
              </w:rPr>
            </w:pPr>
            <w:r w:rsidRPr="00C4081E">
              <w:rPr>
                <w:rFonts w:eastAsia="Calibri"/>
                <w:szCs w:val="22"/>
                <w:lang w:val="en-NZ"/>
              </w:rPr>
              <w:t xml:space="preserve">Removal to the AHT Reserve Collection </w:t>
            </w:r>
            <w:r w:rsidRPr="00C4081E">
              <w:rPr>
                <w:szCs w:val="22"/>
              </w:rPr>
              <w:t>(New Zealand, based at Canterbury Museum)</w:t>
            </w:r>
          </w:p>
        </w:tc>
        <w:tc>
          <w:tcPr>
            <w:tcW w:w="5528" w:type="dxa"/>
            <w:tcBorders>
              <w:top w:val="single" w:sz="4" w:space="0" w:color="auto"/>
              <w:left w:val="single" w:sz="4" w:space="0" w:color="auto"/>
              <w:bottom w:val="single" w:sz="4" w:space="0" w:color="auto"/>
              <w:right w:val="single" w:sz="4" w:space="0" w:color="auto"/>
            </w:tcBorders>
            <w:vAlign w:val="center"/>
            <w:hideMark/>
          </w:tcPr>
          <w:p w14:paraId="5D78E19B"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A controlled museum environment would ensure the artefacts are preserved for longer, and they could be viewed as a discrete collection from each cache site by researchers. Food products could be assessed and emptied for warm storage, or added to frozen collection.</w:t>
            </w:r>
          </w:p>
          <w:p w14:paraId="0173E8AE"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 xml:space="preserve">Keeping the entire cache in the Reserve Collection is not part of that collection’s intended purpose </w:t>
            </w:r>
            <w:r w:rsidRPr="00C4081E">
              <w:rPr>
                <w:rFonts w:eastAsia="Calibri"/>
                <w:szCs w:val="22"/>
                <w:lang w:val="en-NZ"/>
              </w:rPr>
              <w:lastRenderedPageBreak/>
              <w:t xml:space="preserve">(representative sample). However, it is not desirable to break up the cache collection. </w:t>
            </w:r>
          </w:p>
          <w:p w14:paraId="56B207DE" w14:textId="77777777" w:rsidR="00DD5D6B" w:rsidRPr="00FC384B" w:rsidRDefault="00DD5D6B" w:rsidP="00DD5D6B">
            <w:pPr>
              <w:pStyle w:val="Prrafodelista"/>
              <w:numPr>
                <w:ilvl w:val="0"/>
                <w:numId w:val="22"/>
              </w:numPr>
              <w:spacing w:before="60" w:after="60"/>
              <w:ind w:left="317" w:hanging="238"/>
              <w:contextualSpacing/>
              <w:rPr>
                <w:rFonts w:eastAsia="Calibri"/>
                <w:b/>
                <w:szCs w:val="22"/>
                <w:lang w:val="en-NZ"/>
              </w:rPr>
            </w:pPr>
            <w:r>
              <w:rPr>
                <w:rFonts w:eastAsia="Calibri"/>
                <w:szCs w:val="22"/>
                <w:lang w:val="en-NZ"/>
              </w:rPr>
              <w:t>T</w:t>
            </w:r>
            <w:r w:rsidRPr="00C4081E">
              <w:rPr>
                <w:rFonts w:eastAsia="Calibri"/>
                <w:szCs w:val="22"/>
                <w:lang w:val="en-NZ"/>
              </w:rPr>
              <w:t>he Reserve Collection offers the next best option</w:t>
            </w:r>
            <w:r>
              <w:rPr>
                <w:rFonts w:eastAsia="Calibri"/>
                <w:szCs w:val="22"/>
                <w:lang w:val="en-NZ"/>
              </w:rPr>
              <w:t xml:space="preserve"> to leaving in Antarctica</w:t>
            </w:r>
            <w:r w:rsidRPr="00C4081E">
              <w:rPr>
                <w:rFonts w:eastAsia="Calibri"/>
                <w:szCs w:val="22"/>
                <w:lang w:val="en-NZ"/>
              </w:rPr>
              <w:t xml:space="preserve">, due to the existing </w:t>
            </w:r>
            <w:r>
              <w:rPr>
                <w:rFonts w:eastAsia="Calibri"/>
                <w:szCs w:val="22"/>
                <w:lang w:val="en-NZ"/>
              </w:rPr>
              <w:t xml:space="preserve">approval </w:t>
            </w:r>
            <w:r w:rsidRPr="00C4081E">
              <w:rPr>
                <w:rFonts w:eastAsia="Calibri"/>
                <w:szCs w:val="22"/>
                <w:lang w:val="en-NZ"/>
              </w:rPr>
              <w:t xml:space="preserve">for holding Antarctic items which cannot be cared for in Antarctica. </w:t>
            </w:r>
          </w:p>
          <w:p w14:paraId="06E4B362" w14:textId="77777777" w:rsidR="00DD5D6B" w:rsidRPr="00C4081E" w:rsidRDefault="00DD5D6B" w:rsidP="00DD5D6B">
            <w:pPr>
              <w:pStyle w:val="Prrafodelista"/>
              <w:numPr>
                <w:ilvl w:val="0"/>
                <w:numId w:val="22"/>
              </w:numPr>
              <w:spacing w:before="60" w:after="60"/>
              <w:ind w:left="317" w:hanging="238"/>
              <w:contextualSpacing/>
              <w:rPr>
                <w:rFonts w:eastAsia="Calibri"/>
                <w:b/>
                <w:szCs w:val="22"/>
                <w:lang w:val="en-NZ"/>
              </w:rPr>
            </w:pPr>
            <w:r>
              <w:rPr>
                <w:rFonts w:eastAsia="Calibri"/>
                <w:szCs w:val="22"/>
                <w:lang w:val="en-NZ"/>
              </w:rPr>
              <w:t>Logistics transport and movement of the artefacts from Scott Base to New Zealand would have less risk of damage during the transport process.</w:t>
            </w:r>
          </w:p>
          <w:p w14:paraId="0EC26C7A" w14:textId="77777777" w:rsidR="00DD5D6B" w:rsidRPr="00B43523" w:rsidRDefault="00DD5D6B" w:rsidP="00DD5D6B">
            <w:pPr>
              <w:pStyle w:val="Prrafodelista"/>
              <w:numPr>
                <w:ilvl w:val="0"/>
                <w:numId w:val="22"/>
              </w:numPr>
              <w:spacing w:before="60" w:after="60"/>
              <w:ind w:left="317" w:hanging="238"/>
              <w:contextualSpacing/>
              <w:rPr>
                <w:rFonts w:eastAsia="Calibri"/>
                <w:b/>
                <w:szCs w:val="22"/>
                <w:lang w:val="en-NZ"/>
              </w:rPr>
            </w:pPr>
            <w:r w:rsidRPr="00C4081E">
              <w:rPr>
                <w:rFonts w:eastAsia="Calibri"/>
                <w:szCs w:val="22"/>
                <w:lang w:val="en-NZ"/>
              </w:rPr>
              <w:t>Canterbury Museum’s redevelopment means that the Reserve Collection will move temporarily to an offsite storage facility with stable (albeit uncontrolled) environmental conditions.</w:t>
            </w:r>
            <w:r w:rsidRPr="00C4081E">
              <w:rPr>
                <w:rFonts w:eastAsia="Calibri"/>
                <w:b/>
                <w:szCs w:val="22"/>
                <w:lang w:val="en-NZ"/>
              </w:rPr>
              <w:t xml:space="preserve"> </w:t>
            </w:r>
            <w:r w:rsidRPr="00C4081E">
              <w:rPr>
                <w:rFonts w:eastAsia="Calibri"/>
                <w:szCs w:val="22"/>
                <w:lang w:val="en-NZ"/>
              </w:rPr>
              <w:t>Freezer space will be available for food products.</w:t>
            </w:r>
            <w:r>
              <w:rPr>
                <w:rFonts w:eastAsia="Calibri"/>
                <w:szCs w:val="22"/>
                <w:lang w:val="en-NZ"/>
              </w:rPr>
              <w:t xml:space="preserve"> </w:t>
            </w:r>
          </w:p>
          <w:p w14:paraId="53C84ECC" w14:textId="77777777" w:rsidR="00DD5D6B" w:rsidRPr="00B43523" w:rsidRDefault="00DD5D6B" w:rsidP="00DD5D6B">
            <w:pPr>
              <w:pStyle w:val="Prrafodelista"/>
              <w:numPr>
                <w:ilvl w:val="0"/>
                <w:numId w:val="22"/>
              </w:numPr>
              <w:spacing w:before="60" w:after="60"/>
              <w:ind w:left="317" w:hanging="238"/>
              <w:contextualSpacing/>
              <w:rPr>
                <w:rFonts w:eastAsia="Calibri"/>
                <w:b/>
                <w:szCs w:val="22"/>
                <w:lang w:val="en-NZ"/>
              </w:rPr>
            </w:pPr>
            <w:r w:rsidRPr="00B43523">
              <w:rPr>
                <w:szCs w:val="22"/>
                <w:lang w:val="en-US"/>
              </w:rPr>
              <w:t>The flexibility of the Reserve Collection allows for the possible future display of the artefacts as part of the museums Antarctic collection or for possible return to Antarctica if required and as logistics allows.</w:t>
            </w:r>
          </w:p>
          <w:p w14:paraId="4683D714" w14:textId="77777777" w:rsidR="00DD5D6B" w:rsidRPr="00C4081E" w:rsidRDefault="00DD5D6B" w:rsidP="00DD5D6B">
            <w:pPr>
              <w:pStyle w:val="Prrafodelista"/>
              <w:numPr>
                <w:ilvl w:val="0"/>
                <w:numId w:val="22"/>
              </w:numPr>
              <w:spacing w:before="60" w:after="60"/>
              <w:ind w:left="317" w:hanging="238"/>
              <w:contextualSpacing/>
              <w:rPr>
                <w:rFonts w:eastAsia="Calibri"/>
                <w:b/>
                <w:szCs w:val="22"/>
                <w:lang w:val="en-NZ"/>
              </w:rPr>
            </w:pPr>
            <w:r w:rsidRPr="002E1950">
              <w:rPr>
                <w:rFonts w:eastAsia="Calibri"/>
                <w:b/>
                <w:szCs w:val="22"/>
                <w:lang w:val="en-NZ"/>
              </w:rPr>
              <w:t>Recommended for consideration</w:t>
            </w:r>
          </w:p>
        </w:tc>
      </w:tr>
      <w:tr w:rsidR="00DD5D6B" w:rsidRPr="00C4081E" w14:paraId="7CDD8AD3" w14:textId="77777777" w:rsidTr="001F3EA3">
        <w:trPr>
          <w:trHeight w:val="37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55E0D5" w14:textId="77777777" w:rsidR="00DD5D6B" w:rsidRPr="00C4081E" w:rsidRDefault="00DD5D6B" w:rsidP="001F3EA3">
            <w:pPr>
              <w:rPr>
                <w:rFonts w:eastAsia="Calibri"/>
                <w:b/>
                <w:szCs w:val="22"/>
                <w:lang w:val="en-NZ"/>
              </w:rPr>
            </w:pPr>
          </w:p>
        </w:tc>
        <w:tc>
          <w:tcPr>
            <w:tcW w:w="2972" w:type="dxa"/>
            <w:tcBorders>
              <w:top w:val="single" w:sz="4" w:space="0" w:color="auto"/>
              <w:left w:val="single" w:sz="4" w:space="0" w:color="auto"/>
              <w:bottom w:val="single" w:sz="4" w:space="0" w:color="auto"/>
              <w:right w:val="single" w:sz="4" w:space="0" w:color="auto"/>
            </w:tcBorders>
            <w:vAlign w:val="center"/>
            <w:hideMark/>
          </w:tcPr>
          <w:p w14:paraId="079F3688" w14:textId="77777777" w:rsidR="00DD5D6B" w:rsidRPr="00C4081E" w:rsidRDefault="00DD5D6B" w:rsidP="00DD5D6B">
            <w:pPr>
              <w:pStyle w:val="Prrafodelista"/>
              <w:numPr>
                <w:ilvl w:val="0"/>
                <w:numId w:val="21"/>
              </w:numPr>
              <w:ind w:left="322" w:hanging="245"/>
              <w:contextualSpacing/>
              <w:rPr>
                <w:rFonts w:eastAsia="Calibri"/>
                <w:szCs w:val="22"/>
                <w:lang w:val="en-NZ"/>
              </w:rPr>
            </w:pPr>
            <w:r w:rsidRPr="00C4081E">
              <w:rPr>
                <w:rFonts w:eastAsia="Calibri"/>
                <w:szCs w:val="22"/>
                <w:lang w:val="en-NZ"/>
              </w:rPr>
              <w:t>Removal to the Canterbury Museum collection</w:t>
            </w:r>
          </w:p>
        </w:tc>
        <w:tc>
          <w:tcPr>
            <w:tcW w:w="5528" w:type="dxa"/>
            <w:tcBorders>
              <w:top w:val="single" w:sz="4" w:space="0" w:color="auto"/>
              <w:left w:val="single" w:sz="4" w:space="0" w:color="auto"/>
              <w:bottom w:val="single" w:sz="4" w:space="0" w:color="auto"/>
              <w:right w:val="single" w:sz="4" w:space="0" w:color="auto"/>
            </w:tcBorders>
            <w:vAlign w:val="center"/>
            <w:hideMark/>
          </w:tcPr>
          <w:p w14:paraId="01FBA925"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A controlled museum environment would ensure the artefacts are preserved for longer, and they could be viewed as a discrete collection from each cache site by researchers. Food products could be assessed and emptied for warm storage, or added to frozen collection.</w:t>
            </w:r>
          </w:p>
          <w:p w14:paraId="2E94AA96"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 xml:space="preserve">Permanent addition of the items to a New Zealand </w:t>
            </w:r>
            <w:r>
              <w:rPr>
                <w:rFonts w:eastAsia="Calibri"/>
                <w:szCs w:val="22"/>
                <w:lang w:val="en-NZ"/>
              </w:rPr>
              <w:t>m</w:t>
            </w:r>
            <w:r w:rsidRPr="00C4081E">
              <w:rPr>
                <w:rFonts w:eastAsia="Calibri"/>
                <w:szCs w:val="22"/>
                <w:lang w:val="en-NZ"/>
              </w:rPr>
              <w:t>useum collection implies an ownership claim</w:t>
            </w:r>
            <w:r>
              <w:rPr>
                <w:rFonts w:eastAsia="Calibri"/>
                <w:szCs w:val="22"/>
                <w:lang w:val="en-NZ"/>
              </w:rPr>
              <w:t xml:space="preserve"> by the museum</w:t>
            </w:r>
            <w:r w:rsidRPr="00C4081E">
              <w:rPr>
                <w:rFonts w:eastAsia="Calibri"/>
                <w:szCs w:val="22"/>
                <w:lang w:val="en-NZ"/>
              </w:rPr>
              <w:t xml:space="preserve">, which is not desirable. </w:t>
            </w:r>
          </w:p>
          <w:p w14:paraId="1861148A"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Canterbury Museum is initiating a complete rebuild in 2022, and their entire collection is moving to alternate offsite storage sites for the next few years.</w:t>
            </w:r>
          </w:p>
          <w:p w14:paraId="5F5DA6A8" w14:textId="77777777" w:rsidR="00DD5D6B"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 xml:space="preserve">Permanent museum-level storage will not be completed for another 4-5 years. </w:t>
            </w:r>
          </w:p>
          <w:p w14:paraId="26CF6189" w14:textId="77777777" w:rsidR="00DD5D6B" w:rsidRPr="00CA0D70"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b/>
                <w:szCs w:val="22"/>
                <w:lang w:val="en-NZ"/>
              </w:rPr>
              <w:t>Not recommended</w:t>
            </w:r>
          </w:p>
        </w:tc>
      </w:tr>
      <w:tr w:rsidR="00DD5D6B" w:rsidRPr="00C4081E" w14:paraId="7E2DFC87" w14:textId="77777777" w:rsidTr="001F3EA3">
        <w:trPr>
          <w:trHeight w:val="151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23BA7C" w14:textId="77777777" w:rsidR="00DD5D6B" w:rsidRPr="00C4081E" w:rsidRDefault="00DD5D6B" w:rsidP="001F3EA3">
            <w:pPr>
              <w:rPr>
                <w:rFonts w:eastAsia="Calibri"/>
                <w:b/>
                <w:szCs w:val="22"/>
                <w:lang w:val="en-NZ"/>
              </w:rPr>
            </w:pPr>
          </w:p>
        </w:tc>
        <w:tc>
          <w:tcPr>
            <w:tcW w:w="2972" w:type="dxa"/>
            <w:tcBorders>
              <w:top w:val="single" w:sz="4" w:space="0" w:color="auto"/>
              <w:left w:val="single" w:sz="4" w:space="0" w:color="auto"/>
              <w:bottom w:val="single" w:sz="4" w:space="0" w:color="auto"/>
              <w:right w:val="single" w:sz="4" w:space="0" w:color="auto"/>
            </w:tcBorders>
            <w:vAlign w:val="center"/>
            <w:hideMark/>
          </w:tcPr>
          <w:p w14:paraId="27B60E60" w14:textId="77777777" w:rsidR="00DD5D6B" w:rsidRPr="00C4081E" w:rsidRDefault="00DD5D6B" w:rsidP="00DD5D6B">
            <w:pPr>
              <w:pStyle w:val="Prrafodelista"/>
              <w:numPr>
                <w:ilvl w:val="0"/>
                <w:numId w:val="21"/>
              </w:numPr>
              <w:ind w:left="322" w:hanging="245"/>
              <w:contextualSpacing/>
              <w:rPr>
                <w:rFonts w:eastAsia="Calibri"/>
                <w:szCs w:val="22"/>
                <w:lang w:val="en-NZ"/>
              </w:rPr>
            </w:pPr>
            <w:r w:rsidRPr="00C4081E">
              <w:rPr>
                <w:rFonts w:eastAsia="Calibri"/>
                <w:szCs w:val="22"/>
                <w:lang w:val="en-NZ"/>
              </w:rPr>
              <w:t>Remove wet food products to frozen storage in New Zealand</w:t>
            </w:r>
          </w:p>
        </w:tc>
        <w:tc>
          <w:tcPr>
            <w:tcW w:w="5528" w:type="dxa"/>
            <w:tcBorders>
              <w:top w:val="single" w:sz="4" w:space="0" w:color="auto"/>
              <w:left w:val="single" w:sz="4" w:space="0" w:color="auto"/>
              <w:bottom w:val="single" w:sz="4" w:space="0" w:color="auto"/>
              <w:right w:val="single" w:sz="4" w:space="0" w:color="auto"/>
            </w:tcBorders>
            <w:vAlign w:val="center"/>
            <w:hideMark/>
          </w:tcPr>
          <w:p w14:paraId="0E523EDD" w14:textId="77777777" w:rsidR="00DD5D6B" w:rsidRPr="00C4081E" w:rsidRDefault="00DD5D6B" w:rsidP="00DD5D6B">
            <w:pPr>
              <w:pStyle w:val="Prrafodelista"/>
              <w:numPr>
                <w:ilvl w:val="0"/>
                <w:numId w:val="22"/>
              </w:numPr>
              <w:spacing w:before="60" w:after="60"/>
              <w:ind w:left="317" w:hanging="238"/>
              <w:contextualSpacing/>
              <w:rPr>
                <w:rFonts w:eastAsia="Calibri"/>
                <w:szCs w:val="22"/>
                <w:lang w:val="en-NZ"/>
              </w:rPr>
            </w:pPr>
            <w:r w:rsidRPr="00C4081E">
              <w:rPr>
                <w:rFonts w:eastAsia="Calibri"/>
                <w:szCs w:val="22"/>
                <w:lang w:val="en-NZ"/>
              </w:rPr>
              <w:t>An additional possibility would be to retain dry artefacts in Antarctica, and return wet food products to frozen storage in New Zealand. This option is not preferred as it necessarily involves loss of the depot integrity.</w:t>
            </w:r>
          </w:p>
          <w:p w14:paraId="04424A6D" w14:textId="77777777" w:rsidR="00DD5D6B" w:rsidRPr="00C4081E" w:rsidRDefault="00DD5D6B" w:rsidP="00DD5D6B">
            <w:pPr>
              <w:pStyle w:val="Prrafodelista"/>
              <w:numPr>
                <w:ilvl w:val="0"/>
                <w:numId w:val="22"/>
              </w:numPr>
              <w:spacing w:before="60" w:after="60"/>
              <w:ind w:left="317" w:hanging="238"/>
              <w:contextualSpacing/>
              <w:rPr>
                <w:rFonts w:eastAsia="Calibri"/>
                <w:b/>
                <w:szCs w:val="22"/>
                <w:lang w:val="en-NZ"/>
              </w:rPr>
            </w:pPr>
            <w:r w:rsidRPr="00C4081E">
              <w:rPr>
                <w:rFonts w:eastAsia="Calibri"/>
                <w:b/>
                <w:szCs w:val="22"/>
                <w:lang w:val="en-NZ"/>
              </w:rPr>
              <w:t>Not recommended</w:t>
            </w:r>
          </w:p>
        </w:tc>
      </w:tr>
    </w:tbl>
    <w:p w14:paraId="453DCB71" w14:textId="77777777" w:rsidR="00DD5D6B" w:rsidRDefault="00DD5D6B" w:rsidP="00DD5D6B">
      <w:pPr>
        <w:pStyle w:val="ATSNormal"/>
        <w:spacing w:line="256" w:lineRule="auto"/>
        <w:rPr>
          <w:szCs w:val="22"/>
          <w:lang w:val="en-US"/>
        </w:rPr>
      </w:pPr>
    </w:p>
    <w:p w14:paraId="019D88FA" w14:textId="77777777" w:rsidR="00DD5D6B" w:rsidRDefault="00DD5D6B" w:rsidP="00952E9F"/>
    <w:sectPr w:rsidR="00DD5D6B" w:rsidSect="00283F0F">
      <w:headerReference w:type="default" r:id="rId16"/>
      <w:footerReference w:type="default" r:id="rId17"/>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6A42F" w14:textId="77777777" w:rsidR="00000000" w:rsidRDefault="00DD5D6B">
      <w:r>
        <w:separator/>
      </w:r>
    </w:p>
  </w:endnote>
  <w:endnote w:type="continuationSeparator" w:id="0">
    <w:p w14:paraId="22BC1D83" w14:textId="77777777" w:rsidR="00000000" w:rsidRDefault="00DD5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B6A7" w14:textId="77777777" w:rsidR="00FA0B9F" w:rsidRDefault="00DD5D6B" w:rsidP="00CF5C82">
    <w:pPr>
      <w:framePr w:wrap="around" w:vAnchor="text" w:hAnchor="margin" w:xAlign="right" w:y="1"/>
    </w:pPr>
    <w:r>
      <w:fldChar w:fldCharType="begin"/>
    </w:r>
    <w:r>
      <w:instrText xml:space="preserve">PAGE  </w:instrText>
    </w:r>
    <w:r>
      <w:fldChar w:fldCharType="separate"/>
    </w:r>
    <w:r>
      <w:fldChar w:fldCharType="end"/>
    </w:r>
  </w:p>
  <w:p w14:paraId="7DE6EBD9" w14:textId="77777777" w:rsidR="00FA0B9F" w:rsidRDefault="00DD5D6B"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95C3E" w14:textId="77777777" w:rsidR="00FA0B9F" w:rsidRDefault="00DD5D6B"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6A74A185" w14:textId="1A9B3F2C" w:rsidR="00FA0B9F" w:rsidRDefault="00DD5D6B" w:rsidP="00FA0B9F">
    <w:pPr>
      <w:ind w:right="360"/>
    </w:pPr>
    <w:r>
      <w:t xml:space="preserve">Attachments: </w:t>
    </w:r>
  </w:p>
  <w:p w14:paraId="50D32DC9" w14:textId="5B0B7C76" w:rsidR="00DD5D6B" w:rsidRDefault="00DD5D6B" w:rsidP="00FA0B9F">
    <w:pPr>
      <w:ind w:right="360"/>
    </w:pPr>
    <w:r>
      <w:t xml:space="preserve">Atcm45_att035_e.pdf: </w:t>
    </w:r>
    <w:r>
      <w:t>List of artefacts from HSM 68: Supply depot, Hell’s Gate Moraine.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15A6" w14:textId="77777777" w:rsidR="00E311C9" w:rsidRDefault="00DD5D6B"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370163B0" w14:textId="77777777" w:rsidR="00E311C9" w:rsidRDefault="00DD5D6B"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FDC15" w14:textId="77777777" w:rsidR="00000000" w:rsidRDefault="00DD5D6B">
      <w:r>
        <w:separator/>
      </w:r>
    </w:p>
  </w:footnote>
  <w:footnote w:type="continuationSeparator" w:id="0">
    <w:p w14:paraId="0446DE64" w14:textId="77777777" w:rsidR="00000000" w:rsidRDefault="00DD5D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005"/>
      <w:gridCol w:w="1248"/>
      <w:gridCol w:w="1134"/>
      <w:gridCol w:w="390"/>
    </w:tblGrid>
    <w:tr w:rsidR="0097002C" w14:paraId="7BAFD5F5" w14:textId="77777777" w:rsidTr="002E12EC">
      <w:trPr>
        <w:trHeight w:val="344"/>
        <w:jc w:val="center"/>
      </w:trPr>
      <w:tc>
        <w:tcPr>
          <w:tcW w:w="5495" w:type="dxa"/>
        </w:tcPr>
        <w:p w14:paraId="60A65C62" w14:textId="77777777" w:rsidR="00DB7C09" w:rsidRDefault="00DD5D6B" w:rsidP="00F968D4"/>
      </w:tc>
      <w:tc>
        <w:tcPr>
          <w:tcW w:w="4253" w:type="dxa"/>
          <w:gridSpan w:val="2"/>
        </w:tcPr>
        <w:p w14:paraId="69330027" w14:textId="77777777" w:rsidR="00DB7C09" w:rsidRPr="00BD47E4" w:rsidRDefault="00DD5D6B" w:rsidP="002A07BC">
          <w:pPr>
            <w:jc w:val="right"/>
            <w:rPr>
              <w:b/>
              <w:sz w:val="32"/>
              <w:szCs w:val="32"/>
            </w:rPr>
          </w:pPr>
          <w:bookmarkStart w:id="2" w:name="type"/>
          <w:r w:rsidRPr="00BD47E4">
            <w:rPr>
              <w:b/>
              <w:sz w:val="32"/>
              <w:szCs w:val="32"/>
            </w:rPr>
            <w:t>WP</w:t>
          </w:r>
          <w:bookmarkEnd w:id="2"/>
        </w:p>
      </w:tc>
      <w:tc>
        <w:tcPr>
          <w:tcW w:w="1524" w:type="dxa"/>
          <w:gridSpan w:val="2"/>
        </w:tcPr>
        <w:p w14:paraId="6499CF3A" w14:textId="77777777" w:rsidR="00DB7C09" w:rsidRPr="00BD47E4" w:rsidRDefault="00DD5D6B" w:rsidP="00DB7C09">
          <w:pPr>
            <w:rPr>
              <w:b/>
              <w:sz w:val="32"/>
              <w:szCs w:val="32"/>
            </w:rPr>
          </w:pPr>
          <w:bookmarkStart w:id="3" w:name="number"/>
          <w:r w:rsidRPr="00BD47E4">
            <w:rPr>
              <w:b/>
              <w:sz w:val="32"/>
              <w:szCs w:val="32"/>
            </w:rPr>
            <w:t>27</w:t>
          </w:r>
          <w:bookmarkEnd w:id="3"/>
        </w:p>
      </w:tc>
    </w:tr>
    <w:tr w:rsidR="0097002C" w14:paraId="22B86A1D" w14:textId="77777777" w:rsidTr="002E12EC">
      <w:trPr>
        <w:trHeight w:val="2165"/>
        <w:jc w:val="center"/>
      </w:trPr>
      <w:tc>
        <w:tcPr>
          <w:tcW w:w="5495" w:type="dxa"/>
        </w:tcPr>
        <w:p w14:paraId="23B01BCE" w14:textId="77777777" w:rsidR="00490760" w:rsidRPr="00EE4D48" w:rsidRDefault="00DD5D6B" w:rsidP="002A07BC">
          <w:pPr>
            <w:rPr>
              <w:b/>
              <w:sz w:val="28"/>
              <w:szCs w:val="28"/>
            </w:rPr>
          </w:pPr>
          <w:r>
            <w:rPr>
              <w:noProof/>
            </w:rPr>
            <w:drawing>
              <wp:inline distT="0" distB="0" distL="0" distR="0" wp14:anchorId="4BE3A270" wp14:editId="76DB82F8">
                <wp:extent cx="2763277" cy="1612900"/>
                <wp:effectExtent l="0" t="0" r="0" b="6350"/>
                <wp:docPr id="2" name="Imagen 2" descr="Diagrama,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04587" name="Imagen 2" descr="Diagrama, 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916315" cy="1702227"/>
                        </a:xfrm>
                        <a:prstGeom prst="rect">
                          <a:avLst/>
                        </a:prstGeom>
                      </pic:spPr>
                    </pic:pic>
                  </a:graphicData>
                </a:graphic>
              </wp:inline>
            </w:drawing>
          </w:r>
        </w:p>
      </w:tc>
      <w:tc>
        <w:tcPr>
          <w:tcW w:w="5777" w:type="dxa"/>
          <w:gridSpan w:val="4"/>
          <w:vAlign w:val="center"/>
        </w:tcPr>
        <w:p w14:paraId="362774CB" w14:textId="77777777" w:rsidR="00490760" w:rsidRPr="00FE5146" w:rsidRDefault="00DD5D6B" w:rsidP="00490760">
          <w:pPr>
            <w:jc w:val="right"/>
            <w:rPr>
              <w:sz w:val="144"/>
              <w:szCs w:val="144"/>
            </w:rPr>
          </w:pPr>
          <w:r w:rsidRPr="00FE5146">
            <w:rPr>
              <w:sz w:val="144"/>
              <w:szCs w:val="144"/>
            </w:rPr>
            <w:t>ENG</w:t>
          </w:r>
        </w:p>
      </w:tc>
    </w:tr>
    <w:tr w:rsidR="0097002C" w14:paraId="6783BFD1" w14:textId="77777777" w:rsidTr="002E12EC">
      <w:trPr>
        <w:trHeight w:val="409"/>
        <w:jc w:val="center"/>
      </w:trPr>
      <w:tc>
        <w:tcPr>
          <w:tcW w:w="8500" w:type="dxa"/>
          <w:gridSpan w:val="2"/>
        </w:tcPr>
        <w:p w14:paraId="17CB9043" w14:textId="77777777" w:rsidR="00BD47E4" w:rsidRDefault="00DD5D6B" w:rsidP="002C30DA">
          <w:pPr>
            <w:jc w:val="right"/>
          </w:pPr>
          <w:r>
            <w:t>Agenda Item:</w:t>
          </w:r>
        </w:p>
      </w:tc>
      <w:tc>
        <w:tcPr>
          <w:tcW w:w="2382" w:type="dxa"/>
          <w:gridSpan w:val="2"/>
        </w:tcPr>
        <w:p w14:paraId="776A16E1" w14:textId="77777777" w:rsidR="00BD47E4" w:rsidRDefault="00DD5D6B" w:rsidP="002C30DA">
          <w:pPr>
            <w:jc w:val="right"/>
          </w:pPr>
          <w:bookmarkStart w:id="4" w:name="agenda"/>
          <w:r>
            <w:t>CEP 9b</w:t>
          </w:r>
          <w:bookmarkEnd w:id="4"/>
        </w:p>
      </w:tc>
      <w:tc>
        <w:tcPr>
          <w:tcW w:w="390" w:type="dxa"/>
        </w:tcPr>
        <w:p w14:paraId="3BFCACF3" w14:textId="77777777" w:rsidR="00BD47E4" w:rsidRDefault="00DD5D6B" w:rsidP="00387A65">
          <w:pPr>
            <w:jc w:val="right"/>
          </w:pPr>
        </w:p>
      </w:tc>
    </w:tr>
    <w:tr w:rsidR="0097002C" w14:paraId="6D6CDBB6" w14:textId="77777777" w:rsidTr="002E12EC">
      <w:trPr>
        <w:trHeight w:val="397"/>
        <w:jc w:val="center"/>
      </w:trPr>
      <w:tc>
        <w:tcPr>
          <w:tcW w:w="8500" w:type="dxa"/>
          <w:gridSpan w:val="2"/>
        </w:tcPr>
        <w:p w14:paraId="44629116" w14:textId="77777777" w:rsidR="00BD47E4" w:rsidRDefault="00DD5D6B" w:rsidP="002C30DA">
          <w:pPr>
            <w:jc w:val="right"/>
          </w:pPr>
          <w:r>
            <w:t>Presented by:</w:t>
          </w:r>
        </w:p>
      </w:tc>
      <w:tc>
        <w:tcPr>
          <w:tcW w:w="2382" w:type="dxa"/>
          <w:gridSpan w:val="2"/>
        </w:tcPr>
        <w:p w14:paraId="1464E2DE" w14:textId="77777777" w:rsidR="00BD47E4" w:rsidRDefault="00DD5D6B" w:rsidP="002C30DA">
          <w:pPr>
            <w:jc w:val="right"/>
          </w:pPr>
          <w:bookmarkStart w:id="5" w:name="party"/>
          <w:r>
            <w:t>New Zealand, United Kingdom, Norway</w:t>
          </w:r>
          <w:bookmarkEnd w:id="5"/>
        </w:p>
      </w:tc>
      <w:tc>
        <w:tcPr>
          <w:tcW w:w="390" w:type="dxa"/>
        </w:tcPr>
        <w:p w14:paraId="7D602B5F" w14:textId="77777777" w:rsidR="00BD47E4" w:rsidRDefault="00DD5D6B" w:rsidP="00387A65">
          <w:pPr>
            <w:jc w:val="right"/>
          </w:pPr>
        </w:p>
      </w:tc>
    </w:tr>
    <w:tr w:rsidR="0097002C" w14:paraId="2E8D0A32" w14:textId="77777777" w:rsidTr="002E12EC">
      <w:trPr>
        <w:trHeight w:val="409"/>
        <w:jc w:val="center"/>
      </w:trPr>
      <w:tc>
        <w:tcPr>
          <w:tcW w:w="8500" w:type="dxa"/>
          <w:gridSpan w:val="2"/>
        </w:tcPr>
        <w:p w14:paraId="0435CD3B" w14:textId="77777777" w:rsidR="00BD47E4" w:rsidRDefault="00DD5D6B" w:rsidP="002C30DA">
          <w:pPr>
            <w:jc w:val="right"/>
          </w:pPr>
          <w:r>
            <w:t>Original:</w:t>
          </w:r>
        </w:p>
      </w:tc>
      <w:tc>
        <w:tcPr>
          <w:tcW w:w="2382" w:type="dxa"/>
          <w:gridSpan w:val="2"/>
        </w:tcPr>
        <w:p w14:paraId="1F0F0A81" w14:textId="77777777" w:rsidR="00BD47E4" w:rsidRDefault="00DD5D6B" w:rsidP="002C30DA">
          <w:pPr>
            <w:jc w:val="right"/>
          </w:pPr>
          <w:bookmarkStart w:id="6" w:name="language"/>
          <w:r>
            <w:t>English</w:t>
          </w:r>
          <w:bookmarkEnd w:id="6"/>
        </w:p>
      </w:tc>
      <w:tc>
        <w:tcPr>
          <w:tcW w:w="390" w:type="dxa"/>
        </w:tcPr>
        <w:p w14:paraId="1F12C7F0" w14:textId="77777777" w:rsidR="00BD47E4" w:rsidRDefault="00DD5D6B" w:rsidP="00387A65">
          <w:pPr>
            <w:jc w:val="right"/>
          </w:pPr>
        </w:p>
      </w:tc>
    </w:tr>
    <w:tr w:rsidR="0097002C" w14:paraId="6AA9A776" w14:textId="77777777" w:rsidTr="002E12EC">
      <w:trPr>
        <w:trHeight w:val="409"/>
        <w:jc w:val="center"/>
      </w:trPr>
      <w:tc>
        <w:tcPr>
          <w:tcW w:w="8500" w:type="dxa"/>
          <w:gridSpan w:val="2"/>
        </w:tcPr>
        <w:p w14:paraId="73CCE8FE" w14:textId="77777777" w:rsidR="0097629D" w:rsidRDefault="00DD5D6B" w:rsidP="002C30DA">
          <w:pPr>
            <w:jc w:val="right"/>
          </w:pPr>
          <w:r>
            <w:t>Submitted:</w:t>
          </w:r>
        </w:p>
      </w:tc>
      <w:tc>
        <w:tcPr>
          <w:tcW w:w="2382" w:type="dxa"/>
          <w:gridSpan w:val="2"/>
        </w:tcPr>
        <w:p w14:paraId="17134765" w14:textId="77777777" w:rsidR="0097629D" w:rsidRDefault="00DD5D6B" w:rsidP="0097629D">
          <w:pPr>
            <w:jc w:val="right"/>
          </w:pPr>
          <w:bookmarkStart w:id="7" w:name="date_submission"/>
          <w:r>
            <w:t>14 Apr 2023</w:t>
          </w:r>
          <w:bookmarkEnd w:id="7"/>
        </w:p>
      </w:tc>
      <w:tc>
        <w:tcPr>
          <w:tcW w:w="390" w:type="dxa"/>
        </w:tcPr>
        <w:p w14:paraId="59A6AF8D" w14:textId="77777777" w:rsidR="0097629D" w:rsidRDefault="00DD5D6B" w:rsidP="00387A65">
          <w:pPr>
            <w:jc w:val="right"/>
          </w:pPr>
        </w:p>
      </w:tc>
    </w:tr>
  </w:tbl>
  <w:p w14:paraId="098A41A6" w14:textId="77777777" w:rsidR="00AE5DD0" w:rsidRDefault="00DD5D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97002C" w14:paraId="799696B0" w14:textId="77777777">
      <w:trPr>
        <w:trHeight w:val="354"/>
        <w:jc w:val="center"/>
      </w:trPr>
      <w:tc>
        <w:tcPr>
          <w:tcW w:w="9694" w:type="dxa"/>
        </w:tcPr>
        <w:p w14:paraId="7C6194B2" w14:textId="1771AC69" w:rsidR="00AE5DD0" w:rsidRPr="00BD47E4" w:rsidRDefault="00DD5D6B" w:rsidP="00C26F2D">
          <w:pPr>
            <w:jc w:val="right"/>
            <w:rPr>
              <w:b/>
              <w:sz w:val="32"/>
              <w:szCs w:val="32"/>
            </w:rPr>
          </w:pPr>
          <w:r>
            <w:rPr>
              <w:b/>
              <w:sz w:val="32"/>
              <w:szCs w:val="32"/>
            </w:rPr>
            <w:t>WP</w:t>
          </w:r>
        </w:p>
      </w:tc>
      <w:tc>
        <w:tcPr>
          <w:tcW w:w="1332" w:type="dxa"/>
        </w:tcPr>
        <w:p w14:paraId="4692676D" w14:textId="38CB92BE" w:rsidR="00AE5DD0" w:rsidRPr="00BD47E4" w:rsidRDefault="00DD5D6B" w:rsidP="00080F4C">
          <w:pPr>
            <w:rPr>
              <w:b/>
              <w:sz w:val="32"/>
              <w:szCs w:val="32"/>
            </w:rPr>
          </w:pPr>
          <w:r>
            <w:rPr>
              <w:b/>
              <w:sz w:val="32"/>
              <w:szCs w:val="32"/>
            </w:rPr>
            <w:t>27</w:t>
          </w:r>
        </w:p>
      </w:tc>
    </w:tr>
  </w:tbl>
  <w:p w14:paraId="211FD2D4" w14:textId="77777777" w:rsidR="00AE5DD0" w:rsidRDefault="00DD5D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76518B"/>
    <w:multiLevelType w:val="hybridMultilevel"/>
    <w:tmpl w:val="32A2C4F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0A78586D"/>
    <w:multiLevelType w:val="hybridMultilevel"/>
    <w:tmpl w:val="271A9BAC"/>
    <w:lvl w:ilvl="0" w:tplc="4964D828">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2"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86577EA"/>
    <w:multiLevelType w:val="hybridMultilevel"/>
    <w:tmpl w:val="21A63D98"/>
    <w:lvl w:ilvl="0" w:tplc="2D1CDB28">
      <w:start w:val="1"/>
      <w:numFmt w:val="bullet"/>
      <w:pStyle w:val="ATSBullet1"/>
      <w:lvlText w:val=""/>
      <w:lvlJc w:val="left"/>
      <w:pPr>
        <w:tabs>
          <w:tab w:val="num" w:pos="360"/>
        </w:tabs>
        <w:ind w:left="360" w:hanging="360"/>
      </w:pPr>
      <w:rPr>
        <w:rFonts w:ascii="Symbol" w:hAnsi="Symbol" w:hint="default"/>
        <w:color w:val="auto"/>
      </w:rPr>
    </w:lvl>
    <w:lvl w:ilvl="1" w:tplc="22E2AE72" w:tentative="1">
      <w:start w:val="1"/>
      <w:numFmt w:val="bullet"/>
      <w:lvlText w:val="o"/>
      <w:lvlJc w:val="left"/>
      <w:pPr>
        <w:tabs>
          <w:tab w:val="num" w:pos="1440"/>
        </w:tabs>
        <w:ind w:left="1440" w:hanging="360"/>
      </w:pPr>
      <w:rPr>
        <w:rFonts w:ascii="Courier New" w:hAnsi="Courier New" w:cs="Courier New" w:hint="default"/>
      </w:rPr>
    </w:lvl>
    <w:lvl w:ilvl="2" w:tplc="FAF4FA48" w:tentative="1">
      <w:start w:val="1"/>
      <w:numFmt w:val="bullet"/>
      <w:lvlText w:val=""/>
      <w:lvlJc w:val="left"/>
      <w:pPr>
        <w:tabs>
          <w:tab w:val="num" w:pos="2160"/>
        </w:tabs>
        <w:ind w:left="2160" w:hanging="360"/>
      </w:pPr>
      <w:rPr>
        <w:rFonts w:ascii="Wingdings" w:hAnsi="Wingdings" w:hint="default"/>
      </w:rPr>
    </w:lvl>
    <w:lvl w:ilvl="3" w:tplc="3F60D0E4" w:tentative="1">
      <w:start w:val="1"/>
      <w:numFmt w:val="bullet"/>
      <w:lvlText w:val=""/>
      <w:lvlJc w:val="left"/>
      <w:pPr>
        <w:tabs>
          <w:tab w:val="num" w:pos="2880"/>
        </w:tabs>
        <w:ind w:left="2880" w:hanging="360"/>
      </w:pPr>
      <w:rPr>
        <w:rFonts w:ascii="Symbol" w:hAnsi="Symbol" w:hint="default"/>
      </w:rPr>
    </w:lvl>
    <w:lvl w:ilvl="4" w:tplc="4F0267F4" w:tentative="1">
      <w:start w:val="1"/>
      <w:numFmt w:val="bullet"/>
      <w:lvlText w:val="o"/>
      <w:lvlJc w:val="left"/>
      <w:pPr>
        <w:tabs>
          <w:tab w:val="num" w:pos="3600"/>
        </w:tabs>
        <w:ind w:left="3600" w:hanging="360"/>
      </w:pPr>
      <w:rPr>
        <w:rFonts w:ascii="Courier New" w:hAnsi="Courier New" w:cs="Courier New" w:hint="default"/>
      </w:rPr>
    </w:lvl>
    <w:lvl w:ilvl="5" w:tplc="657E25E8" w:tentative="1">
      <w:start w:val="1"/>
      <w:numFmt w:val="bullet"/>
      <w:lvlText w:val=""/>
      <w:lvlJc w:val="left"/>
      <w:pPr>
        <w:tabs>
          <w:tab w:val="num" w:pos="4320"/>
        </w:tabs>
        <w:ind w:left="4320" w:hanging="360"/>
      </w:pPr>
      <w:rPr>
        <w:rFonts w:ascii="Wingdings" w:hAnsi="Wingdings" w:hint="default"/>
      </w:rPr>
    </w:lvl>
    <w:lvl w:ilvl="6" w:tplc="B094BF92" w:tentative="1">
      <w:start w:val="1"/>
      <w:numFmt w:val="bullet"/>
      <w:lvlText w:val=""/>
      <w:lvlJc w:val="left"/>
      <w:pPr>
        <w:tabs>
          <w:tab w:val="num" w:pos="5040"/>
        </w:tabs>
        <w:ind w:left="5040" w:hanging="360"/>
      </w:pPr>
      <w:rPr>
        <w:rFonts w:ascii="Symbol" w:hAnsi="Symbol" w:hint="default"/>
      </w:rPr>
    </w:lvl>
    <w:lvl w:ilvl="7" w:tplc="D43C98EA" w:tentative="1">
      <w:start w:val="1"/>
      <w:numFmt w:val="bullet"/>
      <w:lvlText w:val="o"/>
      <w:lvlJc w:val="left"/>
      <w:pPr>
        <w:tabs>
          <w:tab w:val="num" w:pos="5760"/>
        </w:tabs>
        <w:ind w:left="5760" w:hanging="360"/>
      </w:pPr>
      <w:rPr>
        <w:rFonts w:ascii="Courier New" w:hAnsi="Courier New" w:cs="Courier New" w:hint="default"/>
      </w:rPr>
    </w:lvl>
    <w:lvl w:ilvl="8" w:tplc="D598BEC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9D35C15"/>
    <w:multiLevelType w:val="hybridMultilevel"/>
    <w:tmpl w:val="A8A2E45C"/>
    <w:lvl w:ilvl="0" w:tplc="E012C8D8">
      <w:start w:val="1"/>
      <w:numFmt w:val="decimal"/>
      <w:lvlText w:val="%1)"/>
      <w:lvlJc w:val="left"/>
      <w:pPr>
        <w:tabs>
          <w:tab w:val="num" w:pos="340"/>
        </w:tabs>
        <w:ind w:left="340" w:hanging="340"/>
      </w:pPr>
      <w:rPr>
        <w:rFonts w:hint="default"/>
      </w:rPr>
    </w:lvl>
    <w:lvl w:ilvl="1" w:tplc="7C9CECBA" w:tentative="1">
      <w:start w:val="1"/>
      <w:numFmt w:val="lowerLetter"/>
      <w:lvlText w:val="%2."/>
      <w:lvlJc w:val="left"/>
      <w:pPr>
        <w:tabs>
          <w:tab w:val="num" w:pos="1440"/>
        </w:tabs>
        <w:ind w:left="1440" w:hanging="360"/>
      </w:pPr>
    </w:lvl>
    <w:lvl w:ilvl="2" w:tplc="421A5D6E" w:tentative="1">
      <w:start w:val="1"/>
      <w:numFmt w:val="lowerRoman"/>
      <w:lvlText w:val="%3."/>
      <w:lvlJc w:val="right"/>
      <w:pPr>
        <w:tabs>
          <w:tab w:val="num" w:pos="2160"/>
        </w:tabs>
        <w:ind w:left="2160" w:hanging="180"/>
      </w:pPr>
    </w:lvl>
    <w:lvl w:ilvl="3" w:tplc="9D6471B8" w:tentative="1">
      <w:start w:val="1"/>
      <w:numFmt w:val="decimal"/>
      <w:lvlText w:val="%4."/>
      <w:lvlJc w:val="left"/>
      <w:pPr>
        <w:tabs>
          <w:tab w:val="num" w:pos="2880"/>
        </w:tabs>
        <w:ind w:left="2880" w:hanging="360"/>
      </w:pPr>
    </w:lvl>
    <w:lvl w:ilvl="4" w:tplc="0EF420F0" w:tentative="1">
      <w:start w:val="1"/>
      <w:numFmt w:val="lowerLetter"/>
      <w:lvlText w:val="%5."/>
      <w:lvlJc w:val="left"/>
      <w:pPr>
        <w:tabs>
          <w:tab w:val="num" w:pos="3600"/>
        </w:tabs>
        <w:ind w:left="3600" w:hanging="360"/>
      </w:pPr>
    </w:lvl>
    <w:lvl w:ilvl="5" w:tplc="FC889D40" w:tentative="1">
      <w:start w:val="1"/>
      <w:numFmt w:val="lowerRoman"/>
      <w:lvlText w:val="%6."/>
      <w:lvlJc w:val="right"/>
      <w:pPr>
        <w:tabs>
          <w:tab w:val="num" w:pos="4320"/>
        </w:tabs>
        <w:ind w:left="4320" w:hanging="180"/>
      </w:pPr>
    </w:lvl>
    <w:lvl w:ilvl="6" w:tplc="08A4C872" w:tentative="1">
      <w:start w:val="1"/>
      <w:numFmt w:val="decimal"/>
      <w:lvlText w:val="%7."/>
      <w:lvlJc w:val="left"/>
      <w:pPr>
        <w:tabs>
          <w:tab w:val="num" w:pos="5040"/>
        </w:tabs>
        <w:ind w:left="5040" w:hanging="360"/>
      </w:pPr>
    </w:lvl>
    <w:lvl w:ilvl="7" w:tplc="5C86F616" w:tentative="1">
      <w:start w:val="1"/>
      <w:numFmt w:val="lowerLetter"/>
      <w:lvlText w:val="%8."/>
      <w:lvlJc w:val="left"/>
      <w:pPr>
        <w:tabs>
          <w:tab w:val="num" w:pos="5760"/>
        </w:tabs>
        <w:ind w:left="5760" w:hanging="360"/>
      </w:pPr>
    </w:lvl>
    <w:lvl w:ilvl="8" w:tplc="46905A60" w:tentative="1">
      <w:start w:val="1"/>
      <w:numFmt w:val="lowerRoman"/>
      <w:lvlText w:val="%9."/>
      <w:lvlJc w:val="right"/>
      <w:pPr>
        <w:tabs>
          <w:tab w:val="num" w:pos="6480"/>
        </w:tabs>
        <w:ind w:left="6480" w:hanging="180"/>
      </w:pPr>
    </w:lvl>
  </w:abstractNum>
  <w:abstractNum w:abstractNumId="15" w15:restartNumberingAfterBreak="0">
    <w:nsid w:val="642F3AFA"/>
    <w:multiLevelType w:val="hybridMultilevel"/>
    <w:tmpl w:val="9DF09BE6"/>
    <w:lvl w:ilvl="0" w:tplc="2B8E58DA">
      <w:start w:val="1"/>
      <w:numFmt w:val="decimal"/>
      <w:lvlText w:val="%1."/>
      <w:lvlJc w:val="left"/>
      <w:pPr>
        <w:tabs>
          <w:tab w:val="num" w:pos="1057"/>
        </w:tabs>
        <w:ind w:left="1057" w:hanging="360"/>
      </w:pPr>
      <w:rPr>
        <w:rFonts w:hint="default"/>
      </w:rPr>
    </w:lvl>
    <w:lvl w:ilvl="1" w:tplc="09ECF5E8" w:tentative="1">
      <w:start w:val="1"/>
      <w:numFmt w:val="lowerLetter"/>
      <w:lvlText w:val="%2."/>
      <w:lvlJc w:val="left"/>
      <w:pPr>
        <w:tabs>
          <w:tab w:val="num" w:pos="2137"/>
        </w:tabs>
        <w:ind w:left="2137" w:hanging="360"/>
      </w:pPr>
    </w:lvl>
    <w:lvl w:ilvl="2" w:tplc="80CA2FE6" w:tentative="1">
      <w:start w:val="1"/>
      <w:numFmt w:val="lowerRoman"/>
      <w:lvlText w:val="%3."/>
      <w:lvlJc w:val="right"/>
      <w:pPr>
        <w:tabs>
          <w:tab w:val="num" w:pos="2857"/>
        </w:tabs>
        <w:ind w:left="2857" w:hanging="180"/>
      </w:pPr>
    </w:lvl>
    <w:lvl w:ilvl="3" w:tplc="E432DD78" w:tentative="1">
      <w:start w:val="1"/>
      <w:numFmt w:val="decimal"/>
      <w:lvlText w:val="%4."/>
      <w:lvlJc w:val="left"/>
      <w:pPr>
        <w:tabs>
          <w:tab w:val="num" w:pos="3577"/>
        </w:tabs>
        <w:ind w:left="3577" w:hanging="360"/>
      </w:pPr>
    </w:lvl>
    <w:lvl w:ilvl="4" w:tplc="025CE80A" w:tentative="1">
      <w:start w:val="1"/>
      <w:numFmt w:val="lowerLetter"/>
      <w:lvlText w:val="%5."/>
      <w:lvlJc w:val="left"/>
      <w:pPr>
        <w:tabs>
          <w:tab w:val="num" w:pos="4297"/>
        </w:tabs>
        <w:ind w:left="4297" w:hanging="360"/>
      </w:pPr>
    </w:lvl>
    <w:lvl w:ilvl="5" w:tplc="4364E700" w:tentative="1">
      <w:start w:val="1"/>
      <w:numFmt w:val="lowerRoman"/>
      <w:lvlText w:val="%6."/>
      <w:lvlJc w:val="right"/>
      <w:pPr>
        <w:tabs>
          <w:tab w:val="num" w:pos="5017"/>
        </w:tabs>
        <w:ind w:left="5017" w:hanging="180"/>
      </w:pPr>
    </w:lvl>
    <w:lvl w:ilvl="6" w:tplc="6A44334C" w:tentative="1">
      <w:start w:val="1"/>
      <w:numFmt w:val="decimal"/>
      <w:lvlText w:val="%7."/>
      <w:lvlJc w:val="left"/>
      <w:pPr>
        <w:tabs>
          <w:tab w:val="num" w:pos="5737"/>
        </w:tabs>
        <w:ind w:left="5737" w:hanging="360"/>
      </w:pPr>
    </w:lvl>
    <w:lvl w:ilvl="7" w:tplc="6324CBF4" w:tentative="1">
      <w:start w:val="1"/>
      <w:numFmt w:val="lowerLetter"/>
      <w:lvlText w:val="%8."/>
      <w:lvlJc w:val="left"/>
      <w:pPr>
        <w:tabs>
          <w:tab w:val="num" w:pos="6457"/>
        </w:tabs>
        <w:ind w:left="6457" w:hanging="360"/>
      </w:pPr>
    </w:lvl>
    <w:lvl w:ilvl="8" w:tplc="C31C9EEE" w:tentative="1">
      <w:start w:val="1"/>
      <w:numFmt w:val="lowerRoman"/>
      <w:lvlText w:val="%9."/>
      <w:lvlJc w:val="right"/>
      <w:pPr>
        <w:tabs>
          <w:tab w:val="num" w:pos="7177"/>
        </w:tabs>
        <w:ind w:left="7177" w:hanging="180"/>
      </w:pPr>
    </w:lvl>
  </w:abstractNum>
  <w:abstractNum w:abstractNumId="16" w15:restartNumberingAfterBreak="0">
    <w:nsid w:val="7212657C"/>
    <w:multiLevelType w:val="hybridMultilevel"/>
    <w:tmpl w:val="0A8E2A84"/>
    <w:lvl w:ilvl="0" w:tplc="7DACAB68">
      <w:start w:val="1"/>
      <w:numFmt w:val="decimal"/>
      <w:pStyle w:val="ATSNumber1"/>
      <w:lvlText w:val="%1)"/>
      <w:lvlJc w:val="left"/>
      <w:pPr>
        <w:tabs>
          <w:tab w:val="num" w:pos="720"/>
        </w:tabs>
        <w:ind w:left="720" w:hanging="360"/>
      </w:pPr>
    </w:lvl>
    <w:lvl w:ilvl="1" w:tplc="5846DFD6" w:tentative="1">
      <w:start w:val="1"/>
      <w:numFmt w:val="lowerLetter"/>
      <w:lvlText w:val="%2."/>
      <w:lvlJc w:val="left"/>
      <w:pPr>
        <w:tabs>
          <w:tab w:val="num" w:pos="1440"/>
        </w:tabs>
        <w:ind w:left="1440" w:hanging="360"/>
      </w:pPr>
    </w:lvl>
    <w:lvl w:ilvl="2" w:tplc="B824C8C0" w:tentative="1">
      <w:start w:val="1"/>
      <w:numFmt w:val="lowerRoman"/>
      <w:lvlText w:val="%3."/>
      <w:lvlJc w:val="right"/>
      <w:pPr>
        <w:tabs>
          <w:tab w:val="num" w:pos="2160"/>
        </w:tabs>
        <w:ind w:left="2160" w:hanging="180"/>
      </w:pPr>
    </w:lvl>
    <w:lvl w:ilvl="3" w:tplc="FB38551E" w:tentative="1">
      <w:start w:val="1"/>
      <w:numFmt w:val="decimal"/>
      <w:lvlText w:val="%4."/>
      <w:lvlJc w:val="left"/>
      <w:pPr>
        <w:tabs>
          <w:tab w:val="num" w:pos="2880"/>
        </w:tabs>
        <w:ind w:left="2880" w:hanging="360"/>
      </w:pPr>
    </w:lvl>
    <w:lvl w:ilvl="4" w:tplc="F8F801B4" w:tentative="1">
      <w:start w:val="1"/>
      <w:numFmt w:val="lowerLetter"/>
      <w:lvlText w:val="%5."/>
      <w:lvlJc w:val="left"/>
      <w:pPr>
        <w:tabs>
          <w:tab w:val="num" w:pos="3600"/>
        </w:tabs>
        <w:ind w:left="3600" w:hanging="360"/>
      </w:pPr>
    </w:lvl>
    <w:lvl w:ilvl="5" w:tplc="CE86A7B4" w:tentative="1">
      <w:start w:val="1"/>
      <w:numFmt w:val="lowerRoman"/>
      <w:lvlText w:val="%6."/>
      <w:lvlJc w:val="right"/>
      <w:pPr>
        <w:tabs>
          <w:tab w:val="num" w:pos="4320"/>
        </w:tabs>
        <w:ind w:left="4320" w:hanging="180"/>
      </w:pPr>
    </w:lvl>
    <w:lvl w:ilvl="6" w:tplc="4AE6CE2A" w:tentative="1">
      <w:start w:val="1"/>
      <w:numFmt w:val="decimal"/>
      <w:lvlText w:val="%7."/>
      <w:lvlJc w:val="left"/>
      <w:pPr>
        <w:tabs>
          <w:tab w:val="num" w:pos="5040"/>
        </w:tabs>
        <w:ind w:left="5040" w:hanging="360"/>
      </w:pPr>
    </w:lvl>
    <w:lvl w:ilvl="7" w:tplc="B442F7A0" w:tentative="1">
      <w:start w:val="1"/>
      <w:numFmt w:val="lowerLetter"/>
      <w:lvlText w:val="%8."/>
      <w:lvlJc w:val="left"/>
      <w:pPr>
        <w:tabs>
          <w:tab w:val="num" w:pos="5760"/>
        </w:tabs>
        <w:ind w:left="5760" w:hanging="360"/>
      </w:pPr>
    </w:lvl>
    <w:lvl w:ilvl="8" w:tplc="59F2FC0A" w:tentative="1">
      <w:start w:val="1"/>
      <w:numFmt w:val="lowerRoman"/>
      <w:lvlText w:val="%9."/>
      <w:lvlJc w:val="right"/>
      <w:pPr>
        <w:tabs>
          <w:tab w:val="num" w:pos="6480"/>
        </w:tabs>
        <w:ind w:left="6480" w:hanging="180"/>
      </w:pPr>
    </w:lvl>
  </w:abstractNum>
  <w:abstractNum w:abstractNumId="17" w15:restartNumberingAfterBreak="0">
    <w:nsid w:val="743D2161"/>
    <w:multiLevelType w:val="hybridMultilevel"/>
    <w:tmpl w:val="B0868D9E"/>
    <w:lvl w:ilvl="0" w:tplc="8A125BC2">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8A04324A" w:tentative="1">
      <w:start w:val="1"/>
      <w:numFmt w:val="bullet"/>
      <w:lvlText w:val="o"/>
      <w:lvlJc w:val="left"/>
      <w:pPr>
        <w:tabs>
          <w:tab w:val="num" w:pos="2517"/>
        </w:tabs>
        <w:ind w:left="2517" w:hanging="360"/>
      </w:pPr>
      <w:rPr>
        <w:rFonts w:ascii="Courier New" w:hAnsi="Courier New" w:cs="Courier New" w:hint="default"/>
      </w:rPr>
    </w:lvl>
    <w:lvl w:ilvl="2" w:tplc="A76094AE" w:tentative="1">
      <w:start w:val="1"/>
      <w:numFmt w:val="bullet"/>
      <w:lvlText w:val=""/>
      <w:lvlJc w:val="left"/>
      <w:pPr>
        <w:tabs>
          <w:tab w:val="num" w:pos="3237"/>
        </w:tabs>
        <w:ind w:left="3237" w:hanging="360"/>
      </w:pPr>
      <w:rPr>
        <w:rFonts w:ascii="Wingdings" w:hAnsi="Wingdings" w:hint="default"/>
      </w:rPr>
    </w:lvl>
    <w:lvl w:ilvl="3" w:tplc="6BDAFFEC" w:tentative="1">
      <w:start w:val="1"/>
      <w:numFmt w:val="bullet"/>
      <w:lvlText w:val=""/>
      <w:lvlJc w:val="left"/>
      <w:pPr>
        <w:tabs>
          <w:tab w:val="num" w:pos="3957"/>
        </w:tabs>
        <w:ind w:left="3957" w:hanging="360"/>
      </w:pPr>
      <w:rPr>
        <w:rFonts w:ascii="Symbol" w:hAnsi="Symbol" w:hint="default"/>
      </w:rPr>
    </w:lvl>
    <w:lvl w:ilvl="4" w:tplc="C986BDA4" w:tentative="1">
      <w:start w:val="1"/>
      <w:numFmt w:val="bullet"/>
      <w:lvlText w:val="o"/>
      <w:lvlJc w:val="left"/>
      <w:pPr>
        <w:tabs>
          <w:tab w:val="num" w:pos="4677"/>
        </w:tabs>
        <w:ind w:left="4677" w:hanging="360"/>
      </w:pPr>
      <w:rPr>
        <w:rFonts w:ascii="Courier New" w:hAnsi="Courier New" w:cs="Courier New" w:hint="default"/>
      </w:rPr>
    </w:lvl>
    <w:lvl w:ilvl="5" w:tplc="EDB4A0A6" w:tentative="1">
      <w:start w:val="1"/>
      <w:numFmt w:val="bullet"/>
      <w:lvlText w:val=""/>
      <w:lvlJc w:val="left"/>
      <w:pPr>
        <w:tabs>
          <w:tab w:val="num" w:pos="5397"/>
        </w:tabs>
        <w:ind w:left="5397" w:hanging="360"/>
      </w:pPr>
      <w:rPr>
        <w:rFonts w:ascii="Wingdings" w:hAnsi="Wingdings" w:hint="default"/>
      </w:rPr>
    </w:lvl>
    <w:lvl w:ilvl="6" w:tplc="96CA5E44" w:tentative="1">
      <w:start w:val="1"/>
      <w:numFmt w:val="bullet"/>
      <w:lvlText w:val=""/>
      <w:lvlJc w:val="left"/>
      <w:pPr>
        <w:tabs>
          <w:tab w:val="num" w:pos="6117"/>
        </w:tabs>
        <w:ind w:left="6117" w:hanging="360"/>
      </w:pPr>
      <w:rPr>
        <w:rFonts w:ascii="Symbol" w:hAnsi="Symbol" w:hint="default"/>
      </w:rPr>
    </w:lvl>
    <w:lvl w:ilvl="7" w:tplc="EC0AD212" w:tentative="1">
      <w:start w:val="1"/>
      <w:numFmt w:val="bullet"/>
      <w:lvlText w:val="o"/>
      <w:lvlJc w:val="left"/>
      <w:pPr>
        <w:tabs>
          <w:tab w:val="num" w:pos="6837"/>
        </w:tabs>
        <w:ind w:left="6837" w:hanging="360"/>
      </w:pPr>
      <w:rPr>
        <w:rFonts w:ascii="Courier New" w:hAnsi="Courier New" w:cs="Courier New" w:hint="default"/>
      </w:rPr>
    </w:lvl>
    <w:lvl w:ilvl="8" w:tplc="BDB42DBE" w:tentative="1">
      <w:start w:val="1"/>
      <w:numFmt w:val="bullet"/>
      <w:lvlText w:val=""/>
      <w:lvlJc w:val="left"/>
      <w:pPr>
        <w:tabs>
          <w:tab w:val="num" w:pos="7557"/>
        </w:tabs>
        <w:ind w:left="7557" w:hanging="360"/>
      </w:pPr>
      <w:rPr>
        <w:rFonts w:ascii="Wingdings" w:hAnsi="Wingdings" w:hint="default"/>
      </w:rPr>
    </w:lvl>
  </w:abstractNum>
  <w:abstractNum w:abstractNumId="18" w15:restartNumberingAfterBreak="0">
    <w:nsid w:val="7C866FC0"/>
    <w:multiLevelType w:val="hybridMultilevel"/>
    <w:tmpl w:val="57EA2900"/>
    <w:lvl w:ilvl="0" w:tplc="CE2ACA06">
      <w:start w:val="1"/>
      <w:numFmt w:val="decimal"/>
      <w:pStyle w:val="ATSNumber2"/>
      <w:lvlText w:val="%1."/>
      <w:lvlJc w:val="left"/>
      <w:pPr>
        <w:tabs>
          <w:tab w:val="num" w:pos="720"/>
        </w:tabs>
        <w:ind w:left="720" w:hanging="360"/>
      </w:pPr>
      <w:rPr>
        <w:rFonts w:hint="default"/>
      </w:rPr>
    </w:lvl>
    <w:lvl w:ilvl="1" w:tplc="E236DF20" w:tentative="1">
      <w:start w:val="1"/>
      <w:numFmt w:val="lowerLetter"/>
      <w:lvlText w:val="%2."/>
      <w:lvlJc w:val="left"/>
      <w:pPr>
        <w:tabs>
          <w:tab w:val="num" w:pos="1440"/>
        </w:tabs>
        <w:ind w:left="1440" w:hanging="360"/>
      </w:pPr>
    </w:lvl>
    <w:lvl w:ilvl="2" w:tplc="758ACBD8" w:tentative="1">
      <w:start w:val="1"/>
      <w:numFmt w:val="lowerRoman"/>
      <w:lvlText w:val="%3."/>
      <w:lvlJc w:val="right"/>
      <w:pPr>
        <w:tabs>
          <w:tab w:val="num" w:pos="2160"/>
        </w:tabs>
        <w:ind w:left="2160" w:hanging="180"/>
      </w:pPr>
    </w:lvl>
    <w:lvl w:ilvl="3" w:tplc="C176486A" w:tentative="1">
      <w:start w:val="1"/>
      <w:numFmt w:val="decimal"/>
      <w:lvlText w:val="%4."/>
      <w:lvlJc w:val="left"/>
      <w:pPr>
        <w:tabs>
          <w:tab w:val="num" w:pos="2880"/>
        </w:tabs>
        <w:ind w:left="2880" w:hanging="360"/>
      </w:pPr>
    </w:lvl>
    <w:lvl w:ilvl="4" w:tplc="7E3647AE" w:tentative="1">
      <w:start w:val="1"/>
      <w:numFmt w:val="lowerLetter"/>
      <w:lvlText w:val="%5."/>
      <w:lvlJc w:val="left"/>
      <w:pPr>
        <w:tabs>
          <w:tab w:val="num" w:pos="3600"/>
        </w:tabs>
        <w:ind w:left="3600" w:hanging="360"/>
      </w:pPr>
    </w:lvl>
    <w:lvl w:ilvl="5" w:tplc="2ED8913C" w:tentative="1">
      <w:start w:val="1"/>
      <w:numFmt w:val="lowerRoman"/>
      <w:lvlText w:val="%6."/>
      <w:lvlJc w:val="right"/>
      <w:pPr>
        <w:tabs>
          <w:tab w:val="num" w:pos="4320"/>
        </w:tabs>
        <w:ind w:left="4320" w:hanging="180"/>
      </w:pPr>
    </w:lvl>
    <w:lvl w:ilvl="6" w:tplc="14287EEE" w:tentative="1">
      <w:start w:val="1"/>
      <w:numFmt w:val="decimal"/>
      <w:lvlText w:val="%7."/>
      <w:lvlJc w:val="left"/>
      <w:pPr>
        <w:tabs>
          <w:tab w:val="num" w:pos="5040"/>
        </w:tabs>
        <w:ind w:left="5040" w:hanging="360"/>
      </w:pPr>
    </w:lvl>
    <w:lvl w:ilvl="7" w:tplc="FA3ECBB0" w:tentative="1">
      <w:start w:val="1"/>
      <w:numFmt w:val="lowerLetter"/>
      <w:lvlText w:val="%8."/>
      <w:lvlJc w:val="left"/>
      <w:pPr>
        <w:tabs>
          <w:tab w:val="num" w:pos="5760"/>
        </w:tabs>
        <w:ind w:left="5760" w:hanging="360"/>
      </w:pPr>
    </w:lvl>
    <w:lvl w:ilvl="8" w:tplc="BECC17E8" w:tentative="1">
      <w:start w:val="1"/>
      <w:numFmt w:val="lowerRoman"/>
      <w:lvlText w:val="%9."/>
      <w:lvlJc w:val="right"/>
      <w:pPr>
        <w:tabs>
          <w:tab w:val="num" w:pos="6480"/>
        </w:tabs>
        <w:ind w:left="6480" w:hanging="180"/>
      </w:pPr>
    </w:lvl>
  </w:abstractNum>
  <w:abstractNum w:abstractNumId="19" w15:restartNumberingAfterBreak="0">
    <w:nsid w:val="7FE41678"/>
    <w:multiLevelType w:val="hybridMultilevel"/>
    <w:tmpl w:val="767CE226"/>
    <w:lvl w:ilvl="0" w:tplc="512A1BDC">
      <w:start w:val="1"/>
      <w:numFmt w:val="decimal"/>
      <w:lvlText w:val="%1."/>
      <w:lvlJc w:val="left"/>
      <w:pPr>
        <w:ind w:left="720" w:hanging="360"/>
      </w:pPr>
      <w:rPr>
        <w:i w:val="0"/>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num w:numId="1" w16cid:durableId="1354113701">
    <w:abstractNumId w:val="9"/>
  </w:num>
  <w:num w:numId="2" w16cid:durableId="1452898611">
    <w:abstractNumId w:val="7"/>
  </w:num>
  <w:num w:numId="3" w16cid:durableId="1964925338">
    <w:abstractNumId w:val="6"/>
  </w:num>
  <w:num w:numId="4" w16cid:durableId="1016886462">
    <w:abstractNumId w:val="5"/>
  </w:num>
  <w:num w:numId="5" w16cid:durableId="2146507026">
    <w:abstractNumId w:val="4"/>
  </w:num>
  <w:num w:numId="6" w16cid:durableId="73356392">
    <w:abstractNumId w:val="8"/>
  </w:num>
  <w:num w:numId="7" w16cid:durableId="1362318274">
    <w:abstractNumId w:val="3"/>
  </w:num>
  <w:num w:numId="8" w16cid:durableId="1448157942">
    <w:abstractNumId w:val="2"/>
  </w:num>
  <w:num w:numId="9" w16cid:durableId="1574851593">
    <w:abstractNumId w:val="1"/>
  </w:num>
  <w:num w:numId="10" w16cid:durableId="1459714159">
    <w:abstractNumId w:val="0"/>
  </w:num>
  <w:num w:numId="11" w16cid:durableId="562907613">
    <w:abstractNumId w:val="13"/>
  </w:num>
  <w:num w:numId="12" w16cid:durableId="53431412">
    <w:abstractNumId w:val="17"/>
  </w:num>
  <w:num w:numId="13" w16cid:durableId="303047820">
    <w:abstractNumId w:val="16"/>
  </w:num>
  <w:num w:numId="14" w16cid:durableId="1823693360">
    <w:abstractNumId w:val="14"/>
  </w:num>
  <w:num w:numId="15" w16cid:durableId="369301910">
    <w:abstractNumId w:val="15"/>
  </w:num>
  <w:num w:numId="16" w16cid:durableId="723676896">
    <w:abstractNumId w:val="12"/>
  </w:num>
  <w:num w:numId="17" w16cid:durableId="2036732179">
    <w:abstractNumId w:val="13"/>
  </w:num>
  <w:num w:numId="18" w16cid:durableId="646083412">
    <w:abstractNumId w:val="17"/>
  </w:num>
  <w:num w:numId="19" w16cid:durableId="1014923238">
    <w:abstractNumId w:val="16"/>
  </w:num>
  <w:num w:numId="20" w16cid:durableId="345178158">
    <w:abstractNumId w:val="18"/>
  </w:num>
  <w:num w:numId="21" w16cid:durableId="20340726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46893105">
    <w:abstractNumId w:val="11"/>
  </w:num>
  <w:num w:numId="23" w16cid:durableId="1971641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02C"/>
    <w:rsid w:val="0097002C"/>
    <w:rsid w:val="00DD5D6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799077"/>
  <w15:chartTrackingRefBased/>
  <w15:docId w15:val="{C16BC944-29E1-4515-BCB4-6CFEC484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link w:val="ATSNormalChar"/>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link w:val="ATSHeading2Char"/>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uiPriority w:val="39"/>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qFormat/>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ATSHeading2Char">
    <w:name w:val="ATS Heading 2 Char"/>
    <w:link w:val="ATSHeading2"/>
    <w:locked/>
    <w:rsid w:val="00DD5D6B"/>
    <w:rPr>
      <w:rFonts w:ascii="Arial" w:hAnsi="Arial"/>
      <w:b/>
      <w:i/>
      <w:sz w:val="24"/>
      <w:szCs w:val="22"/>
      <w:lang w:val="en-GB" w:eastAsia="en-GB"/>
    </w:rPr>
  </w:style>
  <w:style w:type="character" w:customStyle="1" w:styleId="ATSNormalChar">
    <w:name w:val="ATS Normal Char"/>
    <w:link w:val="ATSNormal"/>
    <w:locked/>
    <w:rsid w:val="00DD5D6B"/>
    <w:rPr>
      <w:sz w:val="22"/>
      <w:szCs w:val="24"/>
      <w:lang w:val="en-GB" w:eastAsia="en-GB"/>
    </w:rPr>
  </w:style>
  <w:style w:type="paragraph" w:customStyle="1" w:styleId="Default">
    <w:name w:val="Default"/>
    <w:rsid w:val="00DD5D6B"/>
    <w:pPr>
      <w:autoSpaceDE w:val="0"/>
      <w:autoSpaceDN w:val="0"/>
      <w:adjustRightInd w:val="0"/>
    </w:pPr>
    <w:rPr>
      <w:color w:val="000000"/>
      <w:sz w:val="24"/>
      <w:szCs w:val="24"/>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1378</Words>
  <Characters>7118</Characters>
  <Application>Microsoft Office Word</Application>
  <DocSecurity>0</DocSecurity>
  <Lines>59</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Jose Luis Agraz</dc:creator>
  <cp:lastModifiedBy>Jose Luis Agraz</cp:lastModifiedBy>
  <cp:revision>3</cp:revision>
  <cp:lastPrinted>2008-01-22T18:20:00Z</cp:lastPrinted>
  <dcterms:created xsi:type="dcterms:W3CDTF">2022-10-28T13:16:00Z</dcterms:created>
  <dcterms:modified xsi:type="dcterms:W3CDTF">2023-04-14T17:40:00Z</dcterms:modified>
</cp:coreProperties>
</file>