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01C57" w14:textId="77777777" w:rsidR="00C26F2D" w:rsidRPr="00BF077B" w:rsidRDefault="00874CA3" w:rsidP="00BF077B">
      <w:pPr>
        <w:pStyle w:val="ATSNormal"/>
        <w:rPr>
          <w:rStyle w:val="Ttulodellibro"/>
        </w:rPr>
      </w:pPr>
    </w:p>
    <w:p w14:paraId="12BBFB38" w14:textId="77777777" w:rsidR="002F0A13" w:rsidRDefault="00874CA3" w:rsidP="004B4A60">
      <w:pPr>
        <w:rPr>
          <w:b/>
          <w:u w:val="single"/>
          <w:lang w:val="es-ES_tradnl"/>
        </w:rPr>
      </w:pPr>
    </w:p>
    <w:p w14:paraId="50A13D01" w14:textId="77777777" w:rsidR="002F0A13" w:rsidRDefault="00874CA3" w:rsidP="004B4A60">
      <w:pPr>
        <w:rPr>
          <w:b/>
          <w:u w:val="single"/>
          <w:lang w:val="es-ES_tradnl"/>
        </w:rPr>
      </w:pPr>
    </w:p>
    <w:p w14:paraId="54AE28E7" w14:textId="77777777" w:rsidR="002F0A13" w:rsidRDefault="00874CA3" w:rsidP="004B4A60">
      <w:pPr>
        <w:rPr>
          <w:b/>
          <w:u w:val="single"/>
          <w:lang w:val="es-ES_tradnl"/>
        </w:rPr>
      </w:pPr>
    </w:p>
    <w:p w14:paraId="38640215" w14:textId="77777777" w:rsidR="002F0A13" w:rsidRDefault="00874CA3" w:rsidP="004B4A60">
      <w:pPr>
        <w:rPr>
          <w:b/>
          <w:u w:val="single"/>
          <w:lang w:val="es-ES_tradnl"/>
        </w:rPr>
      </w:pPr>
    </w:p>
    <w:p w14:paraId="6FB0A323" w14:textId="77777777" w:rsidR="00C26F2D" w:rsidRDefault="00874CA3" w:rsidP="004B4A60">
      <w:pPr>
        <w:rPr>
          <w:b/>
          <w:u w:val="single"/>
          <w:lang w:val="es-ES_tradnl"/>
        </w:rPr>
      </w:pPr>
    </w:p>
    <w:p w14:paraId="666F68CD" w14:textId="77777777" w:rsidR="004B4A60" w:rsidRPr="0057246E" w:rsidRDefault="00E54246" w:rsidP="001B789F">
      <w:pPr>
        <w:pStyle w:val="ATSTitle"/>
      </w:pPr>
      <w:bookmarkStart w:id="0" w:name="name"/>
      <w:r>
        <w:t xml:space="preserve">Review of the Management Plan for Antarctic Specially Protected Area No.156: Lewis Bay, Mount Erebus, Ross Island </w:t>
      </w:r>
      <w:bookmarkEnd w:id="0"/>
    </w:p>
    <w:p w14:paraId="5B1480AC" w14:textId="77777777" w:rsidR="004B4A60" w:rsidRPr="0057246E" w:rsidRDefault="00874CA3" w:rsidP="00F75424">
      <w:pPr>
        <w:jc w:val="center"/>
      </w:pPr>
    </w:p>
    <w:p w14:paraId="3C993E85" w14:textId="77777777" w:rsidR="004B4A60" w:rsidRPr="002F0A13" w:rsidRDefault="00874CA3" w:rsidP="002F0A13"/>
    <w:p w14:paraId="5E004DB4" w14:textId="77777777" w:rsidR="004B4A60" w:rsidRDefault="00874CA3" w:rsidP="00F75424">
      <w:pPr>
        <w:jc w:val="center"/>
      </w:pPr>
      <w:bookmarkStart w:id="1" w:name="memo"/>
      <w:bookmarkEnd w:id="1"/>
    </w:p>
    <w:p w14:paraId="4CB1E6FB" w14:textId="77777777" w:rsidR="0097629D" w:rsidRDefault="00874CA3" w:rsidP="00F75424">
      <w:pPr>
        <w:jc w:val="center"/>
      </w:pPr>
    </w:p>
    <w:p w14:paraId="5FF6F6EF" w14:textId="77777777" w:rsidR="0097629D" w:rsidRDefault="00874CA3" w:rsidP="00F75424">
      <w:pPr>
        <w:jc w:val="center"/>
      </w:pPr>
    </w:p>
    <w:p w14:paraId="206C212B" w14:textId="77777777" w:rsidR="0097629D" w:rsidRDefault="00874CA3" w:rsidP="00F75424">
      <w:pPr>
        <w:jc w:val="center"/>
      </w:pPr>
    </w:p>
    <w:p w14:paraId="6F412923" w14:textId="77777777" w:rsidR="0097629D" w:rsidRPr="00C26F2D" w:rsidRDefault="00874CA3" w:rsidP="00F75424">
      <w:pPr>
        <w:jc w:val="center"/>
      </w:pPr>
    </w:p>
    <w:p w14:paraId="31D41E99" w14:textId="77777777" w:rsidR="004B4A60" w:rsidRPr="0057246E" w:rsidRDefault="00874CA3" w:rsidP="004B4A60"/>
    <w:p w14:paraId="31A6A93A" w14:textId="77777777" w:rsidR="00C26F2D" w:rsidRDefault="00874CA3"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61B6E126" w14:textId="1F1E570A" w:rsidR="004B4A60" w:rsidRDefault="00874CA3" w:rsidP="00952E9F"/>
    <w:p w14:paraId="4C87AF6D" w14:textId="77777777" w:rsidR="00E54246" w:rsidRDefault="00E54246" w:rsidP="00E54246">
      <w:pPr>
        <w:pStyle w:val="ATSHeading1"/>
      </w:pPr>
      <w:r>
        <w:t xml:space="preserve">Revision of the Management Plan for Antarctic Specially Protected Area No. </w:t>
      </w:r>
      <w:r w:rsidRPr="00687DCE">
        <w:t>15</w:t>
      </w:r>
      <w:r>
        <w:t>6</w:t>
      </w:r>
      <w:r w:rsidRPr="00687DCE">
        <w:t xml:space="preserve">: </w:t>
      </w:r>
      <w:r>
        <w:t>Lewis Bay</w:t>
      </w:r>
      <w:r w:rsidRPr="00687DCE">
        <w:t>, Mo</w:t>
      </w:r>
      <w:r>
        <w:t xml:space="preserve">unt Erebus, </w:t>
      </w:r>
      <w:r w:rsidRPr="00687DCE">
        <w:t xml:space="preserve">Ross </w:t>
      </w:r>
      <w:r>
        <w:t>Island</w:t>
      </w:r>
    </w:p>
    <w:p w14:paraId="0C61B900" w14:textId="77777777" w:rsidR="00E54246" w:rsidRPr="00656DE0" w:rsidRDefault="00E54246" w:rsidP="00E54246">
      <w:pPr>
        <w:pStyle w:val="ATSNormal"/>
        <w:jc w:val="center"/>
        <w:rPr>
          <w:rFonts w:eastAsia="Malgun Gothic"/>
          <w:b/>
          <w:lang w:eastAsia="en-US"/>
        </w:rPr>
      </w:pPr>
      <w:r w:rsidRPr="00656DE0">
        <w:rPr>
          <w:rFonts w:eastAsia="Malgun Gothic"/>
          <w:b/>
          <w:lang w:eastAsia="en-US"/>
        </w:rPr>
        <w:t>Working Paper submitted by New Zealand</w:t>
      </w:r>
    </w:p>
    <w:p w14:paraId="1C02E4A8" w14:textId="77777777" w:rsidR="00E54246" w:rsidRDefault="00E54246" w:rsidP="00E54246">
      <w:pPr>
        <w:pStyle w:val="ATSHeading2"/>
        <w:jc w:val="left"/>
      </w:pPr>
      <w:r>
        <w:t>Summary</w:t>
      </w:r>
    </w:p>
    <w:p w14:paraId="360AC897" w14:textId="77777777" w:rsidR="00E54246" w:rsidRDefault="00E54246" w:rsidP="00E54246">
      <w:pPr>
        <w:pStyle w:val="ATSNormal"/>
      </w:pPr>
      <w:r>
        <w:t>New Zealand has undertaken a review of the management plan for Antarctic Specially Protected Area (ASPA) N</w:t>
      </w:r>
      <w:r w:rsidRPr="00FE00EF">
        <w:t>o</w:t>
      </w:r>
      <w:r>
        <w:t xml:space="preserve">.156, Lewis Bay, Mount Erebus, Ross Island in accordance with Annex V to the Protocol. A revised management plan for ASPA 156 has been prepared. </w:t>
      </w:r>
      <w:r w:rsidRPr="00615595">
        <w:t xml:space="preserve">The revisions are minor and outlined in the </w:t>
      </w:r>
      <w:r>
        <w:t>table</w:t>
      </w:r>
      <w:r w:rsidRPr="00615595">
        <w:t xml:space="preserve"> below</w:t>
      </w:r>
      <w:r>
        <w:t>. New Zealand recommends that the CEP approves the attached revised management plan for ASPA 156, Lewis Bay, Mount Erebus, Ross Island.</w:t>
      </w:r>
    </w:p>
    <w:p w14:paraId="56BE0E3D" w14:textId="77777777" w:rsidR="00E54246" w:rsidRDefault="00E54246" w:rsidP="00E54246">
      <w:pPr>
        <w:pStyle w:val="ATSHeading2"/>
        <w:jc w:val="left"/>
      </w:pPr>
      <w:r>
        <w:t>Introduction</w:t>
      </w:r>
    </w:p>
    <w:p w14:paraId="54351BA4" w14:textId="77777777" w:rsidR="00E54246" w:rsidRPr="0043658E" w:rsidRDefault="00E54246" w:rsidP="00E54246">
      <w:pPr>
        <w:spacing w:after="120"/>
      </w:pPr>
      <w:r w:rsidRPr="0043658E">
        <w:t>New Zealand has undertaken a ‘five-year review’ of the Management Plan for ASPA No. </w:t>
      </w:r>
      <w:r>
        <w:t xml:space="preserve">156, Lewis Bay, Mount Erebus, Ross Island </w:t>
      </w:r>
      <w:r w:rsidRPr="0043658E">
        <w:t>in accordance with Article 6(3) of Annex V to Protocol on Environmental Protection to the Antarctic Treaty.</w:t>
      </w:r>
    </w:p>
    <w:p w14:paraId="1472487C" w14:textId="77777777" w:rsidR="00E54246" w:rsidRPr="0043658E" w:rsidRDefault="00E54246" w:rsidP="00E54246">
      <w:pPr>
        <w:spacing w:after="120"/>
      </w:pPr>
      <w:r w:rsidRPr="0043658E">
        <w:t>The Area on the lower slopes of Mount Erebus, above Lewis Bay on the north side of Ross Island, was originally declared a tomb in Recommendation XI-3 (1981) after notification by New Zealand that 257 people of several nationalities lost their lives when the DC-10 aircraft in which they were travelling crashed at this site on 28 November, 1979.</w:t>
      </w:r>
    </w:p>
    <w:p w14:paraId="7F5371B8" w14:textId="77777777" w:rsidR="00E54246" w:rsidRPr="0043658E" w:rsidRDefault="00E54246" w:rsidP="00E54246">
      <w:pPr>
        <w:spacing w:after="120"/>
      </w:pPr>
      <w:r w:rsidRPr="0043658E">
        <w:t>The Area was designated as a Specially Protected Area No. 26 by Measure 2 (1997) primarily to ensure the Area was kept inviolate as a mark of respect in remembrance and in order to protect the site's emotional values.  The site was re-designated as Antarctic Specially Protected Area No. 156 by Decision 1 (2002) and a revised management plan was adopted by Measure 2 (2003).</w:t>
      </w:r>
    </w:p>
    <w:p w14:paraId="3F3E9448" w14:textId="77777777" w:rsidR="00E54246" w:rsidRPr="0043658E" w:rsidRDefault="00E54246" w:rsidP="00E54246">
      <w:pPr>
        <w:spacing w:after="120"/>
      </w:pPr>
      <w:r w:rsidRPr="0043658E">
        <w:t>The management plan was reviewed and continued without changes at CEP XI (2008).</w:t>
      </w:r>
    </w:p>
    <w:p w14:paraId="5ECB727C" w14:textId="77777777" w:rsidR="00E54246" w:rsidRPr="0043658E" w:rsidRDefault="00E54246" w:rsidP="00E54246">
      <w:pPr>
        <w:spacing w:after="120"/>
      </w:pPr>
      <w:r w:rsidRPr="0043658E">
        <w:t>In 2013, New Zealand proposed minor changes to the management plan including the addition of an introduction</w:t>
      </w:r>
      <w:r>
        <w:t>,</w:t>
      </w:r>
      <w:r w:rsidRPr="0043658E">
        <w:t xml:space="preserve"> the addition of Section 6(ii) ‘Access to the Area’</w:t>
      </w:r>
      <w:r>
        <w:t>,</w:t>
      </w:r>
      <w:r w:rsidRPr="0043658E">
        <w:t xml:space="preserve"> reference to the Environmental Domain in which the site falls, and the inclusion of a new Figure 1 (photo).  The revised management plan was adopted </w:t>
      </w:r>
      <w:r>
        <w:t>at</w:t>
      </w:r>
      <w:r w:rsidRPr="0043658E">
        <w:t xml:space="preserve"> ATCM XXXVI by means of Measure 13 (2013).</w:t>
      </w:r>
    </w:p>
    <w:p w14:paraId="3DF3E134" w14:textId="77777777" w:rsidR="00E54246" w:rsidRDefault="00E54246" w:rsidP="00E54246">
      <w:pPr>
        <w:spacing w:after="120"/>
      </w:pPr>
      <w:r>
        <w:t>The Management Plan was presented to the CEP in 2018 with no changes and it was agreed that the adopted plan should remain in force.</w:t>
      </w:r>
    </w:p>
    <w:p w14:paraId="50135FC8" w14:textId="77777777" w:rsidR="00E54246" w:rsidRPr="0043658E" w:rsidRDefault="00E54246" w:rsidP="00E54246">
      <w:pPr>
        <w:spacing w:after="120"/>
      </w:pPr>
      <w:r w:rsidRPr="0043658E">
        <w:t>The most recent review was undertaken as a desk top exercise and in consultation with key stakeholders. No visits have been undertaken to the site in recognition of the principle of ensuring that as far as possible the Area should be left in peace.</w:t>
      </w:r>
    </w:p>
    <w:p w14:paraId="124E57F9" w14:textId="77777777" w:rsidR="00E54246" w:rsidRPr="0043658E" w:rsidRDefault="00E54246" w:rsidP="00E54246">
      <w:pPr>
        <w:spacing w:after="120"/>
      </w:pPr>
      <w:r w:rsidRPr="0043658E">
        <w:t xml:space="preserve">The review concluded that </w:t>
      </w:r>
      <w:r>
        <w:t xml:space="preserve">minor updates to the management plan were appropriate to strengthen the protection of the values of the area and an updated </w:t>
      </w:r>
      <w:r w:rsidRPr="0043658E">
        <w:t xml:space="preserve">management plan </w:t>
      </w:r>
      <w:r>
        <w:t>has been prepared</w:t>
      </w:r>
      <w:r w:rsidRPr="0043658E">
        <w:t>.</w:t>
      </w:r>
    </w:p>
    <w:p w14:paraId="6291968A" w14:textId="77777777" w:rsidR="00E54246" w:rsidRDefault="00E54246" w:rsidP="00E54246">
      <w:pPr>
        <w:pStyle w:val="ATSHeading2"/>
        <w:jc w:val="left"/>
      </w:pPr>
      <w:r>
        <w:t>Recommendation</w:t>
      </w:r>
    </w:p>
    <w:p w14:paraId="064916FC" w14:textId="77777777" w:rsidR="00E54246" w:rsidRDefault="00E54246" w:rsidP="00E54246">
      <w:pPr>
        <w:pStyle w:val="ATSNormal"/>
      </w:pPr>
      <w:r>
        <w:t>New Zealand recommends that the CEP approves the attached revised management plan for ASPA 156, Lewis Bay, Mount Erebus, Ross Island.</w:t>
      </w:r>
    </w:p>
    <w:p w14:paraId="3D0375C6" w14:textId="77777777" w:rsidR="00E54246" w:rsidRDefault="00E54246" w:rsidP="00E54246">
      <w:pPr>
        <w:spacing w:after="160" w:line="259" w:lineRule="auto"/>
        <w:rPr>
          <w:lang w:eastAsia="en-GB"/>
        </w:rPr>
      </w:pPr>
      <w:r>
        <w:br w:type="page"/>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0"/>
        <w:gridCol w:w="4241"/>
      </w:tblGrid>
      <w:tr w:rsidR="00E54246" w:rsidRPr="0096712D" w14:paraId="072AFF7F" w14:textId="77777777" w:rsidTr="00E54246">
        <w:trPr>
          <w:jc w:val="center"/>
        </w:trPr>
        <w:tc>
          <w:tcPr>
            <w:tcW w:w="9351" w:type="dxa"/>
            <w:gridSpan w:val="2"/>
            <w:hideMark/>
          </w:tcPr>
          <w:p w14:paraId="48C9F78F" w14:textId="77777777" w:rsidR="00E54246" w:rsidRPr="00B90C29" w:rsidRDefault="00E54246" w:rsidP="00D32B33">
            <w:pPr>
              <w:pStyle w:val="ATSHeading1"/>
              <w:rPr>
                <w:lang w:val="en-AU"/>
              </w:rPr>
            </w:pPr>
            <w:r>
              <w:lastRenderedPageBreak/>
              <w:br w:type="page"/>
            </w:r>
            <w:r w:rsidRPr="00B90C29">
              <w:t>ASPA 1</w:t>
            </w:r>
            <w:r>
              <w:t>56</w:t>
            </w:r>
            <w:r w:rsidRPr="00B90C29">
              <w:t xml:space="preserve">: </w:t>
            </w:r>
            <w:r>
              <w:t>Lewis Bay, Mount Erebus, Ross Island</w:t>
            </w:r>
          </w:p>
        </w:tc>
      </w:tr>
      <w:tr w:rsidR="00E54246" w14:paraId="479250A0" w14:textId="77777777" w:rsidTr="00E54246">
        <w:trPr>
          <w:jc w:val="center"/>
        </w:trPr>
        <w:tc>
          <w:tcPr>
            <w:tcW w:w="5110" w:type="dxa"/>
            <w:vAlign w:val="center"/>
            <w:hideMark/>
          </w:tcPr>
          <w:p w14:paraId="179856BF" w14:textId="77777777" w:rsidR="00E54246" w:rsidRPr="00C074D4" w:rsidRDefault="00E54246" w:rsidP="00D32B33">
            <w:pPr>
              <w:pStyle w:val="ATSNormal"/>
              <w:spacing w:before="60" w:after="60"/>
              <w:rPr>
                <w:b/>
                <w:snapToGrid w:val="0"/>
                <w:sz w:val="20"/>
                <w:lang w:eastAsia="en-US"/>
              </w:rPr>
            </w:pPr>
            <w:r w:rsidRPr="00C074D4">
              <w:rPr>
                <w:b/>
                <w:snapToGrid w:val="0"/>
                <w:sz w:val="20"/>
                <w:lang w:eastAsia="en-US"/>
              </w:rPr>
              <w:t>1. Is a new ASPA proposed?</w:t>
            </w:r>
          </w:p>
        </w:tc>
        <w:tc>
          <w:tcPr>
            <w:tcW w:w="4241" w:type="dxa"/>
            <w:vAlign w:val="center"/>
            <w:hideMark/>
          </w:tcPr>
          <w:p w14:paraId="4A44AC49" w14:textId="77777777" w:rsidR="00E54246" w:rsidRPr="00C074D4" w:rsidRDefault="00E54246" w:rsidP="00D32B33">
            <w:pPr>
              <w:spacing w:before="60" w:after="60"/>
              <w:rPr>
                <w:sz w:val="20"/>
              </w:rPr>
            </w:pPr>
            <w:r w:rsidRPr="00C074D4">
              <w:rPr>
                <w:sz w:val="20"/>
              </w:rPr>
              <w:t>No</w:t>
            </w:r>
          </w:p>
        </w:tc>
      </w:tr>
      <w:tr w:rsidR="00E54246" w14:paraId="14AB672E" w14:textId="77777777" w:rsidTr="00E54246">
        <w:trPr>
          <w:jc w:val="center"/>
        </w:trPr>
        <w:tc>
          <w:tcPr>
            <w:tcW w:w="5110" w:type="dxa"/>
            <w:vAlign w:val="center"/>
            <w:hideMark/>
          </w:tcPr>
          <w:p w14:paraId="532BD760" w14:textId="77777777" w:rsidR="00E54246" w:rsidRPr="00C074D4" w:rsidRDefault="00E54246" w:rsidP="00D32B33">
            <w:pPr>
              <w:pStyle w:val="ATSNormal"/>
              <w:spacing w:before="60" w:after="60"/>
              <w:rPr>
                <w:b/>
                <w:snapToGrid w:val="0"/>
                <w:sz w:val="20"/>
                <w:lang w:eastAsia="en-US"/>
              </w:rPr>
            </w:pPr>
            <w:r w:rsidRPr="00C074D4">
              <w:rPr>
                <w:b/>
                <w:snapToGrid w:val="0"/>
                <w:sz w:val="20"/>
                <w:lang w:eastAsia="en-US"/>
              </w:rPr>
              <w:t>2. Is a new ASMA proposed?</w:t>
            </w:r>
          </w:p>
        </w:tc>
        <w:tc>
          <w:tcPr>
            <w:tcW w:w="4241" w:type="dxa"/>
            <w:vAlign w:val="center"/>
            <w:hideMark/>
          </w:tcPr>
          <w:p w14:paraId="53F26221" w14:textId="77777777" w:rsidR="00E54246" w:rsidRPr="00C074D4" w:rsidRDefault="00E54246" w:rsidP="00D32B33">
            <w:pPr>
              <w:spacing w:before="60" w:after="60"/>
              <w:rPr>
                <w:sz w:val="20"/>
              </w:rPr>
            </w:pPr>
            <w:r w:rsidRPr="00C074D4">
              <w:rPr>
                <w:sz w:val="20"/>
              </w:rPr>
              <w:t>No</w:t>
            </w:r>
          </w:p>
        </w:tc>
      </w:tr>
      <w:tr w:rsidR="00E54246" w14:paraId="3E2D7C64" w14:textId="77777777" w:rsidTr="00E54246">
        <w:trPr>
          <w:jc w:val="center"/>
        </w:trPr>
        <w:tc>
          <w:tcPr>
            <w:tcW w:w="5110" w:type="dxa"/>
            <w:vAlign w:val="center"/>
            <w:hideMark/>
          </w:tcPr>
          <w:p w14:paraId="0EA2055D" w14:textId="77777777" w:rsidR="00E54246" w:rsidRPr="00C074D4" w:rsidRDefault="00E54246" w:rsidP="00D32B33">
            <w:pPr>
              <w:pStyle w:val="ATSNormal"/>
              <w:spacing w:before="60" w:after="60"/>
              <w:rPr>
                <w:b/>
                <w:snapToGrid w:val="0"/>
                <w:sz w:val="20"/>
                <w:lang w:eastAsia="en-US"/>
              </w:rPr>
            </w:pPr>
            <w:r w:rsidRPr="00C074D4">
              <w:rPr>
                <w:b/>
                <w:snapToGrid w:val="0"/>
                <w:sz w:val="20"/>
                <w:lang w:eastAsia="en-US"/>
              </w:rPr>
              <w:t>3. Does the proposal relate to an existing ASPA or ASMA?</w:t>
            </w:r>
          </w:p>
        </w:tc>
        <w:tc>
          <w:tcPr>
            <w:tcW w:w="4241" w:type="dxa"/>
            <w:vAlign w:val="center"/>
            <w:hideMark/>
          </w:tcPr>
          <w:p w14:paraId="78B4765B" w14:textId="77777777" w:rsidR="00E54246" w:rsidRPr="00C074D4" w:rsidRDefault="00E54246" w:rsidP="00D32B33">
            <w:pPr>
              <w:spacing w:before="60" w:after="60"/>
              <w:rPr>
                <w:sz w:val="20"/>
              </w:rPr>
            </w:pPr>
            <w:r w:rsidRPr="00C074D4">
              <w:rPr>
                <w:sz w:val="20"/>
              </w:rPr>
              <w:t>ASPA</w:t>
            </w:r>
          </w:p>
        </w:tc>
      </w:tr>
      <w:tr w:rsidR="00E54246" w:rsidRPr="0096712D" w14:paraId="1C247C90" w14:textId="77777777" w:rsidTr="00E54246">
        <w:trPr>
          <w:jc w:val="center"/>
        </w:trPr>
        <w:tc>
          <w:tcPr>
            <w:tcW w:w="5110" w:type="dxa"/>
            <w:hideMark/>
          </w:tcPr>
          <w:p w14:paraId="7209E191" w14:textId="77777777" w:rsidR="00E54246" w:rsidRPr="00C074D4" w:rsidRDefault="00E54246" w:rsidP="00D32B33">
            <w:pPr>
              <w:pStyle w:val="ATSNormal"/>
              <w:spacing w:before="60" w:after="60"/>
              <w:jc w:val="right"/>
              <w:rPr>
                <w:i/>
                <w:sz w:val="20"/>
              </w:rPr>
            </w:pPr>
            <w:r w:rsidRPr="00C074D4">
              <w:rPr>
                <w:i/>
                <w:sz w:val="20"/>
              </w:rPr>
              <w:t>First designation:</w:t>
            </w:r>
          </w:p>
        </w:tc>
        <w:tc>
          <w:tcPr>
            <w:tcW w:w="4241" w:type="dxa"/>
            <w:vAlign w:val="center"/>
            <w:hideMark/>
          </w:tcPr>
          <w:p w14:paraId="001F5E55" w14:textId="77777777" w:rsidR="00E54246" w:rsidRDefault="00E54246" w:rsidP="00D32B33">
            <w:pPr>
              <w:spacing w:before="60" w:after="60"/>
              <w:rPr>
                <w:color w:val="000000"/>
                <w:sz w:val="20"/>
              </w:rPr>
            </w:pPr>
            <w:r w:rsidRPr="009D06B4">
              <w:rPr>
                <w:color w:val="000000"/>
                <w:sz w:val="20"/>
              </w:rPr>
              <w:t>Recommendation XI-3 (1981)</w:t>
            </w:r>
            <w:r>
              <w:rPr>
                <w:color w:val="000000"/>
                <w:sz w:val="20"/>
              </w:rPr>
              <w:t xml:space="preserve"> Lewis Bay declared a tomb,</w:t>
            </w:r>
          </w:p>
          <w:p w14:paraId="4E7290A9" w14:textId="77777777" w:rsidR="00E54246" w:rsidRPr="00C074D4" w:rsidRDefault="00E54246" w:rsidP="00D32B33">
            <w:pPr>
              <w:spacing w:before="60" w:after="60"/>
              <w:rPr>
                <w:color w:val="000000"/>
                <w:sz w:val="20"/>
                <w:szCs w:val="22"/>
              </w:rPr>
            </w:pPr>
            <w:r w:rsidRPr="00C074D4">
              <w:rPr>
                <w:color w:val="000000"/>
                <w:sz w:val="20"/>
              </w:rPr>
              <w:t xml:space="preserve">Specially Protected Area (SPA) No. </w:t>
            </w:r>
            <w:r>
              <w:rPr>
                <w:color w:val="000000"/>
                <w:sz w:val="20"/>
              </w:rPr>
              <w:t>26</w:t>
            </w:r>
            <w:r w:rsidRPr="00C074D4">
              <w:rPr>
                <w:color w:val="000000"/>
                <w:sz w:val="20"/>
              </w:rPr>
              <w:t xml:space="preserve">, </w:t>
            </w:r>
            <w:r>
              <w:rPr>
                <w:color w:val="000000"/>
                <w:sz w:val="20"/>
              </w:rPr>
              <w:t>Lewis Bay Tomb</w:t>
            </w:r>
            <w:r w:rsidRPr="00C074D4">
              <w:rPr>
                <w:color w:val="000000"/>
                <w:sz w:val="20"/>
              </w:rPr>
              <w:t xml:space="preserve">, by </w:t>
            </w:r>
            <w:r>
              <w:rPr>
                <w:color w:val="000000"/>
                <w:sz w:val="20"/>
              </w:rPr>
              <w:t>Measure 2</w:t>
            </w:r>
            <w:r w:rsidRPr="00C074D4">
              <w:rPr>
                <w:color w:val="000000"/>
                <w:sz w:val="20"/>
              </w:rPr>
              <w:t xml:space="preserve"> (19</w:t>
            </w:r>
            <w:r>
              <w:rPr>
                <w:color w:val="000000"/>
                <w:sz w:val="20"/>
              </w:rPr>
              <w:t>97</w:t>
            </w:r>
            <w:r w:rsidRPr="00C074D4">
              <w:rPr>
                <w:color w:val="000000"/>
                <w:sz w:val="20"/>
              </w:rPr>
              <w:t>)</w:t>
            </w:r>
          </w:p>
        </w:tc>
      </w:tr>
      <w:tr w:rsidR="00E54246" w14:paraId="044F26F5" w14:textId="77777777" w:rsidTr="00E54246">
        <w:trPr>
          <w:jc w:val="center"/>
        </w:trPr>
        <w:tc>
          <w:tcPr>
            <w:tcW w:w="5110" w:type="dxa"/>
            <w:hideMark/>
          </w:tcPr>
          <w:p w14:paraId="3ECB6805" w14:textId="77777777" w:rsidR="00E54246" w:rsidRPr="00C074D4" w:rsidRDefault="00E54246" w:rsidP="00D32B33">
            <w:pPr>
              <w:pStyle w:val="ATSNormal"/>
              <w:spacing w:before="60" w:after="60"/>
              <w:jc w:val="right"/>
              <w:rPr>
                <w:i/>
                <w:sz w:val="20"/>
              </w:rPr>
            </w:pPr>
            <w:r w:rsidRPr="00C074D4">
              <w:rPr>
                <w:i/>
                <w:sz w:val="20"/>
              </w:rPr>
              <w:t xml:space="preserve">First adoption of management plan: </w:t>
            </w:r>
          </w:p>
        </w:tc>
        <w:tc>
          <w:tcPr>
            <w:tcW w:w="4241" w:type="dxa"/>
            <w:vAlign w:val="center"/>
            <w:hideMark/>
          </w:tcPr>
          <w:p w14:paraId="1C625B24" w14:textId="77777777" w:rsidR="00E54246" w:rsidRPr="00C074D4" w:rsidRDefault="00E54246" w:rsidP="00D32B33">
            <w:pPr>
              <w:spacing w:before="60" w:after="60"/>
              <w:rPr>
                <w:color w:val="000000"/>
                <w:sz w:val="20"/>
              </w:rPr>
            </w:pPr>
            <w:r w:rsidRPr="00C074D4">
              <w:rPr>
                <w:color w:val="000000"/>
                <w:sz w:val="20"/>
                <w:szCs w:val="22"/>
              </w:rPr>
              <w:t xml:space="preserve">Measure </w:t>
            </w:r>
            <w:r>
              <w:rPr>
                <w:color w:val="000000"/>
                <w:sz w:val="20"/>
                <w:szCs w:val="22"/>
              </w:rPr>
              <w:t>2</w:t>
            </w:r>
            <w:r w:rsidRPr="00C074D4">
              <w:rPr>
                <w:color w:val="000000"/>
                <w:sz w:val="20"/>
                <w:szCs w:val="22"/>
              </w:rPr>
              <w:t xml:space="preserve"> (</w:t>
            </w:r>
            <w:r>
              <w:rPr>
                <w:color w:val="000000"/>
                <w:sz w:val="20"/>
                <w:szCs w:val="22"/>
              </w:rPr>
              <w:t>1997</w:t>
            </w:r>
            <w:r w:rsidRPr="00C074D4">
              <w:rPr>
                <w:color w:val="000000"/>
                <w:sz w:val="20"/>
                <w:szCs w:val="22"/>
              </w:rPr>
              <w:t>)</w:t>
            </w:r>
          </w:p>
        </w:tc>
      </w:tr>
      <w:tr w:rsidR="00E54246" w14:paraId="6A476FD3" w14:textId="77777777" w:rsidTr="00E54246">
        <w:trPr>
          <w:jc w:val="center"/>
        </w:trPr>
        <w:tc>
          <w:tcPr>
            <w:tcW w:w="5110" w:type="dxa"/>
            <w:hideMark/>
          </w:tcPr>
          <w:p w14:paraId="6B96454A" w14:textId="77777777" w:rsidR="00E54246" w:rsidRPr="00C074D4" w:rsidRDefault="00E54246" w:rsidP="00D32B33">
            <w:pPr>
              <w:pStyle w:val="ATSNormal"/>
              <w:spacing w:before="60" w:after="60"/>
              <w:jc w:val="right"/>
              <w:rPr>
                <w:i/>
                <w:sz w:val="20"/>
              </w:rPr>
            </w:pPr>
            <w:r w:rsidRPr="00C074D4">
              <w:rPr>
                <w:i/>
                <w:sz w:val="20"/>
              </w:rPr>
              <w:t>Any revisions to management plan:</w:t>
            </w:r>
          </w:p>
        </w:tc>
        <w:tc>
          <w:tcPr>
            <w:tcW w:w="4241" w:type="dxa"/>
            <w:vAlign w:val="center"/>
            <w:hideMark/>
          </w:tcPr>
          <w:p w14:paraId="7EED223D" w14:textId="77777777" w:rsidR="00E54246" w:rsidRPr="00C074D4" w:rsidRDefault="00E54246" w:rsidP="00D32B33">
            <w:pPr>
              <w:spacing w:before="60" w:after="60"/>
              <w:rPr>
                <w:color w:val="000000"/>
                <w:sz w:val="20"/>
              </w:rPr>
            </w:pPr>
            <w:r w:rsidRPr="00C074D4">
              <w:rPr>
                <w:color w:val="000000"/>
                <w:sz w:val="20"/>
              </w:rPr>
              <w:t xml:space="preserve">Measure </w:t>
            </w:r>
            <w:r>
              <w:rPr>
                <w:color w:val="000000"/>
                <w:sz w:val="20"/>
              </w:rPr>
              <w:t>2</w:t>
            </w:r>
            <w:r w:rsidRPr="00C074D4">
              <w:rPr>
                <w:color w:val="000000"/>
                <w:sz w:val="20"/>
              </w:rPr>
              <w:t xml:space="preserve"> (20</w:t>
            </w:r>
            <w:r>
              <w:rPr>
                <w:color w:val="000000"/>
                <w:sz w:val="20"/>
              </w:rPr>
              <w:t>03</w:t>
            </w:r>
            <w:r w:rsidRPr="00C074D4">
              <w:rPr>
                <w:color w:val="000000"/>
                <w:sz w:val="20"/>
              </w:rPr>
              <w:t>)</w:t>
            </w:r>
          </w:p>
        </w:tc>
      </w:tr>
      <w:tr w:rsidR="00E54246" w14:paraId="3563FDF9" w14:textId="77777777" w:rsidTr="00E54246">
        <w:trPr>
          <w:jc w:val="center"/>
        </w:trPr>
        <w:tc>
          <w:tcPr>
            <w:tcW w:w="5110" w:type="dxa"/>
            <w:hideMark/>
          </w:tcPr>
          <w:p w14:paraId="5199E09F" w14:textId="77777777" w:rsidR="00E54246" w:rsidRPr="00C074D4" w:rsidRDefault="00E54246" w:rsidP="00D32B33">
            <w:pPr>
              <w:pStyle w:val="ATSNormal"/>
              <w:spacing w:before="60" w:after="60"/>
              <w:jc w:val="right"/>
              <w:rPr>
                <w:i/>
                <w:sz w:val="20"/>
              </w:rPr>
            </w:pPr>
            <w:r w:rsidRPr="00C074D4">
              <w:rPr>
                <w:i/>
                <w:sz w:val="20"/>
              </w:rPr>
              <w:t xml:space="preserve">Current management plan: </w:t>
            </w:r>
          </w:p>
        </w:tc>
        <w:tc>
          <w:tcPr>
            <w:tcW w:w="4241" w:type="dxa"/>
            <w:vAlign w:val="center"/>
            <w:hideMark/>
          </w:tcPr>
          <w:p w14:paraId="174B0DFA" w14:textId="77777777" w:rsidR="00E54246" w:rsidRPr="00C074D4" w:rsidRDefault="00E54246" w:rsidP="00D32B33">
            <w:pPr>
              <w:spacing w:before="60" w:after="60"/>
              <w:rPr>
                <w:sz w:val="20"/>
              </w:rPr>
            </w:pPr>
            <w:r w:rsidRPr="00C074D4">
              <w:rPr>
                <w:color w:val="000000"/>
                <w:sz w:val="20"/>
              </w:rPr>
              <w:t xml:space="preserve">Measure </w:t>
            </w:r>
            <w:r>
              <w:rPr>
                <w:color w:val="000000"/>
                <w:sz w:val="20"/>
              </w:rPr>
              <w:t>13</w:t>
            </w:r>
            <w:r w:rsidRPr="00C074D4">
              <w:rPr>
                <w:color w:val="000000"/>
                <w:sz w:val="20"/>
              </w:rPr>
              <w:t xml:space="preserve"> (201</w:t>
            </w:r>
            <w:r>
              <w:rPr>
                <w:color w:val="000000"/>
                <w:sz w:val="20"/>
              </w:rPr>
              <w:t>3</w:t>
            </w:r>
            <w:r w:rsidRPr="00C074D4">
              <w:rPr>
                <w:color w:val="000000"/>
                <w:sz w:val="20"/>
              </w:rPr>
              <w:t>)</w:t>
            </w:r>
          </w:p>
        </w:tc>
      </w:tr>
      <w:tr w:rsidR="00E54246" w14:paraId="68779444" w14:textId="77777777" w:rsidTr="00E54246">
        <w:trPr>
          <w:jc w:val="center"/>
        </w:trPr>
        <w:tc>
          <w:tcPr>
            <w:tcW w:w="5110" w:type="dxa"/>
            <w:hideMark/>
          </w:tcPr>
          <w:p w14:paraId="5812FE3D" w14:textId="77777777" w:rsidR="00E54246" w:rsidRPr="00C074D4" w:rsidRDefault="00E54246" w:rsidP="00D32B33">
            <w:pPr>
              <w:pStyle w:val="ATSNormal"/>
              <w:spacing w:before="60" w:after="60"/>
              <w:jc w:val="right"/>
              <w:rPr>
                <w:i/>
                <w:sz w:val="20"/>
              </w:rPr>
            </w:pPr>
            <w:r w:rsidRPr="00C074D4">
              <w:rPr>
                <w:i/>
                <w:sz w:val="20"/>
              </w:rPr>
              <w:t>Any extensions of expiry dates of management plan:</w:t>
            </w:r>
          </w:p>
        </w:tc>
        <w:tc>
          <w:tcPr>
            <w:tcW w:w="4241" w:type="dxa"/>
            <w:vAlign w:val="center"/>
            <w:hideMark/>
          </w:tcPr>
          <w:p w14:paraId="6BB0609F" w14:textId="77777777" w:rsidR="00E54246" w:rsidRPr="00C074D4" w:rsidRDefault="00E54246" w:rsidP="00D32B33">
            <w:pPr>
              <w:spacing w:before="60" w:after="60"/>
              <w:rPr>
                <w:sz w:val="20"/>
              </w:rPr>
            </w:pPr>
            <w:r w:rsidRPr="00C074D4">
              <w:rPr>
                <w:sz w:val="20"/>
              </w:rPr>
              <w:t>No</w:t>
            </w:r>
          </w:p>
        </w:tc>
      </w:tr>
      <w:tr w:rsidR="00E54246" w:rsidRPr="0096712D" w14:paraId="5A9931A7" w14:textId="77777777" w:rsidTr="00E54246">
        <w:trPr>
          <w:jc w:val="center"/>
        </w:trPr>
        <w:tc>
          <w:tcPr>
            <w:tcW w:w="5110" w:type="dxa"/>
            <w:hideMark/>
          </w:tcPr>
          <w:p w14:paraId="4E7FF31B" w14:textId="77777777" w:rsidR="00E54246" w:rsidRPr="00C074D4" w:rsidRDefault="00E54246" w:rsidP="00D32B33">
            <w:pPr>
              <w:pStyle w:val="ATSNormal"/>
              <w:spacing w:before="60" w:after="60"/>
              <w:jc w:val="right"/>
              <w:rPr>
                <w:i/>
                <w:sz w:val="20"/>
              </w:rPr>
            </w:pPr>
            <w:r w:rsidRPr="00C074D4">
              <w:rPr>
                <w:i/>
                <w:sz w:val="20"/>
              </w:rPr>
              <w:t>Renamed and renumbered by Decision 1 (2002) as:</w:t>
            </w:r>
          </w:p>
        </w:tc>
        <w:tc>
          <w:tcPr>
            <w:tcW w:w="4241" w:type="dxa"/>
            <w:vAlign w:val="center"/>
            <w:hideMark/>
          </w:tcPr>
          <w:p w14:paraId="1D9E3D0F" w14:textId="77777777" w:rsidR="00E54246" w:rsidRPr="00C074D4" w:rsidRDefault="00E54246" w:rsidP="00D32B33">
            <w:pPr>
              <w:spacing w:before="60" w:after="60"/>
              <w:rPr>
                <w:sz w:val="20"/>
              </w:rPr>
            </w:pPr>
            <w:r w:rsidRPr="00C074D4">
              <w:rPr>
                <w:sz w:val="20"/>
              </w:rPr>
              <w:t>ASPA 1</w:t>
            </w:r>
            <w:r>
              <w:rPr>
                <w:sz w:val="20"/>
              </w:rPr>
              <w:t>56</w:t>
            </w:r>
            <w:r w:rsidRPr="00C074D4">
              <w:rPr>
                <w:sz w:val="20"/>
              </w:rPr>
              <w:t xml:space="preserve">: </w:t>
            </w:r>
            <w:r>
              <w:rPr>
                <w:sz w:val="20"/>
              </w:rPr>
              <w:t>Lewis Bay, Mount Erebus</w:t>
            </w:r>
          </w:p>
        </w:tc>
      </w:tr>
      <w:tr w:rsidR="00E54246" w14:paraId="15C5CA09" w14:textId="77777777" w:rsidTr="00E54246">
        <w:trPr>
          <w:jc w:val="center"/>
        </w:trPr>
        <w:tc>
          <w:tcPr>
            <w:tcW w:w="5110" w:type="dxa"/>
            <w:hideMark/>
          </w:tcPr>
          <w:p w14:paraId="4212BF44" w14:textId="77777777" w:rsidR="00E54246" w:rsidRPr="00C074D4" w:rsidRDefault="00E54246" w:rsidP="00D32B33">
            <w:pPr>
              <w:pStyle w:val="ATSNormal"/>
              <w:spacing w:before="60" w:after="60"/>
              <w:jc w:val="right"/>
              <w:rPr>
                <w:i/>
                <w:sz w:val="20"/>
              </w:rPr>
            </w:pPr>
            <w:r w:rsidRPr="00C074D4">
              <w:rPr>
                <w:i/>
                <w:sz w:val="20"/>
              </w:rPr>
              <w:t>Other relevant measures:</w:t>
            </w:r>
          </w:p>
        </w:tc>
        <w:tc>
          <w:tcPr>
            <w:tcW w:w="4241" w:type="dxa"/>
            <w:vAlign w:val="center"/>
            <w:hideMark/>
          </w:tcPr>
          <w:p w14:paraId="6440673F" w14:textId="77777777" w:rsidR="00E54246" w:rsidRPr="00C074D4" w:rsidRDefault="00E54246" w:rsidP="00D32B33">
            <w:pPr>
              <w:pStyle w:val="ATSNormal"/>
              <w:spacing w:before="60" w:after="60"/>
              <w:rPr>
                <w:sz w:val="20"/>
                <w:szCs w:val="22"/>
                <w:lang w:eastAsia="en-US"/>
              </w:rPr>
            </w:pPr>
            <w:r w:rsidRPr="00C074D4">
              <w:rPr>
                <w:sz w:val="20"/>
                <w:szCs w:val="22"/>
                <w:lang w:eastAsia="en-US"/>
              </w:rPr>
              <w:t xml:space="preserve">No </w:t>
            </w:r>
          </w:p>
        </w:tc>
      </w:tr>
      <w:tr w:rsidR="00E54246" w:rsidRPr="0096712D" w14:paraId="598AA648" w14:textId="77777777" w:rsidTr="00E54246">
        <w:trPr>
          <w:jc w:val="center"/>
        </w:trPr>
        <w:tc>
          <w:tcPr>
            <w:tcW w:w="9351" w:type="dxa"/>
            <w:gridSpan w:val="2"/>
            <w:vAlign w:val="center"/>
            <w:hideMark/>
          </w:tcPr>
          <w:p w14:paraId="5FE46F31" w14:textId="77777777" w:rsidR="00E54246" w:rsidRPr="00C074D4" w:rsidRDefault="00E54246" w:rsidP="00D32B33">
            <w:pPr>
              <w:spacing w:before="60" w:after="60"/>
              <w:rPr>
                <w:sz w:val="20"/>
              </w:rPr>
            </w:pPr>
            <w:r w:rsidRPr="00C074D4">
              <w:rPr>
                <w:b/>
                <w:snapToGrid w:val="0"/>
                <w:sz w:val="20"/>
              </w:rPr>
              <w:t>4. If the proposal contains a revision of an existing management plan, please indicate the types of amendment:</w:t>
            </w:r>
          </w:p>
        </w:tc>
      </w:tr>
      <w:tr w:rsidR="00E54246" w14:paraId="19869DD9" w14:textId="77777777" w:rsidTr="00E54246">
        <w:trPr>
          <w:jc w:val="center"/>
        </w:trPr>
        <w:tc>
          <w:tcPr>
            <w:tcW w:w="5110" w:type="dxa"/>
            <w:hideMark/>
          </w:tcPr>
          <w:p w14:paraId="3719FF2F" w14:textId="77777777" w:rsidR="00E54246" w:rsidRPr="00C074D4" w:rsidRDefault="00E54246" w:rsidP="00D32B33">
            <w:pPr>
              <w:pStyle w:val="ATSNormal"/>
              <w:spacing w:before="60" w:after="60"/>
              <w:jc w:val="right"/>
              <w:rPr>
                <w:i/>
                <w:sz w:val="20"/>
              </w:rPr>
            </w:pPr>
            <w:r w:rsidRPr="00C074D4">
              <w:rPr>
                <w:i/>
                <w:sz w:val="20"/>
              </w:rPr>
              <w:t>(</w:t>
            </w:r>
            <w:proofErr w:type="spellStart"/>
            <w:r w:rsidRPr="00C074D4">
              <w:rPr>
                <w:i/>
                <w:sz w:val="20"/>
              </w:rPr>
              <w:t>i</w:t>
            </w:r>
            <w:proofErr w:type="spellEnd"/>
            <w:r w:rsidRPr="00C074D4">
              <w:rPr>
                <w:i/>
                <w:sz w:val="20"/>
              </w:rPr>
              <w:t>) major or minor?</w:t>
            </w:r>
          </w:p>
        </w:tc>
        <w:tc>
          <w:tcPr>
            <w:tcW w:w="4241" w:type="dxa"/>
            <w:vAlign w:val="center"/>
            <w:hideMark/>
          </w:tcPr>
          <w:p w14:paraId="7B5F7E8B" w14:textId="77777777" w:rsidR="00E54246" w:rsidRPr="00C074D4" w:rsidRDefault="00E54246" w:rsidP="00D32B33">
            <w:pPr>
              <w:spacing w:before="60" w:after="60"/>
              <w:rPr>
                <w:sz w:val="20"/>
              </w:rPr>
            </w:pPr>
            <w:r w:rsidRPr="00C074D4">
              <w:rPr>
                <w:sz w:val="20"/>
              </w:rPr>
              <w:t>Minor</w:t>
            </w:r>
          </w:p>
        </w:tc>
      </w:tr>
      <w:tr w:rsidR="00E54246" w14:paraId="5CFEAB80" w14:textId="77777777" w:rsidTr="00E54246">
        <w:trPr>
          <w:trHeight w:val="424"/>
          <w:jc w:val="center"/>
        </w:trPr>
        <w:tc>
          <w:tcPr>
            <w:tcW w:w="5110" w:type="dxa"/>
            <w:hideMark/>
          </w:tcPr>
          <w:p w14:paraId="5C625157" w14:textId="77777777" w:rsidR="00E54246" w:rsidRPr="00C074D4" w:rsidRDefault="00E54246" w:rsidP="00D32B33">
            <w:pPr>
              <w:pStyle w:val="ATSNormal"/>
              <w:spacing w:before="60" w:after="60"/>
              <w:jc w:val="right"/>
              <w:rPr>
                <w:i/>
                <w:sz w:val="20"/>
              </w:rPr>
            </w:pPr>
            <w:r w:rsidRPr="00C074D4">
              <w:rPr>
                <w:i/>
                <w:sz w:val="20"/>
              </w:rPr>
              <w:t>(ii) any changes to the boundaries or co-ordinates?</w:t>
            </w:r>
          </w:p>
        </w:tc>
        <w:tc>
          <w:tcPr>
            <w:tcW w:w="4241" w:type="dxa"/>
            <w:vAlign w:val="center"/>
            <w:hideMark/>
          </w:tcPr>
          <w:p w14:paraId="42D769B2" w14:textId="77777777" w:rsidR="00E54246" w:rsidRPr="00C074D4" w:rsidRDefault="00E54246" w:rsidP="00D32B33">
            <w:pPr>
              <w:pStyle w:val="ATSNumber1"/>
              <w:numPr>
                <w:ilvl w:val="0"/>
                <w:numId w:val="0"/>
              </w:numPr>
              <w:tabs>
                <w:tab w:val="left" w:pos="708"/>
              </w:tabs>
              <w:spacing w:before="0"/>
              <w:rPr>
                <w:sz w:val="20"/>
              </w:rPr>
            </w:pPr>
            <w:r w:rsidRPr="00C074D4">
              <w:rPr>
                <w:sz w:val="20"/>
              </w:rPr>
              <w:t>No</w:t>
            </w:r>
          </w:p>
        </w:tc>
      </w:tr>
      <w:tr w:rsidR="00E54246" w14:paraId="497DF59E" w14:textId="77777777" w:rsidTr="00E54246">
        <w:trPr>
          <w:trHeight w:val="558"/>
          <w:jc w:val="center"/>
        </w:trPr>
        <w:tc>
          <w:tcPr>
            <w:tcW w:w="5110" w:type="dxa"/>
            <w:hideMark/>
          </w:tcPr>
          <w:p w14:paraId="31064589" w14:textId="77777777" w:rsidR="00E54246" w:rsidRPr="00C074D4" w:rsidRDefault="00E54246" w:rsidP="00D32B33">
            <w:pPr>
              <w:pStyle w:val="ATSNormal"/>
              <w:spacing w:before="60" w:after="60"/>
              <w:jc w:val="right"/>
              <w:rPr>
                <w:i/>
                <w:sz w:val="20"/>
              </w:rPr>
            </w:pPr>
            <w:r w:rsidRPr="00C074D4">
              <w:rPr>
                <w:i/>
                <w:sz w:val="20"/>
              </w:rPr>
              <w:t>(iii) any changes to the maps? If yes, are the changes in the captions only or also in the graphics?</w:t>
            </w:r>
          </w:p>
        </w:tc>
        <w:tc>
          <w:tcPr>
            <w:tcW w:w="4241" w:type="dxa"/>
            <w:vAlign w:val="center"/>
            <w:hideMark/>
          </w:tcPr>
          <w:p w14:paraId="58A67228" w14:textId="77777777" w:rsidR="00E54246" w:rsidRDefault="00E54246" w:rsidP="00D32B33">
            <w:pPr>
              <w:pStyle w:val="ATSNumber1"/>
              <w:numPr>
                <w:ilvl w:val="0"/>
                <w:numId w:val="0"/>
              </w:numPr>
              <w:tabs>
                <w:tab w:val="left" w:pos="708"/>
              </w:tabs>
              <w:spacing w:before="0"/>
              <w:rPr>
                <w:sz w:val="20"/>
                <w:lang w:eastAsia="en-US"/>
              </w:rPr>
            </w:pPr>
            <w:r>
              <w:rPr>
                <w:sz w:val="20"/>
                <w:lang w:eastAsia="en-US"/>
              </w:rPr>
              <w:t>Yes, captions and graphics.</w:t>
            </w:r>
          </w:p>
          <w:p w14:paraId="04765D20" w14:textId="77777777" w:rsidR="00E54246" w:rsidRPr="007D2CAB" w:rsidRDefault="00E54246" w:rsidP="00E54246">
            <w:pPr>
              <w:pStyle w:val="ATSNumber1"/>
              <w:numPr>
                <w:ilvl w:val="0"/>
                <w:numId w:val="21"/>
              </w:numPr>
              <w:tabs>
                <w:tab w:val="left" w:pos="708"/>
              </w:tabs>
              <w:spacing w:before="0"/>
              <w:rPr>
                <w:sz w:val="20"/>
                <w:lang w:eastAsia="en-US"/>
              </w:rPr>
            </w:pPr>
            <w:r>
              <w:rPr>
                <w:sz w:val="20"/>
                <w:lang w:eastAsia="en-US"/>
              </w:rPr>
              <w:t>Map A has been updated (Map 1) with the addition of Map 2 of the topography at a larger scale.</w:t>
            </w:r>
          </w:p>
          <w:p w14:paraId="4BDF3A04" w14:textId="77777777" w:rsidR="00E54246" w:rsidRDefault="00E54246" w:rsidP="00E54246">
            <w:pPr>
              <w:pStyle w:val="ATSNumber1"/>
              <w:numPr>
                <w:ilvl w:val="0"/>
                <w:numId w:val="21"/>
              </w:numPr>
              <w:tabs>
                <w:tab w:val="left" w:pos="708"/>
              </w:tabs>
              <w:spacing w:before="0"/>
              <w:rPr>
                <w:sz w:val="20"/>
                <w:lang w:eastAsia="en-US"/>
              </w:rPr>
            </w:pPr>
            <w:r>
              <w:rPr>
                <w:sz w:val="20"/>
                <w:lang w:eastAsia="en-US"/>
              </w:rPr>
              <w:t>Both maps are in colour.</w:t>
            </w:r>
          </w:p>
          <w:p w14:paraId="4DC1776E" w14:textId="77777777" w:rsidR="00E54246" w:rsidRDefault="00E54246" w:rsidP="00E54246">
            <w:pPr>
              <w:pStyle w:val="ATSNumber1"/>
              <w:numPr>
                <w:ilvl w:val="0"/>
                <w:numId w:val="21"/>
              </w:numPr>
              <w:tabs>
                <w:tab w:val="left" w:pos="708"/>
              </w:tabs>
              <w:spacing w:before="0"/>
              <w:rPr>
                <w:sz w:val="20"/>
                <w:lang w:eastAsia="en-US"/>
              </w:rPr>
            </w:pPr>
            <w:r w:rsidRPr="00E14656">
              <w:rPr>
                <w:sz w:val="20"/>
                <w:lang w:eastAsia="en-US"/>
              </w:rPr>
              <w:t>Flight TE-901</w:t>
            </w:r>
            <w:r>
              <w:rPr>
                <w:sz w:val="20"/>
                <w:lang w:eastAsia="en-US"/>
              </w:rPr>
              <w:t xml:space="preserve"> is</w:t>
            </w:r>
            <w:r w:rsidRPr="00E14656">
              <w:rPr>
                <w:sz w:val="20"/>
                <w:lang w:eastAsia="en-US"/>
              </w:rPr>
              <w:t xml:space="preserve"> in the legend rather than DC-10</w:t>
            </w:r>
            <w:r>
              <w:rPr>
                <w:sz w:val="20"/>
                <w:lang w:eastAsia="en-US"/>
              </w:rPr>
              <w:t xml:space="preserve">, </w:t>
            </w:r>
            <w:r w:rsidRPr="003063AD">
              <w:rPr>
                <w:sz w:val="20"/>
                <w:lang w:eastAsia="en-US"/>
              </w:rPr>
              <w:t>which is more generic</w:t>
            </w:r>
            <w:r>
              <w:rPr>
                <w:sz w:val="20"/>
                <w:lang w:eastAsia="en-US"/>
              </w:rPr>
              <w:t>. T</w:t>
            </w:r>
            <w:r w:rsidRPr="0043731B">
              <w:rPr>
                <w:sz w:val="20"/>
                <w:lang w:eastAsia="en-US"/>
              </w:rPr>
              <w:t>he year is added to the plane symbol</w:t>
            </w:r>
            <w:r>
              <w:rPr>
                <w:sz w:val="20"/>
                <w:lang w:eastAsia="en-US"/>
              </w:rPr>
              <w:t xml:space="preserve"> in the map</w:t>
            </w:r>
            <w:r w:rsidRPr="0043731B">
              <w:rPr>
                <w:sz w:val="20"/>
                <w:lang w:eastAsia="en-US"/>
              </w:rPr>
              <w:t>, as per the SCAR standard</w:t>
            </w:r>
            <w:r>
              <w:rPr>
                <w:sz w:val="20"/>
                <w:lang w:eastAsia="en-US"/>
              </w:rPr>
              <w:t>.</w:t>
            </w:r>
          </w:p>
          <w:p w14:paraId="120F97D9" w14:textId="77777777" w:rsidR="00E54246" w:rsidRDefault="00E54246" w:rsidP="00E54246">
            <w:pPr>
              <w:pStyle w:val="ATSNumber1"/>
              <w:numPr>
                <w:ilvl w:val="0"/>
                <w:numId w:val="21"/>
              </w:numPr>
              <w:tabs>
                <w:tab w:val="left" w:pos="708"/>
              </w:tabs>
              <w:spacing w:before="0"/>
              <w:rPr>
                <w:sz w:val="20"/>
                <w:lang w:eastAsia="en-US"/>
              </w:rPr>
            </w:pPr>
            <w:r>
              <w:rPr>
                <w:sz w:val="20"/>
                <w:lang w:eastAsia="en-US"/>
              </w:rPr>
              <w:t>T</w:t>
            </w:r>
            <w:r w:rsidRPr="00E14656">
              <w:rPr>
                <w:sz w:val="20"/>
                <w:lang w:eastAsia="en-US"/>
              </w:rPr>
              <w:t xml:space="preserve">he </w:t>
            </w:r>
            <w:proofErr w:type="spellStart"/>
            <w:r>
              <w:rPr>
                <w:sz w:val="20"/>
                <w:lang w:eastAsia="en-US"/>
              </w:rPr>
              <w:t>icefree</w:t>
            </w:r>
            <w:proofErr w:type="spellEnd"/>
            <w:r>
              <w:rPr>
                <w:sz w:val="20"/>
                <w:lang w:eastAsia="en-US"/>
              </w:rPr>
              <w:t xml:space="preserve"> area</w:t>
            </w:r>
            <w:r w:rsidRPr="00E14656">
              <w:rPr>
                <w:sz w:val="20"/>
                <w:lang w:eastAsia="en-US"/>
              </w:rPr>
              <w:t xml:space="preserve"> on which the </w:t>
            </w:r>
            <w:r>
              <w:rPr>
                <w:sz w:val="20"/>
                <w:lang w:eastAsia="en-US"/>
              </w:rPr>
              <w:t xml:space="preserve">Memorial </w:t>
            </w:r>
            <w:r w:rsidRPr="00E14656">
              <w:rPr>
                <w:sz w:val="20"/>
                <w:lang w:eastAsia="en-US"/>
              </w:rPr>
              <w:t xml:space="preserve">Cross </w:t>
            </w:r>
            <w:r>
              <w:rPr>
                <w:sz w:val="20"/>
                <w:lang w:eastAsia="en-US"/>
              </w:rPr>
              <w:t xml:space="preserve">(HSM 73) </w:t>
            </w:r>
            <w:r w:rsidRPr="00E14656">
              <w:rPr>
                <w:sz w:val="20"/>
                <w:lang w:eastAsia="en-US"/>
              </w:rPr>
              <w:t xml:space="preserve">stands has </w:t>
            </w:r>
            <w:r>
              <w:rPr>
                <w:sz w:val="20"/>
                <w:lang w:eastAsia="en-US"/>
              </w:rPr>
              <w:t>been updated with its</w:t>
            </w:r>
            <w:r w:rsidRPr="00E14656">
              <w:rPr>
                <w:sz w:val="20"/>
                <w:lang w:eastAsia="en-US"/>
              </w:rPr>
              <w:t xml:space="preserve"> official name</w:t>
            </w:r>
            <w:r>
              <w:rPr>
                <w:sz w:val="20"/>
                <w:lang w:eastAsia="en-US"/>
              </w:rPr>
              <w:t xml:space="preserve">, </w:t>
            </w:r>
            <w:proofErr w:type="spellStart"/>
            <w:r>
              <w:rPr>
                <w:sz w:val="20"/>
                <w:lang w:eastAsia="en-US"/>
              </w:rPr>
              <w:t>Te</w:t>
            </w:r>
            <w:proofErr w:type="spellEnd"/>
            <w:r>
              <w:rPr>
                <w:sz w:val="20"/>
                <w:lang w:eastAsia="en-US"/>
              </w:rPr>
              <w:t xml:space="preserve"> Puna </w:t>
            </w:r>
            <w:proofErr w:type="spellStart"/>
            <w:r>
              <w:rPr>
                <w:sz w:val="20"/>
                <w:lang w:eastAsia="en-US"/>
              </w:rPr>
              <w:t>Roimata</w:t>
            </w:r>
            <w:proofErr w:type="spellEnd"/>
            <w:r>
              <w:rPr>
                <w:sz w:val="20"/>
                <w:lang w:eastAsia="en-US"/>
              </w:rPr>
              <w:t xml:space="preserve"> Peak.</w:t>
            </w:r>
          </w:p>
          <w:p w14:paraId="7B410DFC" w14:textId="77777777" w:rsidR="00E54246" w:rsidRDefault="00E54246" w:rsidP="00E54246">
            <w:pPr>
              <w:pStyle w:val="ATSNumber1"/>
              <w:numPr>
                <w:ilvl w:val="0"/>
                <w:numId w:val="21"/>
              </w:numPr>
              <w:tabs>
                <w:tab w:val="left" w:pos="708"/>
              </w:tabs>
              <w:rPr>
                <w:sz w:val="20"/>
                <w:lang w:eastAsia="en-US"/>
              </w:rPr>
            </w:pPr>
            <w:r>
              <w:rPr>
                <w:sz w:val="20"/>
                <w:lang w:eastAsia="en-US"/>
              </w:rPr>
              <w:t>E</w:t>
            </w:r>
            <w:r w:rsidRPr="003063AD">
              <w:rPr>
                <w:sz w:val="20"/>
                <w:lang w:eastAsia="en-US"/>
              </w:rPr>
              <w:t>levations of the main peaks</w:t>
            </w:r>
            <w:r>
              <w:rPr>
                <w:sz w:val="20"/>
                <w:lang w:eastAsia="en-US"/>
              </w:rPr>
              <w:t xml:space="preserve"> have been</w:t>
            </w:r>
            <w:r w:rsidRPr="003063AD">
              <w:rPr>
                <w:sz w:val="20"/>
                <w:lang w:eastAsia="en-US"/>
              </w:rPr>
              <w:t xml:space="preserve"> added</w:t>
            </w:r>
            <w:r>
              <w:rPr>
                <w:sz w:val="20"/>
                <w:lang w:eastAsia="en-US"/>
              </w:rPr>
              <w:t xml:space="preserve"> and m</w:t>
            </w:r>
            <w:r w:rsidRPr="003063AD">
              <w:rPr>
                <w:sz w:val="20"/>
                <w:lang w:eastAsia="en-US"/>
              </w:rPr>
              <w:t xml:space="preserve">ore names and legends </w:t>
            </w:r>
            <w:r>
              <w:rPr>
                <w:sz w:val="20"/>
                <w:lang w:eastAsia="en-US"/>
              </w:rPr>
              <w:t xml:space="preserve">have also been </w:t>
            </w:r>
            <w:r w:rsidRPr="003063AD">
              <w:rPr>
                <w:sz w:val="20"/>
                <w:lang w:eastAsia="en-US"/>
              </w:rPr>
              <w:t>added</w:t>
            </w:r>
            <w:r>
              <w:rPr>
                <w:sz w:val="20"/>
                <w:lang w:eastAsia="en-US"/>
              </w:rPr>
              <w:t>.</w:t>
            </w:r>
          </w:p>
          <w:p w14:paraId="09C2788F" w14:textId="77777777" w:rsidR="00E54246" w:rsidRDefault="00E54246" w:rsidP="00E54246">
            <w:pPr>
              <w:pStyle w:val="ATSNumber1"/>
              <w:numPr>
                <w:ilvl w:val="0"/>
                <w:numId w:val="21"/>
              </w:numPr>
              <w:tabs>
                <w:tab w:val="left" w:pos="708"/>
              </w:tabs>
              <w:rPr>
                <w:sz w:val="20"/>
                <w:lang w:eastAsia="en-US"/>
              </w:rPr>
            </w:pPr>
            <w:proofErr w:type="spellStart"/>
            <w:r w:rsidRPr="003E142E">
              <w:rPr>
                <w:sz w:val="20"/>
                <w:lang w:eastAsia="en-US"/>
              </w:rPr>
              <w:t>Icefree</w:t>
            </w:r>
            <w:proofErr w:type="spellEnd"/>
            <w:r w:rsidRPr="003E142E">
              <w:rPr>
                <w:sz w:val="20"/>
                <w:lang w:eastAsia="en-US"/>
              </w:rPr>
              <w:t xml:space="preserve"> areas</w:t>
            </w:r>
            <w:r>
              <w:rPr>
                <w:sz w:val="20"/>
                <w:lang w:eastAsia="en-US"/>
              </w:rPr>
              <w:t xml:space="preserve"> have been updated and included.</w:t>
            </w:r>
          </w:p>
          <w:p w14:paraId="0497AABE" w14:textId="77777777" w:rsidR="00E54246" w:rsidRPr="00C074D4" w:rsidRDefault="00E54246" w:rsidP="00D32B33">
            <w:pPr>
              <w:pStyle w:val="ATSNumber1"/>
              <w:numPr>
                <w:ilvl w:val="0"/>
                <w:numId w:val="0"/>
              </w:numPr>
              <w:tabs>
                <w:tab w:val="left" w:pos="708"/>
              </w:tabs>
              <w:spacing w:before="0"/>
              <w:rPr>
                <w:sz w:val="20"/>
                <w:lang w:eastAsia="en-US"/>
              </w:rPr>
            </w:pPr>
          </w:p>
        </w:tc>
      </w:tr>
      <w:tr w:rsidR="00E54246" w14:paraId="2E786451" w14:textId="77777777" w:rsidTr="00E54246">
        <w:trPr>
          <w:jc w:val="center"/>
        </w:trPr>
        <w:tc>
          <w:tcPr>
            <w:tcW w:w="5110" w:type="dxa"/>
            <w:hideMark/>
          </w:tcPr>
          <w:p w14:paraId="004489E4" w14:textId="77777777" w:rsidR="00E54246" w:rsidRPr="00C074D4" w:rsidRDefault="00E54246" w:rsidP="00D32B33">
            <w:pPr>
              <w:pStyle w:val="ATSNormal"/>
              <w:spacing w:before="60" w:after="60"/>
              <w:jc w:val="right"/>
              <w:rPr>
                <w:i/>
                <w:sz w:val="20"/>
              </w:rPr>
            </w:pPr>
            <w:r w:rsidRPr="00C074D4">
              <w:rPr>
                <w:i/>
                <w:sz w:val="20"/>
              </w:rPr>
              <w:t>(iv) any change to the description of the area that is relevant to identifying its location or its boundaries?</w:t>
            </w:r>
          </w:p>
        </w:tc>
        <w:tc>
          <w:tcPr>
            <w:tcW w:w="4241" w:type="dxa"/>
            <w:vAlign w:val="center"/>
            <w:hideMark/>
          </w:tcPr>
          <w:p w14:paraId="606A9AFC" w14:textId="77777777" w:rsidR="00E54246" w:rsidRPr="00C074D4" w:rsidRDefault="00E54246" w:rsidP="00D32B33">
            <w:pPr>
              <w:spacing w:before="120" w:after="120"/>
              <w:rPr>
                <w:sz w:val="20"/>
              </w:rPr>
            </w:pPr>
            <w:r>
              <w:rPr>
                <w:sz w:val="20"/>
              </w:rPr>
              <w:t>Yes</w:t>
            </w:r>
          </w:p>
          <w:p w14:paraId="74C8A75D" w14:textId="77777777" w:rsidR="00E54246" w:rsidRDefault="00E54246" w:rsidP="00D32B33">
            <w:pPr>
              <w:spacing w:before="120" w:after="120"/>
              <w:rPr>
                <w:sz w:val="20"/>
              </w:rPr>
            </w:pPr>
            <w:r>
              <w:rPr>
                <w:sz w:val="20"/>
              </w:rPr>
              <w:t>The boundary</w:t>
            </w:r>
            <w:r w:rsidRPr="00E9687A">
              <w:rPr>
                <w:sz w:val="20"/>
              </w:rPr>
              <w:t xml:space="preserve"> is now aligned and buffered 200 m from the coastline as defined by the </w:t>
            </w:r>
            <w:r>
              <w:rPr>
                <w:sz w:val="20"/>
              </w:rPr>
              <w:t>Land Information New Zealand (</w:t>
            </w:r>
            <w:r w:rsidRPr="00E9687A">
              <w:rPr>
                <w:sz w:val="20"/>
              </w:rPr>
              <w:t>LINZ</w:t>
            </w:r>
            <w:r>
              <w:rPr>
                <w:sz w:val="20"/>
              </w:rPr>
              <w:t>)</w:t>
            </w:r>
            <w:r w:rsidRPr="00E9687A">
              <w:rPr>
                <w:sz w:val="20"/>
              </w:rPr>
              <w:t xml:space="preserve"> 1:50K digital data. The old boundary was buffered against an outdated and inaccurate coastline, which varied from ~200-450 m from the present coast.</w:t>
            </w:r>
            <w:r>
              <w:rPr>
                <w:sz w:val="20"/>
              </w:rPr>
              <w:t xml:space="preserve"> T</w:t>
            </w:r>
            <w:r w:rsidRPr="00E9687A">
              <w:rPr>
                <w:sz w:val="20"/>
              </w:rPr>
              <w:t>he new coastline</w:t>
            </w:r>
            <w:r>
              <w:rPr>
                <w:sz w:val="20"/>
              </w:rPr>
              <w:t xml:space="preserve"> has been checked</w:t>
            </w:r>
            <w:r w:rsidRPr="00E9687A">
              <w:rPr>
                <w:sz w:val="20"/>
              </w:rPr>
              <w:t xml:space="preserve"> against recent Sentinel satellite imagery and agrees well</w:t>
            </w:r>
            <w:r>
              <w:rPr>
                <w:sz w:val="20"/>
              </w:rPr>
              <w:t>.</w:t>
            </w:r>
          </w:p>
          <w:p w14:paraId="50C97FA3" w14:textId="26683202" w:rsidR="00E54246" w:rsidRDefault="00E54246" w:rsidP="00D32B33">
            <w:pPr>
              <w:spacing w:before="120" w:after="120"/>
              <w:rPr>
                <w:sz w:val="20"/>
              </w:rPr>
            </w:pPr>
            <w:r w:rsidRPr="00E9687A">
              <w:rPr>
                <w:sz w:val="20"/>
              </w:rPr>
              <w:lastRenderedPageBreak/>
              <w:t xml:space="preserve">The boundary change alters the size of the Area </w:t>
            </w:r>
            <w:r>
              <w:rPr>
                <w:sz w:val="20"/>
              </w:rPr>
              <w:t>–</w:t>
            </w:r>
            <w:r w:rsidRPr="00E9687A">
              <w:rPr>
                <w:sz w:val="20"/>
              </w:rPr>
              <w:t xml:space="preserve"> now 15.2 km</w:t>
            </w:r>
            <w:r w:rsidRPr="00E9687A">
              <w:rPr>
                <w:sz w:val="20"/>
                <w:vertAlign w:val="superscript"/>
              </w:rPr>
              <w:t>2</w:t>
            </w:r>
            <w:r>
              <w:rPr>
                <w:sz w:val="20"/>
              </w:rPr>
              <w:t>.</w:t>
            </w:r>
          </w:p>
          <w:p w14:paraId="06534268" w14:textId="09D69488" w:rsidR="003E7831" w:rsidRPr="0099658C" w:rsidRDefault="003E7831" w:rsidP="00D32B33">
            <w:pPr>
              <w:spacing w:before="120" w:after="120"/>
              <w:rPr>
                <w:sz w:val="20"/>
              </w:rPr>
            </w:pPr>
            <w:r>
              <w:rPr>
                <w:sz w:val="20"/>
              </w:rPr>
              <w:t>Minor text updates to clarify position of northern boundary 200m from the coastline.</w:t>
            </w:r>
          </w:p>
          <w:p w14:paraId="5D327CEF" w14:textId="77777777" w:rsidR="00E54246" w:rsidRDefault="00E54246" w:rsidP="00D32B33">
            <w:pPr>
              <w:spacing w:before="120" w:after="120"/>
              <w:rPr>
                <w:sz w:val="20"/>
              </w:rPr>
            </w:pPr>
            <w:r>
              <w:rPr>
                <w:sz w:val="20"/>
              </w:rPr>
              <w:t>T</w:t>
            </w:r>
            <w:r w:rsidRPr="0099658C">
              <w:rPr>
                <w:sz w:val="20"/>
              </w:rPr>
              <w:t>he east, west and south boundaries remain the same</w:t>
            </w:r>
            <w:r>
              <w:rPr>
                <w:sz w:val="20"/>
              </w:rPr>
              <w:t xml:space="preserve"> and</w:t>
            </w:r>
            <w:r w:rsidRPr="0099658C">
              <w:rPr>
                <w:sz w:val="20"/>
              </w:rPr>
              <w:t xml:space="preserve"> are labelled with their coordinates</w:t>
            </w:r>
            <w:r>
              <w:rPr>
                <w:sz w:val="20"/>
              </w:rPr>
              <w:t>.</w:t>
            </w:r>
          </w:p>
          <w:p w14:paraId="74EFCC2A" w14:textId="77777777" w:rsidR="00E54246" w:rsidRPr="0099658C" w:rsidRDefault="00E54246" w:rsidP="00D32B33">
            <w:pPr>
              <w:spacing w:before="120" w:after="120"/>
              <w:rPr>
                <w:sz w:val="20"/>
              </w:rPr>
            </w:pPr>
            <w:r>
              <w:rPr>
                <w:sz w:val="20"/>
              </w:rPr>
              <w:t>T</w:t>
            </w:r>
            <w:r w:rsidRPr="006E4C36">
              <w:rPr>
                <w:sz w:val="20"/>
              </w:rPr>
              <w:t xml:space="preserve">he </w:t>
            </w:r>
            <w:proofErr w:type="spellStart"/>
            <w:r w:rsidRPr="006E4C36">
              <w:rPr>
                <w:sz w:val="20"/>
              </w:rPr>
              <w:t>Deg</w:t>
            </w:r>
            <w:proofErr w:type="spellEnd"/>
            <w:r w:rsidRPr="006E4C36">
              <w:rPr>
                <w:sz w:val="20"/>
              </w:rPr>
              <w:t xml:space="preserve">-Min-Sec format of coordinates </w:t>
            </w:r>
            <w:r>
              <w:rPr>
                <w:sz w:val="20"/>
              </w:rPr>
              <w:t xml:space="preserve">has been updated </w:t>
            </w:r>
            <w:r w:rsidRPr="006E4C36">
              <w:rPr>
                <w:sz w:val="20"/>
              </w:rPr>
              <w:t xml:space="preserve">to Degrees and Decimal Minutes </w:t>
            </w:r>
            <w:r>
              <w:rPr>
                <w:sz w:val="20"/>
              </w:rPr>
              <w:t xml:space="preserve">as </w:t>
            </w:r>
            <w:r w:rsidRPr="006E4C36">
              <w:rPr>
                <w:sz w:val="20"/>
              </w:rPr>
              <w:t>this is what pilots use</w:t>
            </w:r>
            <w:r>
              <w:rPr>
                <w:sz w:val="20"/>
              </w:rPr>
              <w:t>.</w:t>
            </w:r>
          </w:p>
        </w:tc>
      </w:tr>
      <w:tr w:rsidR="00E54246" w14:paraId="015EB249" w14:textId="77777777" w:rsidTr="00E54246">
        <w:trPr>
          <w:trHeight w:val="1129"/>
          <w:jc w:val="center"/>
        </w:trPr>
        <w:tc>
          <w:tcPr>
            <w:tcW w:w="5110" w:type="dxa"/>
            <w:hideMark/>
          </w:tcPr>
          <w:p w14:paraId="5BAD310B" w14:textId="77777777" w:rsidR="00E54246" w:rsidRPr="00C074D4" w:rsidRDefault="00E54246" w:rsidP="00D32B33">
            <w:pPr>
              <w:pStyle w:val="ATSNormal"/>
              <w:spacing w:before="60" w:after="60"/>
              <w:jc w:val="right"/>
              <w:rPr>
                <w:i/>
                <w:sz w:val="20"/>
              </w:rPr>
            </w:pPr>
            <w:r w:rsidRPr="00C074D4">
              <w:rPr>
                <w:i/>
                <w:sz w:val="20"/>
              </w:rPr>
              <w:lastRenderedPageBreak/>
              <w:t>(v) any changes that affect any other ASPA, ASMA or HSM within this area or adjacent to it? In particular, please explain any merger with, incorporation of or abolition of any existing area or site.</w:t>
            </w:r>
          </w:p>
        </w:tc>
        <w:tc>
          <w:tcPr>
            <w:tcW w:w="4241" w:type="dxa"/>
            <w:vAlign w:val="center"/>
            <w:hideMark/>
          </w:tcPr>
          <w:p w14:paraId="1E3F66FD" w14:textId="77777777" w:rsidR="00E54246" w:rsidRPr="00C074D4" w:rsidRDefault="00E54246" w:rsidP="00D32B33">
            <w:pPr>
              <w:pStyle w:val="ATSNumber1"/>
              <w:numPr>
                <w:ilvl w:val="0"/>
                <w:numId w:val="0"/>
              </w:numPr>
              <w:tabs>
                <w:tab w:val="left" w:pos="708"/>
              </w:tabs>
              <w:spacing w:before="0"/>
              <w:rPr>
                <w:sz w:val="20"/>
                <w:lang w:eastAsia="en-US"/>
              </w:rPr>
            </w:pPr>
            <w:r w:rsidRPr="00C074D4">
              <w:rPr>
                <w:sz w:val="20"/>
                <w:lang w:eastAsia="en-US"/>
              </w:rPr>
              <w:t>No</w:t>
            </w:r>
          </w:p>
        </w:tc>
      </w:tr>
      <w:tr w:rsidR="00E54246" w14:paraId="4D7B30F3" w14:textId="77777777" w:rsidTr="00E54246">
        <w:trPr>
          <w:trHeight w:val="1670"/>
          <w:jc w:val="center"/>
        </w:trPr>
        <w:tc>
          <w:tcPr>
            <w:tcW w:w="5110" w:type="dxa"/>
            <w:hideMark/>
          </w:tcPr>
          <w:p w14:paraId="28EA3ABE" w14:textId="77777777" w:rsidR="00E54246" w:rsidRPr="00C074D4" w:rsidRDefault="00E54246" w:rsidP="00D32B33">
            <w:pPr>
              <w:pStyle w:val="ATSNormal"/>
              <w:keepNext/>
              <w:spacing w:before="60" w:after="60"/>
              <w:jc w:val="right"/>
              <w:rPr>
                <w:i/>
                <w:sz w:val="20"/>
              </w:rPr>
            </w:pPr>
            <w:r w:rsidRPr="00C074D4">
              <w:rPr>
                <w:i/>
                <w:sz w:val="20"/>
              </w:rPr>
              <w:t>(vi) Other - brief summary of other types of changes, indicating the paragraphs of the management plan in which these are located (especially helpful if the plan is long).</w:t>
            </w:r>
          </w:p>
        </w:tc>
        <w:tc>
          <w:tcPr>
            <w:tcW w:w="4241" w:type="dxa"/>
            <w:vAlign w:val="center"/>
            <w:hideMark/>
          </w:tcPr>
          <w:p w14:paraId="3CDC428C" w14:textId="77777777" w:rsidR="00E54246" w:rsidRDefault="00E54246" w:rsidP="00D32B33">
            <w:pPr>
              <w:keepNext/>
              <w:rPr>
                <w:sz w:val="20"/>
              </w:rPr>
            </w:pPr>
            <w:r>
              <w:rPr>
                <w:sz w:val="20"/>
              </w:rPr>
              <w:t>Introduction: Addition of sentence on 2013 Management Plan.</w:t>
            </w:r>
          </w:p>
          <w:p w14:paraId="68F1CAB0" w14:textId="77777777" w:rsidR="00E54246" w:rsidRPr="00C074D4" w:rsidRDefault="00E54246" w:rsidP="00D32B33">
            <w:pPr>
              <w:keepNext/>
              <w:rPr>
                <w:sz w:val="20"/>
              </w:rPr>
            </w:pPr>
            <w:r w:rsidRPr="00C074D4">
              <w:rPr>
                <w:sz w:val="20"/>
              </w:rPr>
              <w:t xml:space="preserve">Section 1: </w:t>
            </w:r>
            <w:r>
              <w:rPr>
                <w:sz w:val="20"/>
              </w:rPr>
              <w:t>M</w:t>
            </w:r>
            <w:r w:rsidRPr="00C074D4">
              <w:rPr>
                <w:sz w:val="20"/>
              </w:rPr>
              <w:t xml:space="preserve">inor </w:t>
            </w:r>
            <w:r>
              <w:rPr>
                <w:sz w:val="20"/>
              </w:rPr>
              <w:t xml:space="preserve">update “to within 200m of the coastline” </w:t>
            </w:r>
          </w:p>
          <w:p w14:paraId="1EF9B195" w14:textId="77777777" w:rsidR="00E54246" w:rsidRDefault="00E54246" w:rsidP="00D32B33">
            <w:pPr>
              <w:keepNext/>
              <w:rPr>
                <w:sz w:val="20"/>
              </w:rPr>
            </w:pPr>
            <w:r w:rsidRPr="00C074D4">
              <w:rPr>
                <w:sz w:val="20"/>
              </w:rPr>
              <w:t xml:space="preserve">Section </w:t>
            </w:r>
            <w:r>
              <w:rPr>
                <w:sz w:val="20"/>
              </w:rPr>
              <w:t>5</w:t>
            </w:r>
            <w:r w:rsidRPr="00C074D4">
              <w:rPr>
                <w:sz w:val="20"/>
              </w:rPr>
              <w:t>:</w:t>
            </w:r>
            <w:r>
              <w:rPr>
                <w:sz w:val="20"/>
              </w:rPr>
              <w:t xml:space="preserve"> Descriptions of new maps added.</w:t>
            </w:r>
          </w:p>
          <w:p w14:paraId="6C1E6D54" w14:textId="77777777" w:rsidR="00E54246" w:rsidRDefault="00E54246" w:rsidP="00D32B33">
            <w:pPr>
              <w:keepNext/>
              <w:rPr>
                <w:sz w:val="20"/>
              </w:rPr>
            </w:pPr>
            <w:r>
              <w:rPr>
                <w:sz w:val="20"/>
              </w:rPr>
              <w:t>Section 6(</w:t>
            </w:r>
            <w:proofErr w:type="spellStart"/>
            <w:r>
              <w:rPr>
                <w:sz w:val="20"/>
              </w:rPr>
              <w:t>i</w:t>
            </w:r>
            <w:proofErr w:type="spellEnd"/>
            <w:r>
              <w:rPr>
                <w:sz w:val="20"/>
              </w:rPr>
              <w:t>): Very minor editorial updates.</w:t>
            </w:r>
          </w:p>
          <w:p w14:paraId="6655254D" w14:textId="77777777" w:rsidR="00E54246" w:rsidRPr="00C074D4" w:rsidRDefault="00E54246" w:rsidP="00D32B33">
            <w:pPr>
              <w:keepNext/>
              <w:rPr>
                <w:sz w:val="20"/>
              </w:rPr>
            </w:pPr>
            <w:r>
              <w:rPr>
                <w:sz w:val="20"/>
              </w:rPr>
              <w:t>Section 6(iii): Sentence adding the name and elevation of HSM 73, very minor editorial update.</w:t>
            </w:r>
          </w:p>
          <w:p w14:paraId="6B84E97D" w14:textId="77777777" w:rsidR="00E54246" w:rsidRDefault="00E54246" w:rsidP="00D32B33">
            <w:pPr>
              <w:keepNext/>
              <w:rPr>
                <w:sz w:val="20"/>
              </w:rPr>
            </w:pPr>
            <w:r w:rsidRPr="00C074D4">
              <w:rPr>
                <w:sz w:val="20"/>
              </w:rPr>
              <w:t>Section 6(i</w:t>
            </w:r>
            <w:r>
              <w:rPr>
                <w:sz w:val="20"/>
              </w:rPr>
              <w:t>v</w:t>
            </w:r>
            <w:r w:rsidRPr="00C074D4">
              <w:rPr>
                <w:sz w:val="20"/>
              </w:rPr>
              <w:t xml:space="preserve">): </w:t>
            </w:r>
            <w:r>
              <w:rPr>
                <w:sz w:val="20"/>
              </w:rPr>
              <w:t>Correction of ASPA 130 to APSPA 175</w:t>
            </w:r>
          </w:p>
          <w:p w14:paraId="64FE5D8A" w14:textId="77777777" w:rsidR="00E54246" w:rsidRDefault="00E54246" w:rsidP="00D32B33">
            <w:pPr>
              <w:keepNext/>
              <w:rPr>
                <w:sz w:val="20"/>
              </w:rPr>
            </w:pPr>
            <w:r w:rsidRPr="00C074D4">
              <w:rPr>
                <w:sz w:val="20"/>
              </w:rPr>
              <w:t>Section 7(ii):</w:t>
            </w:r>
            <w:r>
              <w:rPr>
                <w:sz w:val="20"/>
              </w:rPr>
              <w:t xml:space="preserve"> Additional sentence prohibiting overflight and landings by </w:t>
            </w:r>
            <w:r w:rsidRPr="00DA3A50">
              <w:rPr>
                <w:sz w:val="20"/>
              </w:rPr>
              <w:t>Remotely Piloted Aircraft Systems (RPAS)</w:t>
            </w:r>
            <w:r>
              <w:rPr>
                <w:sz w:val="20"/>
              </w:rPr>
              <w:t>.</w:t>
            </w:r>
          </w:p>
          <w:p w14:paraId="0D575E2A" w14:textId="77777777" w:rsidR="00E54246" w:rsidRDefault="00E54246" w:rsidP="00D32B33">
            <w:pPr>
              <w:keepNext/>
              <w:rPr>
                <w:sz w:val="20"/>
              </w:rPr>
            </w:pPr>
            <w:r>
              <w:rPr>
                <w:sz w:val="20"/>
              </w:rPr>
              <w:t>Section 7(iv): Addition of “or scientific equipment installed” and removal of “It is prohibited to modify or remove any structure that was present with the Area at the time of special protection designation” It is deemed the plane and associated debris are considered ‘materials’ and covered under 7(viii). As there are no structures in the ASPA and therefore no structures to modify or remove, the second sentence has been removed to clarify and avoid confusion.</w:t>
            </w:r>
          </w:p>
          <w:p w14:paraId="6BC41B5D" w14:textId="77777777" w:rsidR="00E54246" w:rsidRDefault="00E54246" w:rsidP="00D32B33">
            <w:pPr>
              <w:keepNext/>
              <w:rPr>
                <w:sz w:val="20"/>
              </w:rPr>
            </w:pPr>
            <w:r w:rsidRPr="00C074D4">
              <w:rPr>
                <w:sz w:val="20"/>
              </w:rPr>
              <w:t xml:space="preserve">Section </w:t>
            </w:r>
            <w:r>
              <w:rPr>
                <w:sz w:val="20"/>
              </w:rPr>
              <w:t>7(v)</w:t>
            </w:r>
            <w:r w:rsidRPr="00C074D4">
              <w:rPr>
                <w:sz w:val="20"/>
              </w:rPr>
              <w:t xml:space="preserve">: </w:t>
            </w:r>
            <w:r>
              <w:rPr>
                <w:sz w:val="20"/>
              </w:rPr>
              <w:t xml:space="preserve">Minor edit to the coordinates to match those of the 1981 Royal Commission Report and additional sentence stating </w:t>
            </w:r>
            <w:r w:rsidRPr="0056573D">
              <w:rPr>
                <w:sz w:val="20"/>
              </w:rPr>
              <w:t>the coordinates are</w:t>
            </w:r>
            <w:r>
              <w:rPr>
                <w:sz w:val="20"/>
              </w:rPr>
              <w:t xml:space="preserve"> approximate as of 1981. The coordinates stated are</w:t>
            </w:r>
            <w:r w:rsidRPr="0056573D">
              <w:rPr>
                <w:sz w:val="20"/>
              </w:rPr>
              <w:t xml:space="preserve"> </w:t>
            </w:r>
            <w:r>
              <w:rPr>
                <w:sz w:val="20"/>
              </w:rPr>
              <w:t>of</w:t>
            </w:r>
            <w:r w:rsidRPr="0056573D">
              <w:rPr>
                <w:sz w:val="20"/>
              </w:rPr>
              <w:t xml:space="preserve"> the impact site centre, but the debris has moved downslope </w:t>
            </w:r>
            <w:r>
              <w:rPr>
                <w:sz w:val="20"/>
              </w:rPr>
              <w:t>and</w:t>
            </w:r>
            <w:r w:rsidRPr="0056573D">
              <w:rPr>
                <w:sz w:val="20"/>
              </w:rPr>
              <w:t xml:space="preserve"> th</w:t>
            </w:r>
            <w:r>
              <w:rPr>
                <w:sz w:val="20"/>
              </w:rPr>
              <w:t>ese</w:t>
            </w:r>
            <w:r w:rsidRPr="0056573D">
              <w:rPr>
                <w:sz w:val="20"/>
              </w:rPr>
              <w:t xml:space="preserve"> coordinate</w:t>
            </w:r>
            <w:r>
              <w:rPr>
                <w:sz w:val="20"/>
              </w:rPr>
              <w:t>s</w:t>
            </w:r>
            <w:r w:rsidRPr="0056573D">
              <w:rPr>
                <w:sz w:val="20"/>
              </w:rPr>
              <w:t xml:space="preserve"> </w:t>
            </w:r>
            <w:r>
              <w:rPr>
                <w:sz w:val="20"/>
              </w:rPr>
              <w:t>therefore approximate.</w:t>
            </w:r>
          </w:p>
          <w:p w14:paraId="5D5AC222" w14:textId="77777777" w:rsidR="00E54246" w:rsidRDefault="00E54246" w:rsidP="00D32B33">
            <w:pPr>
              <w:keepNext/>
              <w:rPr>
                <w:sz w:val="20"/>
              </w:rPr>
            </w:pPr>
            <w:r>
              <w:rPr>
                <w:sz w:val="20"/>
              </w:rPr>
              <w:t>Section 7(viii): Minor wording updates. Addition of sentence “</w:t>
            </w:r>
            <w:r w:rsidRPr="00C7102E">
              <w:rPr>
                <w:sz w:val="20"/>
              </w:rPr>
              <w:t>The wreckage of TE-901 and associated debris are considered ‘materials’ within this management plan</w:t>
            </w:r>
            <w:r>
              <w:rPr>
                <w:sz w:val="20"/>
              </w:rPr>
              <w:t>”</w:t>
            </w:r>
          </w:p>
          <w:p w14:paraId="7DD67C39" w14:textId="77777777" w:rsidR="00E54246" w:rsidRDefault="00E54246" w:rsidP="00D32B33">
            <w:pPr>
              <w:keepNext/>
              <w:rPr>
                <w:sz w:val="20"/>
              </w:rPr>
            </w:pPr>
            <w:r>
              <w:rPr>
                <w:sz w:val="20"/>
              </w:rPr>
              <w:t>Map A updated to Map 1</w:t>
            </w:r>
          </w:p>
          <w:p w14:paraId="286889CC" w14:textId="77777777" w:rsidR="00E54246" w:rsidRPr="00C074D4" w:rsidRDefault="00E54246" w:rsidP="00D32B33">
            <w:pPr>
              <w:keepNext/>
              <w:rPr>
                <w:sz w:val="20"/>
              </w:rPr>
            </w:pPr>
            <w:r>
              <w:rPr>
                <w:sz w:val="20"/>
              </w:rPr>
              <w:t>Addition of Map 2</w:t>
            </w:r>
            <w:r w:rsidRPr="00C074D4">
              <w:rPr>
                <w:sz w:val="20"/>
              </w:rPr>
              <w:t>.</w:t>
            </w:r>
          </w:p>
        </w:tc>
      </w:tr>
      <w:tr w:rsidR="00E54246" w14:paraId="541C0858" w14:textId="77777777" w:rsidTr="00E54246">
        <w:trPr>
          <w:jc w:val="center"/>
        </w:trPr>
        <w:tc>
          <w:tcPr>
            <w:tcW w:w="5110" w:type="dxa"/>
            <w:hideMark/>
          </w:tcPr>
          <w:p w14:paraId="0A11ABF4" w14:textId="77777777" w:rsidR="00E54246" w:rsidRPr="00C074D4" w:rsidRDefault="00E54246" w:rsidP="00D32B33">
            <w:pPr>
              <w:pStyle w:val="ATSNormal"/>
              <w:spacing w:before="60" w:after="60"/>
              <w:rPr>
                <w:b/>
                <w:snapToGrid w:val="0"/>
                <w:sz w:val="20"/>
                <w:lang w:eastAsia="en-US"/>
              </w:rPr>
            </w:pPr>
            <w:r w:rsidRPr="00C074D4">
              <w:rPr>
                <w:b/>
                <w:snapToGrid w:val="0"/>
                <w:sz w:val="20"/>
                <w:lang w:eastAsia="en-US"/>
              </w:rPr>
              <w:t>5. If a new ASPA or ASMA is proposed, does it contain any marine area?</w:t>
            </w:r>
          </w:p>
        </w:tc>
        <w:tc>
          <w:tcPr>
            <w:tcW w:w="4241" w:type="dxa"/>
            <w:vAlign w:val="center"/>
            <w:hideMark/>
          </w:tcPr>
          <w:p w14:paraId="62FE62AA" w14:textId="77777777" w:rsidR="00E54246" w:rsidRPr="00C074D4" w:rsidRDefault="00E54246" w:rsidP="00D32B33">
            <w:pPr>
              <w:spacing w:before="60" w:after="60"/>
              <w:rPr>
                <w:sz w:val="20"/>
              </w:rPr>
            </w:pPr>
            <w:r>
              <w:rPr>
                <w:sz w:val="20"/>
              </w:rPr>
              <w:t>N/A</w:t>
            </w:r>
          </w:p>
        </w:tc>
      </w:tr>
      <w:tr w:rsidR="00E54246" w14:paraId="66DF3FF9" w14:textId="77777777" w:rsidTr="00E54246">
        <w:trPr>
          <w:jc w:val="center"/>
        </w:trPr>
        <w:tc>
          <w:tcPr>
            <w:tcW w:w="5110" w:type="dxa"/>
            <w:hideMark/>
          </w:tcPr>
          <w:p w14:paraId="52790A15" w14:textId="77777777" w:rsidR="00E54246" w:rsidRPr="00C074D4" w:rsidRDefault="00E54246" w:rsidP="00D32B33">
            <w:pPr>
              <w:pStyle w:val="ATSNormal"/>
              <w:spacing w:before="60" w:after="60"/>
              <w:rPr>
                <w:b/>
                <w:snapToGrid w:val="0"/>
                <w:sz w:val="20"/>
                <w:lang w:eastAsia="en-US"/>
              </w:rPr>
            </w:pPr>
            <w:r w:rsidRPr="00C074D4">
              <w:rPr>
                <w:b/>
                <w:snapToGrid w:val="0"/>
                <w:sz w:val="20"/>
                <w:lang w:eastAsia="en-US"/>
              </w:rPr>
              <w:t>6. If yes, does the proposal require the prior approval of CCAMLR in accordance with Decision 9 (2005)?</w:t>
            </w:r>
          </w:p>
        </w:tc>
        <w:tc>
          <w:tcPr>
            <w:tcW w:w="4241" w:type="dxa"/>
            <w:vAlign w:val="center"/>
            <w:hideMark/>
          </w:tcPr>
          <w:p w14:paraId="0884B9F9" w14:textId="77777777" w:rsidR="00E54246" w:rsidRPr="00C074D4" w:rsidRDefault="00E54246" w:rsidP="00D32B33">
            <w:pPr>
              <w:spacing w:before="60" w:after="60"/>
              <w:rPr>
                <w:sz w:val="20"/>
              </w:rPr>
            </w:pPr>
            <w:r w:rsidRPr="00C074D4">
              <w:rPr>
                <w:sz w:val="20"/>
              </w:rPr>
              <w:t>N/A</w:t>
            </w:r>
          </w:p>
        </w:tc>
      </w:tr>
      <w:tr w:rsidR="00E54246" w14:paraId="14068355" w14:textId="77777777" w:rsidTr="00E54246">
        <w:trPr>
          <w:jc w:val="center"/>
        </w:trPr>
        <w:tc>
          <w:tcPr>
            <w:tcW w:w="5110" w:type="dxa"/>
            <w:hideMark/>
          </w:tcPr>
          <w:p w14:paraId="1DA62E58" w14:textId="77777777" w:rsidR="00E54246" w:rsidRPr="00C074D4" w:rsidRDefault="00E54246" w:rsidP="00D32B33">
            <w:pPr>
              <w:pStyle w:val="ATSNormal"/>
              <w:spacing w:before="60" w:after="60"/>
              <w:rPr>
                <w:b/>
                <w:sz w:val="20"/>
              </w:rPr>
            </w:pPr>
            <w:r w:rsidRPr="00C074D4">
              <w:rPr>
                <w:b/>
                <w:sz w:val="20"/>
              </w:rPr>
              <w:t xml:space="preserve">7. If yes, has the prior approval of CCAMLR been obtained? </w:t>
            </w:r>
          </w:p>
        </w:tc>
        <w:tc>
          <w:tcPr>
            <w:tcW w:w="4241" w:type="dxa"/>
            <w:vAlign w:val="center"/>
            <w:hideMark/>
          </w:tcPr>
          <w:p w14:paraId="0B4C9541" w14:textId="77777777" w:rsidR="00E54246" w:rsidRPr="00C074D4" w:rsidRDefault="00E54246" w:rsidP="00D32B33">
            <w:pPr>
              <w:spacing w:before="60" w:after="60"/>
              <w:rPr>
                <w:sz w:val="20"/>
              </w:rPr>
            </w:pPr>
            <w:r w:rsidRPr="00C074D4">
              <w:rPr>
                <w:sz w:val="20"/>
              </w:rPr>
              <w:t>N/A</w:t>
            </w:r>
          </w:p>
        </w:tc>
      </w:tr>
      <w:tr w:rsidR="00E54246" w14:paraId="4FAB561B" w14:textId="77777777" w:rsidTr="00E54246">
        <w:trPr>
          <w:jc w:val="center"/>
        </w:trPr>
        <w:tc>
          <w:tcPr>
            <w:tcW w:w="5110" w:type="dxa"/>
            <w:hideMark/>
          </w:tcPr>
          <w:p w14:paraId="58E90781" w14:textId="77777777" w:rsidR="00E54246" w:rsidRPr="00C074D4" w:rsidRDefault="00E54246" w:rsidP="00D32B33">
            <w:pPr>
              <w:pStyle w:val="ATSNormal"/>
              <w:spacing w:before="60" w:after="60"/>
              <w:rPr>
                <w:i/>
                <w:sz w:val="20"/>
              </w:rPr>
            </w:pPr>
            <w:r w:rsidRPr="00C074D4">
              <w:rPr>
                <w:i/>
                <w:sz w:val="20"/>
              </w:rPr>
              <w:t>If yes, please list the CCAMLR Final Report and Paragraph No.</w:t>
            </w:r>
          </w:p>
        </w:tc>
        <w:tc>
          <w:tcPr>
            <w:tcW w:w="4241" w:type="dxa"/>
            <w:vAlign w:val="center"/>
            <w:hideMark/>
          </w:tcPr>
          <w:p w14:paraId="7ED1BF78" w14:textId="77777777" w:rsidR="00E54246" w:rsidRPr="00C074D4" w:rsidRDefault="00E54246" w:rsidP="00D32B33">
            <w:pPr>
              <w:spacing w:before="60" w:after="60"/>
              <w:rPr>
                <w:sz w:val="20"/>
              </w:rPr>
            </w:pPr>
            <w:r w:rsidRPr="00C074D4">
              <w:rPr>
                <w:sz w:val="20"/>
              </w:rPr>
              <w:t>N/A</w:t>
            </w:r>
          </w:p>
        </w:tc>
      </w:tr>
      <w:tr w:rsidR="00E54246" w:rsidRPr="0096712D" w14:paraId="686B881A" w14:textId="77777777" w:rsidTr="00E54246">
        <w:trPr>
          <w:cantSplit/>
          <w:jc w:val="center"/>
        </w:trPr>
        <w:tc>
          <w:tcPr>
            <w:tcW w:w="5110" w:type="dxa"/>
            <w:hideMark/>
          </w:tcPr>
          <w:p w14:paraId="7B1318DB" w14:textId="77777777" w:rsidR="00E54246" w:rsidRPr="00C074D4" w:rsidRDefault="00E54246" w:rsidP="00D32B33">
            <w:pPr>
              <w:pStyle w:val="ATSNormal"/>
              <w:spacing w:before="60" w:after="60"/>
              <w:rPr>
                <w:b/>
                <w:i/>
                <w:sz w:val="20"/>
              </w:rPr>
            </w:pPr>
            <w:r w:rsidRPr="00C074D4">
              <w:rPr>
                <w:b/>
                <w:sz w:val="20"/>
              </w:rPr>
              <w:lastRenderedPageBreak/>
              <w:t>8. If the proposal relates to an ASPA, what is the primary reason for designation (</w:t>
            </w:r>
            <w:proofErr w:type="gramStart"/>
            <w:r w:rsidRPr="00C074D4">
              <w:rPr>
                <w:b/>
                <w:sz w:val="20"/>
              </w:rPr>
              <w:t>i.e.</w:t>
            </w:r>
            <w:proofErr w:type="gramEnd"/>
            <w:r w:rsidRPr="00C074D4">
              <w:rPr>
                <w:b/>
                <w:sz w:val="20"/>
              </w:rPr>
              <w:t xml:space="preserve"> which part under Article 3.2 of Annex V)?</w:t>
            </w:r>
          </w:p>
        </w:tc>
        <w:tc>
          <w:tcPr>
            <w:tcW w:w="4241" w:type="dxa"/>
            <w:vAlign w:val="center"/>
            <w:hideMark/>
          </w:tcPr>
          <w:p w14:paraId="26AD7B9A" w14:textId="77777777" w:rsidR="00E54246" w:rsidRPr="004679F0" w:rsidRDefault="00E54246" w:rsidP="00D32B33">
            <w:pPr>
              <w:spacing w:before="60" w:after="60"/>
              <w:rPr>
                <w:sz w:val="20"/>
                <w:szCs w:val="20"/>
              </w:rPr>
            </w:pPr>
            <w:r w:rsidRPr="009D06B4">
              <w:rPr>
                <w:sz w:val="20"/>
                <w:szCs w:val="20"/>
              </w:rPr>
              <w:t>The Area is designated to protect the crash site of Air New Zealand flight TE-901, on the slopes of the north side of Mount Erebus, Ross Island</w:t>
            </w:r>
            <w:r>
              <w:rPr>
                <w:sz w:val="20"/>
                <w:szCs w:val="20"/>
              </w:rPr>
              <w:t>.</w:t>
            </w:r>
          </w:p>
        </w:tc>
      </w:tr>
      <w:tr w:rsidR="00E54246" w14:paraId="0A28DB91" w14:textId="77777777" w:rsidTr="00E54246">
        <w:trPr>
          <w:jc w:val="center"/>
        </w:trPr>
        <w:tc>
          <w:tcPr>
            <w:tcW w:w="5110" w:type="dxa"/>
            <w:hideMark/>
          </w:tcPr>
          <w:p w14:paraId="00514064" w14:textId="77777777" w:rsidR="00E54246" w:rsidRPr="00C074D4" w:rsidRDefault="00E54246" w:rsidP="00D32B33">
            <w:pPr>
              <w:pStyle w:val="ATSNumber1"/>
              <w:numPr>
                <w:ilvl w:val="0"/>
                <w:numId w:val="0"/>
              </w:numPr>
              <w:tabs>
                <w:tab w:val="left" w:pos="708"/>
              </w:tabs>
              <w:spacing w:before="0"/>
              <w:rPr>
                <w:b/>
                <w:sz w:val="20"/>
              </w:rPr>
            </w:pPr>
            <w:r w:rsidRPr="00C074D4">
              <w:rPr>
                <w:b/>
                <w:sz w:val="20"/>
              </w:rPr>
              <w:t xml:space="preserve">9. Have you identified the main Environmental Domain represented by the ASPA/ASMA (refer to the ‘Environmental Domains Analysis for the Antarctic Continent’ appended to Resolution 3 (2008))? </w:t>
            </w:r>
          </w:p>
        </w:tc>
        <w:tc>
          <w:tcPr>
            <w:tcW w:w="4241" w:type="dxa"/>
            <w:vAlign w:val="center"/>
            <w:hideMark/>
          </w:tcPr>
          <w:p w14:paraId="481FE1DE" w14:textId="77777777" w:rsidR="00E54246" w:rsidRPr="00C074D4" w:rsidRDefault="00E54246" w:rsidP="00D32B33">
            <w:pPr>
              <w:spacing w:before="60" w:after="60"/>
              <w:rPr>
                <w:sz w:val="20"/>
              </w:rPr>
            </w:pPr>
            <w:r w:rsidRPr="00C074D4">
              <w:rPr>
                <w:sz w:val="20"/>
              </w:rPr>
              <w:t>N/A</w:t>
            </w:r>
          </w:p>
        </w:tc>
      </w:tr>
      <w:tr w:rsidR="00E54246" w:rsidRPr="0096712D" w14:paraId="7095E840" w14:textId="77777777" w:rsidTr="00E54246">
        <w:trPr>
          <w:jc w:val="center"/>
        </w:trPr>
        <w:tc>
          <w:tcPr>
            <w:tcW w:w="5110" w:type="dxa"/>
            <w:hideMark/>
          </w:tcPr>
          <w:p w14:paraId="5C7C0A56" w14:textId="77777777" w:rsidR="00E54246" w:rsidRPr="00C074D4" w:rsidRDefault="00E54246" w:rsidP="00D32B33">
            <w:pPr>
              <w:pStyle w:val="ATSNumber1"/>
              <w:numPr>
                <w:ilvl w:val="0"/>
                <w:numId w:val="0"/>
              </w:numPr>
              <w:tabs>
                <w:tab w:val="left" w:pos="708"/>
              </w:tabs>
              <w:spacing w:before="0"/>
              <w:rPr>
                <w:b/>
                <w:sz w:val="20"/>
              </w:rPr>
            </w:pPr>
            <w:r w:rsidRPr="00C074D4">
              <w:rPr>
                <w:i/>
                <w:sz w:val="20"/>
              </w:rPr>
              <w:t xml:space="preserve">If </w:t>
            </w:r>
            <w:proofErr w:type="gramStart"/>
            <w:r w:rsidRPr="00C074D4">
              <w:rPr>
                <w:i/>
                <w:sz w:val="20"/>
              </w:rPr>
              <w:t>Yes</w:t>
            </w:r>
            <w:proofErr w:type="gramEnd"/>
            <w:r w:rsidRPr="00C074D4">
              <w:rPr>
                <w:i/>
                <w:sz w:val="20"/>
              </w:rPr>
              <w:t>, the main Environmental Domain should be noted here.</w:t>
            </w:r>
          </w:p>
        </w:tc>
        <w:tc>
          <w:tcPr>
            <w:tcW w:w="4241" w:type="dxa"/>
            <w:vAlign w:val="center"/>
            <w:hideMark/>
          </w:tcPr>
          <w:p w14:paraId="1DA57C15" w14:textId="77777777" w:rsidR="00E54246" w:rsidRPr="00C074D4" w:rsidRDefault="00E54246" w:rsidP="00D32B33">
            <w:pPr>
              <w:spacing w:before="60" w:after="60"/>
              <w:rPr>
                <w:sz w:val="20"/>
              </w:rPr>
            </w:pPr>
            <w:r>
              <w:rPr>
                <w:sz w:val="20"/>
              </w:rPr>
              <w:t>N/A</w:t>
            </w:r>
          </w:p>
        </w:tc>
      </w:tr>
      <w:tr w:rsidR="00E54246" w:rsidRPr="0096712D" w14:paraId="47DDF5A5" w14:textId="77777777" w:rsidTr="00E54246">
        <w:trPr>
          <w:jc w:val="center"/>
        </w:trPr>
        <w:tc>
          <w:tcPr>
            <w:tcW w:w="5110" w:type="dxa"/>
          </w:tcPr>
          <w:p w14:paraId="41FBC90D" w14:textId="77777777" w:rsidR="00E54246" w:rsidRPr="00C074D4" w:rsidRDefault="00E54246" w:rsidP="00D32B33">
            <w:pPr>
              <w:pStyle w:val="ATSNumber1"/>
              <w:numPr>
                <w:ilvl w:val="0"/>
                <w:numId w:val="0"/>
              </w:numPr>
              <w:ind w:left="41"/>
              <w:rPr>
                <w:b/>
                <w:sz w:val="20"/>
              </w:rPr>
            </w:pPr>
            <w:r w:rsidRPr="00C074D4">
              <w:rPr>
                <w:b/>
                <w:sz w:val="20"/>
              </w:rPr>
              <w:t>10. If relevant, have you identified the main Antarctic Conservation Biogeographic Region represented by the ASPA/ASMA (refer to the ‘Antarctic Conservation Biogeographic Regions’ appended to Resolution 6 (2012))?</w:t>
            </w:r>
          </w:p>
        </w:tc>
        <w:tc>
          <w:tcPr>
            <w:tcW w:w="4241" w:type="dxa"/>
            <w:vAlign w:val="center"/>
          </w:tcPr>
          <w:p w14:paraId="735CBD7A" w14:textId="77777777" w:rsidR="00E54246" w:rsidRPr="00C074D4" w:rsidRDefault="00E54246" w:rsidP="00D32B33">
            <w:pPr>
              <w:spacing w:before="60" w:after="60"/>
              <w:rPr>
                <w:sz w:val="20"/>
              </w:rPr>
            </w:pPr>
            <w:r w:rsidRPr="00C074D4">
              <w:rPr>
                <w:sz w:val="20"/>
              </w:rPr>
              <w:t>N/A</w:t>
            </w:r>
          </w:p>
        </w:tc>
      </w:tr>
      <w:tr w:rsidR="00E54246" w:rsidRPr="0096712D" w14:paraId="0D97B227" w14:textId="77777777" w:rsidTr="00E54246">
        <w:trPr>
          <w:jc w:val="center"/>
        </w:trPr>
        <w:tc>
          <w:tcPr>
            <w:tcW w:w="5110" w:type="dxa"/>
          </w:tcPr>
          <w:p w14:paraId="29258C64" w14:textId="77777777" w:rsidR="00E54246" w:rsidRPr="00C074D4" w:rsidRDefault="00E54246" w:rsidP="00D32B33">
            <w:pPr>
              <w:pStyle w:val="ATSNumber1"/>
              <w:numPr>
                <w:ilvl w:val="0"/>
                <w:numId w:val="0"/>
              </w:numPr>
              <w:ind w:left="41"/>
              <w:rPr>
                <w:i/>
                <w:sz w:val="20"/>
              </w:rPr>
            </w:pPr>
            <w:r w:rsidRPr="00C074D4">
              <w:rPr>
                <w:i/>
                <w:sz w:val="20"/>
              </w:rPr>
              <w:t>If yes, the main Antarctic Conservation Biogeographic Region should be noted here.</w:t>
            </w:r>
          </w:p>
        </w:tc>
        <w:tc>
          <w:tcPr>
            <w:tcW w:w="4241" w:type="dxa"/>
            <w:vAlign w:val="center"/>
          </w:tcPr>
          <w:p w14:paraId="20879CD1" w14:textId="77777777" w:rsidR="00E54246" w:rsidRPr="00C074D4" w:rsidRDefault="00E54246" w:rsidP="00D32B33">
            <w:pPr>
              <w:spacing w:before="60" w:after="60"/>
              <w:rPr>
                <w:sz w:val="20"/>
              </w:rPr>
            </w:pPr>
            <w:r w:rsidRPr="00C074D4">
              <w:rPr>
                <w:sz w:val="20"/>
              </w:rPr>
              <w:t>N/A</w:t>
            </w:r>
          </w:p>
        </w:tc>
      </w:tr>
      <w:tr w:rsidR="00E54246" w:rsidRPr="0096712D" w14:paraId="499C4CA4" w14:textId="77777777" w:rsidTr="00E54246">
        <w:trPr>
          <w:jc w:val="center"/>
        </w:trPr>
        <w:tc>
          <w:tcPr>
            <w:tcW w:w="5110" w:type="dxa"/>
          </w:tcPr>
          <w:p w14:paraId="0F9A4CCD" w14:textId="77777777" w:rsidR="00E54246" w:rsidRPr="00C074D4" w:rsidRDefault="00E54246" w:rsidP="00D32B33">
            <w:pPr>
              <w:pStyle w:val="ATSNumber1"/>
              <w:numPr>
                <w:ilvl w:val="0"/>
                <w:numId w:val="0"/>
              </w:numPr>
              <w:ind w:left="41"/>
              <w:rPr>
                <w:b/>
                <w:sz w:val="20"/>
              </w:rPr>
            </w:pPr>
            <w:r w:rsidRPr="00C074D4">
              <w:rPr>
                <w:b/>
                <w:sz w:val="20"/>
              </w:rPr>
              <w:t xml:space="preserve">11. If relevant, have you identified any Antarctic Important Bird Areas (Resolution 5 (2015)) represented by the ASPA/ASMA (refer to the ‘Important Bird Areas in Antarctica 2015 Summary’ appended to ATCM XXXVIII - IP 27 and the full report available at: </w:t>
            </w:r>
            <w:hyperlink r:id="rId11" w:history="1">
              <w:r w:rsidRPr="00C074D4">
                <w:rPr>
                  <w:rStyle w:val="Hipervnculo"/>
                  <w:b/>
                  <w:sz w:val="20"/>
                </w:rPr>
                <w:t>http://www.era.gs/resources/iba/</w:t>
              </w:r>
            </w:hyperlink>
            <w:r w:rsidRPr="00C074D4">
              <w:rPr>
                <w:b/>
                <w:sz w:val="20"/>
              </w:rPr>
              <w:t>)?</w:t>
            </w:r>
          </w:p>
        </w:tc>
        <w:tc>
          <w:tcPr>
            <w:tcW w:w="4241" w:type="dxa"/>
            <w:vAlign w:val="center"/>
          </w:tcPr>
          <w:p w14:paraId="2D8104A7" w14:textId="77777777" w:rsidR="00E54246" w:rsidRPr="00C074D4" w:rsidRDefault="00E54246" w:rsidP="00D32B33">
            <w:pPr>
              <w:spacing w:before="60" w:after="60"/>
              <w:rPr>
                <w:sz w:val="20"/>
              </w:rPr>
            </w:pPr>
            <w:r w:rsidRPr="00C074D4">
              <w:rPr>
                <w:sz w:val="20"/>
              </w:rPr>
              <w:t>N/A</w:t>
            </w:r>
          </w:p>
        </w:tc>
      </w:tr>
      <w:tr w:rsidR="00E54246" w:rsidRPr="0096712D" w14:paraId="4D198CD9" w14:textId="77777777" w:rsidTr="00E54246">
        <w:trPr>
          <w:jc w:val="center"/>
        </w:trPr>
        <w:tc>
          <w:tcPr>
            <w:tcW w:w="5110" w:type="dxa"/>
          </w:tcPr>
          <w:p w14:paraId="0C34FE7B" w14:textId="77777777" w:rsidR="00E54246" w:rsidRPr="00C074D4" w:rsidRDefault="00E54246" w:rsidP="00D32B33">
            <w:pPr>
              <w:pStyle w:val="ATSNumber1"/>
              <w:numPr>
                <w:ilvl w:val="0"/>
                <w:numId w:val="0"/>
              </w:numPr>
              <w:ind w:left="41"/>
              <w:rPr>
                <w:i/>
                <w:sz w:val="20"/>
              </w:rPr>
            </w:pPr>
            <w:r w:rsidRPr="00C074D4">
              <w:rPr>
                <w:i/>
                <w:sz w:val="20"/>
              </w:rPr>
              <w:t>If yes, the Important Bird Area(s) should be noted here.)</w:t>
            </w:r>
          </w:p>
        </w:tc>
        <w:tc>
          <w:tcPr>
            <w:tcW w:w="4241" w:type="dxa"/>
            <w:vAlign w:val="center"/>
          </w:tcPr>
          <w:p w14:paraId="6813726C" w14:textId="77777777" w:rsidR="00E54246" w:rsidRPr="00C074D4" w:rsidRDefault="00E54246" w:rsidP="00D32B33">
            <w:pPr>
              <w:spacing w:before="60" w:after="60"/>
              <w:rPr>
                <w:sz w:val="20"/>
              </w:rPr>
            </w:pPr>
            <w:r w:rsidRPr="00C074D4">
              <w:rPr>
                <w:sz w:val="20"/>
              </w:rPr>
              <w:t>N/A</w:t>
            </w:r>
          </w:p>
        </w:tc>
      </w:tr>
    </w:tbl>
    <w:p w14:paraId="683D4515" w14:textId="77777777" w:rsidR="00E54246" w:rsidRDefault="00E54246" w:rsidP="00E54246"/>
    <w:p w14:paraId="1190382F" w14:textId="77777777" w:rsidR="00E54246" w:rsidRDefault="00E54246" w:rsidP="00E54246">
      <w:pPr>
        <w:spacing w:after="160" w:line="259" w:lineRule="auto"/>
        <w:rPr>
          <w:lang w:eastAsia="en-GB"/>
        </w:rPr>
      </w:pPr>
    </w:p>
    <w:p w14:paraId="69FDE6AF" w14:textId="77777777" w:rsidR="00E54246" w:rsidRDefault="00E54246" w:rsidP="00952E9F"/>
    <w:sectPr w:rsidR="00E54246"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3AF25" w14:textId="77777777" w:rsidR="007C0116" w:rsidRDefault="00E54246">
      <w:r>
        <w:separator/>
      </w:r>
    </w:p>
  </w:endnote>
  <w:endnote w:type="continuationSeparator" w:id="0">
    <w:p w14:paraId="546AB0AB" w14:textId="77777777" w:rsidR="007C0116" w:rsidRDefault="00E5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32FD2" w14:textId="77777777" w:rsidR="00FA0B9F" w:rsidRDefault="00E54246" w:rsidP="00CF5C82">
    <w:pPr>
      <w:framePr w:wrap="around" w:vAnchor="text" w:hAnchor="margin" w:xAlign="right" w:y="1"/>
    </w:pPr>
    <w:r>
      <w:fldChar w:fldCharType="begin"/>
    </w:r>
    <w:r>
      <w:instrText xml:space="preserve">PAGE  </w:instrText>
    </w:r>
    <w:r w:rsidR="00874CA3">
      <w:fldChar w:fldCharType="separate"/>
    </w:r>
    <w:r>
      <w:fldChar w:fldCharType="end"/>
    </w:r>
  </w:p>
  <w:p w14:paraId="6DEE8B90" w14:textId="77777777" w:rsidR="00FA0B9F" w:rsidRDefault="00874CA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482C5" w14:textId="77777777" w:rsidR="00FA0B9F" w:rsidRDefault="00E5424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CF99536" w14:textId="2FA4AFCD" w:rsidR="00FA0B9F" w:rsidRDefault="00E54246" w:rsidP="00FA0B9F">
    <w:pPr>
      <w:ind w:right="360"/>
    </w:pPr>
    <w:r>
      <w:t xml:space="preserve">Attachments: </w:t>
    </w:r>
  </w:p>
  <w:p w14:paraId="5BF909A9" w14:textId="7AEF3ACC" w:rsidR="00E54246" w:rsidRDefault="00E54246" w:rsidP="00FA0B9F">
    <w:pPr>
      <w:ind w:right="360"/>
    </w:pPr>
    <w:r>
      <w:t>Atcm45_att036_</w:t>
    </w:r>
    <w:r w:rsidR="009B67FD">
      <w:t>rev1_</w:t>
    </w:r>
    <w:r>
      <w:t>e.docx: ASPA 156 Revised Management Plan</w:t>
    </w:r>
  </w:p>
  <w:p w14:paraId="454A2EB0" w14:textId="12A82B9E" w:rsidR="00E54246" w:rsidRDefault="00E54246" w:rsidP="00FA0B9F">
    <w:pPr>
      <w:ind w:right="360"/>
    </w:pPr>
    <w:r w:rsidRPr="00E54246">
      <w:t>Atcm45_att037_e.pdf: ASPA 156 Map</w:t>
    </w:r>
    <w:r>
      <w:t xml:space="preserve"> 1</w:t>
    </w:r>
  </w:p>
  <w:p w14:paraId="42FA88B1" w14:textId="6C77AB24" w:rsidR="00E54246" w:rsidRPr="00E54246" w:rsidRDefault="00E54246" w:rsidP="00E54246">
    <w:pPr>
      <w:ind w:right="360"/>
    </w:pPr>
    <w:r w:rsidRPr="00E54246">
      <w:t>Atcm45_att03</w:t>
    </w:r>
    <w:r>
      <w:t>8</w:t>
    </w:r>
    <w:r w:rsidRPr="00E54246">
      <w:t>_e.pdf: ASPA 156 Map</w:t>
    </w:r>
    <w:r>
      <w:t xml:space="preserve"> 2</w:t>
    </w:r>
  </w:p>
  <w:p w14:paraId="589E10E2" w14:textId="77777777" w:rsidR="00E54246" w:rsidRPr="00E54246" w:rsidRDefault="00E54246"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93C4" w14:textId="77777777" w:rsidR="00E311C9" w:rsidRDefault="00E5424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88CAFEE" w14:textId="77777777" w:rsidR="00E311C9" w:rsidRDefault="00874CA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848CB" w14:textId="77777777" w:rsidR="007C0116" w:rsidRDefault="00E54246">
      <w:r>
        <w:separator/>
      </w:r>
    </w:p>
  </w:footnote>
  <w:footnote w:type="continuationSeparator" w:id="0">
    <w:p w14:paraId="497F3B35" w14:textId="77777777" w:rsidR="007C0116" w:rsidRDefault="00E54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FF7CEA" w14:paraId="5D491CE3" w14:textId="77777777" w:rsidTr="002E12EC">
      <w:trPr>
        <w:trHeight w:val="344"/>
        <w:jc w:val="center"/>
      </w:trPr>
      <w:tc>
        <w:tcPr>
          <w:tcW w:w="5495" w:type="dxa"/>
        </w:tcPr>
        <w:p w14:paraId="7688B7B9" w14:textId="77777777" w:rsidR="00DB7C09" w:rsidRDefault="00874CA3" w:rsidP="00F968D4"/>
      </w:tc>
      <w:tc>
        <w:tcPr>
          <w:tcW w:w="4253" w:type="dxa"/>
          <w:gridSpan w:val="2"/>
        </w:tcPr>
        <w:p w14:paraId="75FD3C33" w14:textId="77777777" w:rsidR="00DB7C09" w:rsidRPr="00BD47E4" w:rsidRDefault="00E54246" w:rsidP="002A07BC">
          <w:pPr>
            <w:jc w:val="right"/>
            <w:rPr>
              <w:b/>
              <w:sz w:val="32"/>
              <w:szCs w:val="32"/>
            </w:rPr>
          </w:pPr>
          <w:bookmarkStart w:id="2" w:name="type"/>
          <w:r w:rsidRPr="00BD47E4">
            <w:rPr>
              <w:b/>
              <w:sz w:val="32"/>
              <w:szCs w:val="32"/>
            </w:rPr>
            <w:t>WP</w:t>
          </w:r>
          <w:bookmarkEnd w:id="2"/>
        </w:p>
      </w:tc>
      <w:tc>
        <w:tcPr>
          <w:tcW w:w="1524" w:type="dxa"/>
          <w:gridSpan w:val="2"/>
        </w:tcPr>
        <w:p w14:paraId="0EFB6472" w14:textId="1C873598" w:rsidR="00DB7C09" w:rsidRPr="00BD47E4" w:rsidRDefault="00E54246" w:rsidP="00DB7C09">
          <w:pPr>
            <w:rPr>
              <w:b/>
              <w:sz w:val="32"/>
              <w:szCs w:val="32"/>
            </w:rPr>
          </w:pPr>
          <w:bookmarkStart w:id="3" w:name="number"/>
          <w:r w:rsidRPr="00BD47E4">
            <w:rPr>
              <w:b/>
              <w:sz w:val="32"/>
              <w:szCs w:val="32"/>
            </w:rPr>
            <w:t>28</w:t>
          </w:r>
          <w:bookmarkEnd w:id="3"/>
          <w:r w:rsidR="009B67FD">
            <w:rPr>
              <w:b/>
              <w:sz w:val="32"/>
              <w:szCs w:val="32"/>
            </w:rPr>
            <w:t xml:space="preserve"> rev.1</w:t>
          </w:r>
        </w:p>
      </w:tc>
    </w:tr>
    <w:tr w:rsidR="00FF7CEA" w14:paraId="4718EC0E" w14:textId="77777777" w:rsidTr="002E12EC">
      <w:trPr>
        <w:trHeight w:val="2165"/>
        <w:jc w:val="center"/>
      </w:trPr>
      <w:tc>
        <w:tcPr>
          <w:tcW w:w="5495" w:type="dxa"/>
        </w:tcPr>
        <w:p w14:paraId="58E62880" w14:textId="77777777" w:rsidR="00490760" w:rsidRPr="00EE4D48" w:rsidRDefault="00E54246" w:rsidP="002A07BC">
          <w:pPr>
            <w:rPr>
              <w:b/>
              <w:sz w:val="28"/>
              <w:szCs w:val="28"/>
            </w:rPr>
          </w:pPr>
          <w:r>
            <w:rPr>
              <w:noProof/>
            </w:rPr>
            <w:drawing>
              <wp:inline distT="0" distB="0" distL="0" distR="0" wp14:anchorId="447EC8B1" wp14:editId="4EE60F1C">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55780"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10AC8FE5" w14:textId="77777777" w:rsidR="00490760" w:rsidRPr="00FE5146" w:rsidRDefault="00E54246" w:rsidP="00490760">
          <w:pPr>
            <w:jc w:val="right"/>
            <w:rPr>
              <w:sz w:val="144"/>
              <w:szCs w:val="144"/>
            </w:rPr>
          </w:pPr>
          <w:r w:rsidRPr="00FE5146">
            <w:rPr>
              <w:sz w:val="144"/>
              <w:szCs w:val="144"/>
            </w:rPr>
            <w:t>ENG</w:t>
          </w:r>
        </w:p>
      </w:tc>
    </w:tr>
    <w:tr w:rsidR="00FF7CEA" w14:paraId="06D9E830" w14:textId="77777777" w:rsidTr="002E12EC">
      <w:trPr>
        <w:trHeight w:val="409"/>
        <w:jc w:val="center"/>
      </w:trPr>
      <w:tc>
        <w:tcPr>
          <w:tcW w:w="8500" w:type="dxa"/>
          <w:gridSpan w:val="2"/>
        </w:tcPr>
        <w:p w14:paraId="2224A0D7" w14:textId="77777777" w:rsidR="00BD47E4" w:rsidRDefault="00E54246" w:rsidP="002C30DA">
          <w:pPr>
            <w:jc w:val="right"/>
          </w:pPr>
          <w:r>
            <w:t>Agenda Item:</w:t>
          </w:r>
        </w:p>
      </w:tc>
      <w:tc>
        <w:tcPr>
          <w:tcW w:w="2382" w:type="dxa"/>
          <w:gridSpan w:val="2"/>
        </w:tcPr>
        <w:p w14:paraId="723B2414" w14:textId="77777777" w:rsidR="00BD47E4" w:rsidRDefault="00E54246" w:rsidP="002C30DA">
          <w:pPr>
            <w:jc w:val="right"/>
          </w:pPr>
          <w:bookmarkStart w:id="4" w:name="agenda"/>
          <w:r>
            <w:t>CEP 9a</w:t>
          </w:r>
          <w:bookmarkEnd w:id="4"/>
        </w:p>
      </w:tc>
      <w:tc>
        <w:tcPr>
          <w:tcW w:w="390" w:type="dxa"/>
        </w:tcPr>
        <w:p w14:paraId="61E41A82" w14:textId="77777777" w:rsidR="00BD47E4" w:rsidRDefault="00874CA3" w:rsidP="00387A65">
          <w:pPr>
            <w:jc w:val="right"/>
          </w:pPr>
        </w:p>
      </w:tc>
    </w:tr>
    <w:tr w:rsidR="00FF7CEA" w14:paraId="4B8E638B" w14:textId="77777777" w:rsidTr="002E12EC">
      <w:trPr>
        <w:trHeight w:val="397"/>
        <w:jc w:val="center"/>
      </w:trPr>
      <w:tc>
        <w:tcPr>
          <w:tcW w:w="8500" w:type="dxa"/>
          <w:gridSpan w:val="2"/>
        </w:tcPr>
        <w:p w14:paraId="70AD2FAF" w14:textId="77777777" w:rsidR="00BD47E4" w:rsidRDefault="00E54246" w:rsidP="002C30DA">
          <w:pPr>
            <w:jc w:val="right"/>
          </w:pPr>
          <w:r>
            <w:t>Presented by:</w:t>
          </w:r>
        </w:p>
      </w:tc>
      <w:tc>
        <w:tcPr>
          <w:tcW w:w="2382" w:type="dxa"/>
          <w:gridSpan w:val="2"/>
        </w:tcPr>
        <w:p w14:paraId="3F0B39E5" w14:textId="77777777" w:rsidR="00BD47E4" w:rsidRDefault="00E54246" w:rsidP="002C30DA">
          <w:pPr>
            <w:jc w:val="right"/>
          </w:pPr>
          <w:bookmarkStart w:id="5" w:name="party"/>
          <w:r>
            <w:t>New Zealand</w:t>
          </w:r>
          <w:bookmarkEnd w:id="5"/>
        </w:p>
      </w:tc>
      <w:tc>
        <w:tcPr>
          <w:tcW w:w="390" w:type="dxa"/>
        </w:tcPr>
        <w:p w14:paraId="2CB8E0A2" w14:textId="77777777" w:rsidR="00BD47E4" w:rsidRDefault="00874CA3" w:rsidP="00387A65">
          <w:pPr>
            <w:jc w:val="right"/>
          </w:pPr>
        </w:p>
      </w:tc>
    </w:tr>
    <w:tr w:rsidR="00FF7CEA" w14:paraId="19AB53AA" w14:textId="77777777" w:rsidTr="002E12EC">
      <w:trPr>
        <w:trHeight w:val="409"/>
        <w:jc w:val="center"/>
      </w:trPr>
      <w:tc>
        <w:tcPr>
          <w:tcW w:w="8500" w:type="dxa"/>
          <w:gridSpan w:val="2"/>
        </w:tcPr>
        <w:p w14:paraId="308DAA48" w14:textId="77777777" w:rsidR="00BD47E4" w:rsidRDefault="00E54246" w:rsidP="002C30DA">
          <w:pPr>
            <w:jc w:val="right"/>
          </w:pPr>
          <w:r>
            <w:t>Original:</w:t>
          </w:r>
        </w:p>
      </w:tc>
      <w:tc>
        <w:tcPr>
          <w:tcW w:w="2382" w:type="dxa"/>
          <w:gridSpan w:val="2"/>
        </w:tcPr>
        <w:p w14:paraId="45CA5D61" w14:textId="77777777" w:rsidR="00BD47E4" w:rsidRDefault="00E54246" w:rsidP="002C30DA">
          <w:pPr>
            <w:jc w:val="right"/>
          </w:pPr>
          <w:bookmarkStart w:id="6" w:name="language"/>
          <w:r>
            <w:t>English</w:t>
          </w:r>
          <w:bookmarkEnd w:id="6"/>
        </w:p>
      </w:tc>
      <w:tc>
        <w:tcPr>
          <w:tcW w:w="390" w:type="dxa"/>
        </w:tcPr>
        <w:p w14:paraId="7F6D282D" w14:textId="77777777" w:rsidR="00BD47E4" w:rsidRDefault="00874CA3" w:rsidP="00387A65">
          <w:pPr>
            <w:jc w:val="right"/>
          </w:pPr>
        </w:p>
      </w:tc>
    </w:tr>
    <w:tr w:rsidR="00FF7CEA" w14:paraId="5D377CCA" w14:textId="77777777" w:rsidTr="002E12EC">
      <w:trPr>
        <w:trHeight w:val="409"/>
        <w:jc w:val="center"/>
      </w:trPr>
      <w:tc>
        <w:tcPr>
          <w:tcW w:w="8500" w:type="dxa"/>
          <w:gridSpan w:val="2"/>
        </w:tcPr>
        <w:p w14:paraId="5CB56A69" w14:textId="77777777" w:rsidR="0097629D" w:rsidRDefault="00E54246" w:rsidP="002C30DA">
          <w:pPr>
            <w:jc w:val="right"/>
          </w:pPr>
          <w:r>
            <w:t>Submitted:</w:t>
          </w:r>
        </w:p>
      </w:tc>
      <w:tc>
        <w:tcPr>
          <w:tcW w:w="2382" w:type="dxa"/>
          <w:gridSpan w:val="2"/>
        </w:tcPr>
        <w:p w14:paraId="36C02D30" w14:textId="77777777" w:rsidR="0097629D" w:rsidRDefault="00E54246" w:rsidP="0097629D">
          <w:pPr>
            <w:jc w:val="right"/>
          </w:pPr>
          <w:bookmarkStart w:id="7" w:name="date_submission"/>
          <w:r>
            <w:t>14 Apr 2023</w:t>
          </w:r>
          <w:bookmarkEnd w:id="7"/>
        </w:p>
      </w:tc>
      <w:tc>
        <w:tcPr>
          <w:tcW w:w="390" w:type="dxa"/>
        </w:tcPr>
        <w:p w14:paraId="05926BA0" w14:textId="77777777" w:rsidR="0097629D" w:rsidRDefault="00874CA3" w:rsidP="00387A65">
          <w:pPr>
            <w:jc w:val="right"/>
          </w:pPr>
        </w:p>
      </w:tc>
    </w:tr>
  </w:tbl>
  <w:p w14:paraId="34BB3CE8" w14:textId="77777777" w:rsidR="00AE5DD0" w:rsidRDefault="00874C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F7CEA" w14:paraId="7CBC3272" w14:textId="77777777">
      <w:trPr>
        <w:trHeight w:val="354"/>
        <w:jc w:val="center"/>
      </w:trPr>
      <w:tc>
        <w:tcPr>
          <w:tcW w:w="9694" w:type="dxa"/>
        </w:tcPr>
        <w:p w14:paraId="13557AC2" w14:textId="288D7468" w:rsidR="00AE5DD0" w:rsidRPr="00BD47E4" w:rsidRDefault="00E54246" w:rsidP="00C26F2D">
          <w:pPr>
            <w:jc w:val="right"/>
            <w:rPr>
              <w:b/>
              <w:sz w:val="32"/>
              <w:szCs w:val="32"/>
            </w:rPr>
          </w:pPr>
          <w:r>
            <w:rPr>
              <w:b/>
              <w:sz w:val="32"/>
              <w:szCs w:val="32"/>
            </w:rPr>
            <w:t>WP</w:t>
          </w:r>
        </w:p>
      </w:tc>
      <w:tc>
        <w:tcPr>
          <w:tcW w:w="1332" w:type="dxa"/>
        </w:tcPr>
        <w:p w14:paraId="51531E3F" w14:textId="37EF92DE" w:rsidR="00AE5DD0" w:rsidRPr="00BD47E4" w:rsidRDefault="00E54246" w:rsidP="00080F4C">
          <w:pPr>
            <w:rPr>
              <w:b/>
              <w:sz w:val="32"/>
              <w:szCs w:val="32"/>
            </w:rPr>
          </w:pPr>
          <w:r>
            <w:rPr>
              <w:b/>
              <w:sz w:val="32"/>
              <w:szCs w:val="32"/>
            </w:rPr>
            <w:t>28</w:t>
          </w:r>
          <w:r w:rsidR="009B67FD">
            <w:rPr>
              <w:b/>
              <w:sz w:val="32"/>
              <w:szCs w:val="32"/>
            </w:rPr>
            <w:t xml:space="preserve"> rev.1</w:t>
          </w:r>
        </w:p>
      </w:tc>
    </w:tr>
  </w:tbl>
  <w:p w14:paraId="5AE83E44" w14:textId="77777777" w:rsidR="00AE5DD0" w:rsidRDefault="00874C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6FC666D0">
      <w:start w:val="1"/>
      <w:numFmt w:val="bullet"/>
      <w:pStyle w:val="ATSBullet1"/>
      <w:lvlText w:val=""/>
      <w:lvlJc w:val="left"/>
      <w:pPr>
        <w:tabs>
          <w:tab w:val="num" w:pos="360"/>
        </w:tabs>
        <w:ind w:left="360" w:hanging="360"/>
      </w:pPr>
      <w:rPr>
        <w:rFonts w:ascii="Symbol" w:hAnsi="Symbol" w:hint="default"/>
        <w:color w:val="auto"/>
      </w:rPr>
    </w:lvl>
    <w:lvl w:ilvl="1" w:tplc="A5E4CCBA" w:tentative="1">
      <w:start w:val="1"/>
      <w:numFmt w:val="bullet"/>
      <w:lvlText w:val="o"/>
      <w:lvlJc w:val="left"/>
      <w:pPr>
        <w:tabs>
          <w:tab w:val="num" w:pos="1440"/>
        </w:tabs>
        <w:ind w:left="1440" w:hanging="360"/>
      </w:pPr>
      <w:rPr>
        <w:rFonts w:ascii="Courier New" w:hAnsi="Courier New" w:cs="Courier New" w:hint="default"/>
      </w:rPr>
    </w:lvl>
    <w:lvl w:ilvl="2" w:tplc="ABCC1AB4" w:tentative="1">
      <w:start w:val="1"/>
      <w:numFmt w:val="bullet"/>
      <w:lvlText w:val=""/>
      <w:lvlJc w:val="left"/>
      <w:pPr>
        <w:tabs>
          <w:tab w:val="num" w:pos="2160"/>
        </w:tabs>
        <w:ind w:left="2160" w:hanging="360"/>
      </w:pPr>
      <w:rPr>
        <w:rFonts w:ascii="Wingdings" w:hAnsi="Wingdings" w:hint="default"/>
      </w:rPr>
    </w:lvl>
    <w:lvl w:ilvl="3" w:tplc="BA189C36" w:tentative="1">
      <w:start w:val="1"/>
      <w:numFmt w:val="bullet"/>
      <w:lvlText w:val=""/>
      <w:lvlJc w:val="left"/>
      <w:pPr>
        <w:tabs>
          <w:tab w:val="num" w:pos="2880"/>
        </w:tabs>
        <w:ind w:left="2880" w:hanging="360"/>
      </w:pPr>
      <w:rPr>
        <w:rFonts w:ascii="Symbol" w:hAnsi="Symbol" w:hint="default"/>
      </w:rPr>
    </w:lvl>
    <w:lvl w:ilvl="4" w:tplc="6C38FE62" w:tentative="1">
      <w:start w:val="1"/>
      <w:numFmt w:val="bullet"/>
      <w:lvlText w:val="o"/>
      <w:lvlJc w:val="left"/>
      <w:pPr>
        <w:tabs>
          <w:tab w:val="num" w:pos="3600"/>
        </w:tabs>
        <w:ind w:left="3600" w:hanging="360"/>
      </w:pPr>
      <w:rPr>
        <w:rFonts w:ascii="Courier New" w:hAnsi="Courier New" w:cs="Courier New" w:hint="default"/>
      </w:rPr>
    </w:lvl>
    <w:lvl w:ilvl="5" w:tplc="AA70F850" w:tentative="1">
      <w:start w:val="1"/>
      <w:numFmt w:val="bullet"/>
      <w:lvlText w:val=""/>
      <w:lvlJc w:val="left"/>
      <w:pPr>
        <w:tabs>
          <w:tab w:val="num" w:pos="4320"/>
        </w:tabs>
        <w:ind w:left="4320" w:hanging="360"/>
      </w:pPr>
      <w:rPr>
        <w:rFonts w:ascii="Wingdings" w:hAnsi="Wingdings" w:hint="default"/>
      </w:rPr>
    </w:lvl>
    <w:lvl w:ilvl="6" w:tplc="A2D4213A" w:tentative="1">
      <w:start w:val="1"/>
      <w:numFmt w:val="bullet"/>
      <w:lvlText w:val=""/>
      <w:lvlJc w:val="left"/>
      <w:pPr>
        <w:tabs>
          <w:tab w:val="num" w:pos="5040"/>
        </w:tabs>
        <w:ind w:left="5040" w:hanging="360"/>
      </w:pPr>
      <w:rPr>
        <w:rFonts w:ascii="Symbol" w:hAnsi="Symbol" w:hint="default"/>
      </w:rPr>
    </w:lvl>
    <w:lvl w:ilvl="7" w:tplc="EE5CD470" w:tentative="1">
      <w:start w:val="1"/>
      <w:numFmt w:val="bullet"/>
      <w:lvlText w:val="o"/>
      <w:lvlJc w:val="left"/>
      <w:pPr>
        <w:tabs>
          <w:tab w:val="num" w:pos="5760"/>
        </w:tabs>
        <w:ind w:left="5760" w:hanging="360"/>
      </w:pPr>
      <w:rPr>
        <w:rFonts w:ascii="Courier New" w:hAnsi="Courier New" w:cs="Courier New" w:hint="default"/>
      </w:rPr>
    </w:lvl>
    <w:lvl w:ilvl="8" w:tplc="4832372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63E0B29"/>
    <w:multiLevelType w:val="hybridMultilevel"/>
    <w:tmpl w:val="AE685B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9D35C15"/>
    <w:multiLevelType w:val="hybridMultilevel"/>
    <w:tmpl w:val="A8A2E45C"/>
    <w:lvl w:ilvl="0" w:tplc="A4E6783C">
      <w:start w:val="1"/>
      <w:numFmt w:val="decimal"/>
      <w:lvlText w:val="%1)"/>
      <w:lvlJc w:val="left"/>
      <w:pPr>
        <w:tabs>
          <w:tab w:val="num" w:pos="340"/>
        </w:tabs>
        <w:ind w:left="340" w:hanging="340"/>
      </w:pPr>
      <w:rPr>
        <w:rFonts w:hint="default"/>
      </w:rPr>
    </w:lvl>
    <w:lvl w:ilvl="1" w:tplc="F1B2F030" w:tentative="1">
      <w:start w:val="1"/>
      <w:numFmt w:val="lowerLetter"/>
      <w:lvlText w:val="%2."/>
      <w:lvlJc w:val="left"/>
      <w:pPr>
        <w:tabs>
          <w:tab w:val="num" w:pos="1440"/>
        </w:tabs>
        <w:ind w:left="1440" w:hanging="360"/>
      </w:pPr>
    </w:lvl>
    <w:lvl w:ilvl="2" w:tplc="1C88D3A4" w:tentative="1">
      <w:start w:val="1"/>
      <w:numFmt w:val="lowerRoman"/>
      <w:lvlText w:val="%3."/>
      <w:lvlJc w:val="right"/>
      <w:pPr>
        <w:tabs>
          <w:tab w:val="num" w:pos="2160"/>
        </w:tabs>
        <w:ind w:left="2160" w:hanging="180"/>
      </w:pPr>
    </w:lvl>
    <w:lvl w:ilvl="3" w:tplc="EDDEE962" w:tentative="1">
      <w:start w:val="1"/>
      <w:numFmt w:val="decimal"/>
      <w:lvlText w:val="%4."/>
      <w:lvlJc w:val="left"/>
      <w:pPr>
        <w:tabs>
          <w:tab w:val="num" w:pos="2880"/>
        </w:tabs>
        <w:ind w:left="2880" w:hanging="360"/>
      </w:pPr>
    </w:lvl>
    <w:lvl w:ilvl="4" w:tplc="FAE4B5B4" w:tentative="1">
      <w:start w:val="1"/>
      <w:numFmt w:val="lowerLetter"/>
      <w:lvlText w:val="%5."/>
      <w:lvlJc w:val="left"/>
      <w:pPr>
        <w:tabs>
          <w:tab w:val="num" w:pos="3600"/>
        </w:tabs>
        <w:ind w:left="3600" w:hanging="360"/>
      </w:pPr>
    </w:lvl>
    <w:lvl w:ilvl="5" w:tplc="4712D874" w:tentative="1">
      <w:start w:val="1"/>
      <w:numFmt w:val="lowerRoman"/>
      <w:lvlText w:val="%6."/>
      <w:lvlJc w:val="right"/>
      <w:pPr>
        <w:tabs>
          <w:tab w:val="num" w:pos="4320"/>
        </w:tabs>
        <w:ind w:left="4320" w:hanging="180"/>
      </w:pPr>
    </w:lvl>
    <w:lvl w:ilvl="6" w:tplc="61243A38" w:tentative="1">
      <w:start w:val="1"/>
      <w:numFmt w:val="decimal"/>
      <w:lvlText w:val="%7."/>
      <w:lvlJc w:val="left"/>
      <w:pPr>
        <w:tabs>
          <w:tab w:val="num" w:pos="5040"/>
        </w:tabs>
        <w:ind w:left="5040" w:hanging="360"/>
      </w:pPr>
    </w:lvl>
    <w:lvl w:ilvl="7" w:tplc="0A829EA0" w:tentative="1">
      <w:start w:val="1"/>
      <w:numFmt w:val="lowerLetter"/>
      <w:lvlText w:val="%8."/>
      <w:lvlJc w:val="left"/>
      <w:pPr>
        <w:tabs>
          <w:tab w:val="num" w:pos="5760"/>
        </w:tabs>
        <w:ind w:left="5760" w:hanging="360"/>
      </w:pPr>
    </w:lvl>
    <w:lvl w:ilvl="8" w:tplc="0DEEC200"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F20C7DBE">
      <w:start w:val="1"/>
      <w:numFmt w:val="decimal"/>
      <w:lvlText w:val="%1."/>
      <w:lvlJc w:val="left"/>
      <w:pPr>
        <w:tabs>
          <w:tab w:val="num" w:pos="1057"/>
        </w:tabs>
        <w:ind w:left="1057" w:hanging="360"/>
      </w:pPr>
      <w:rPr>
        <w:rFonts w:hint="default"/>
      </w:rPr>
    </w:lvl>
    <w:lvl w:ilvl="1" w:tplc="56C40A92" w:tentative="1">
      <w:start w:val="1"/>
      <w:numFmt w:val="lowerLetter"/>
      <w:lvlText w:val="%2."/>
      <w:lvlJc w:val="left"/>
      <w:pPr>
        <w:tabs>
          <w:tab w:val="num" w:pos="2137"/>
        </w:tabs>
        <w:ind w:left="2137" w:hanging="360"/>
      </w:pPr>
    </w:lvl>
    <w:lvl w:ilvl="2" w:tplc="D3282568" w:tentative="1">
      <w:start w:val="1"/>
      <w:numFmt w:val="lowerRoman"/>
      <w:lvlText w:val="%3."/>
      <w:lvlJc w:val="right"/>
      <w:pPr>
        <w:tabs>
          <w:tab w:val="num" w:pos="2857"/>
        </w:tabs>
        <w:ind w:left="2857" w:hanging="180"/>
      </w:pPr>
    </w:lvl>
    <w:lvl w:ilvl="3" w:tplc="943EB3C4" w:tentative="1">
      <w:start w:val="1"/>
      <w:numFmt w:val="decimal"/>
      <w:lvlText w:val="%4."/>
      <w:lvlJc w:val="left"/>
      <w:pPr>
        <w:tabs>
          <w:tab w:val="num" w:pos="3577"/>
        </w:tabs>
        <w:ind w:left="3577" w:hanging="360"/>
      </w:pPr>
    </w:lvl>
    <w:lvl w:ilvl="4" w:tplc="11EA7A76" w:tentative="1">
      <w:start w:val="1"/>
      <w:numFmt w:val="lowerLetter"/>
      <w:lvlText w:val="%5."/>
      <w:lvlJc w:val="left"/>
      <w:pPr>
        <w:tabs>
          <w:tab w:val="num" w:pos="4297"/>
        </w:tabs>
        <w:ind w:left="4297" w:hanging="360"/>
      </w:pPr>
    </w:lvl>
    <w:lvl w:ilvl="5" w:tplc="63F41D00" w:tentative="1">
      <w:start w:val="1"/>
      <w:numFmt w:val="lowerRoman"/>
      <w:lvlText w:val="%6."/>
      <w:lvlJc w:val="right"/>
      <w:pPr>
        <w:tabs>
          <w:tab w:val="num" w:pos="5017"/>
        </w:tabs>
        <w:ind w:left="5017" w:hanging="180"/>
      </w:pPr>
    </w:lvl>
    <w:lvl w:ilvl="6" w:tplc="CD98B798" w:tentative="1">
      <w:start w:val="1"/>
      <w:numFmt w:val="decimal"/>
      <w:lvlText w:val="%7."/>
      <w:lvlJc w:val="left"/>
      <w:pPr>
        <w:tabs>
          <w:tab w:val="num" w:pos="5737"/>
        </w:tabs>
        <w:ind w:left="5737" w:hanging="360"/>
      </w:pPr>
    </w:lvl>
    <w:lvl w:ilvl="7" w:tplc="D250DEC8" w:tentative="1">
      <w:start w:val="1"/>
      <w:numFmt w:val="lowerLetter"/>
      <w:lvlText w:val="%8."/>
      <w:lvlJc w:val="left"/>
      <w:pPr>
        <w:tabs>
          <w:tab w:val="num" w:pos="6457"/>
        </w:tabs>
        <w:ind w:left="6457" w:hanging="360"/>
      </w:pPr>
    </w:lvl>
    <w:lvl w:ilvl="8" w:tplc="2F0AE710"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4AC04020">
      <w:start w:val="1"/>
      <w:numFmt w:val="decimal"/>
      <w:pStyle w:val="ATSNumber1"/>
      <w:lvlText w:val="%1)"/>
      <w:lvlJc w:val="left"/>
      <w:pPr>
        <w:tabs>
          <w:tab w:val="num" w:pos="720"/>
        </w:tabs>
        <w:ind w:left="720" w:hanging="360"/>
      </w:pPr>
    </w:lvl>
    <w:lvl w:ilvl="1" w:tplc="6DAA9BA8" w:tentative="1">
      <w:start w:val="1"/>
      <w:numFmt w:val="lowerLetter"/>
      <w:lvlText w:val="%2."/>
      <w:lvlJc w:val="left"/>
      <w:pPr>
        <w:tabs>
          <w:tab w:val="num" w:pos="1440"/>
        </w:tabs>
        <w:ind w:left="1440" w:hanging="360"/>
      </w:pPr>
    </w:lvl>
    <w:lvl w:ilvl="2" w:tplc="08A4B6EC" w:tentative="1">
      <w:start w:val="1"/>
      <w:numFmt w:val="lowerRoman"/>
      <w:lvlText w:val="%3."/>
      <w:lvlJc w:val="right"/>
      <w:pPr>
        <w:tabs>
          <w:tab w:val="num" w:pos="2160"/>
        </w:tabs>
        <w:ind w:left="2160" w:hanging="180"/>
      </w:pPr>
    </w:lvl>
    <w:lvl w:ilvl="3" w:tplc="323C9DB0" w:tentative="1">
      <w:start w:val="1"/>
      <w:numFmt w:val="decimal"/>
      <w:lvlText w:val="%4."/>
      <w:lvlJc w:val="left"/>
      <w:pPr>
        <w:tabs>
          <w:tab w:val="num" w:pos="2880"/>
        </w:tabs>
        <w:ind w:left="2880" w:hanging="360"/>
      </w:pPr>
    </w:lvl>
    <w:lvl w:ilvl="4" w:tplc="044AEDBC" w:tentative="1">
      <w:start w:val="1"/>
      <w:numFmt w:val="lowerLetter"/>
      <w:lvlText w:val="%5."/>
      <w:lvlJc w:val="left"/>
      <w:pPr>
        <w:tabs>
          <w:tab w:val="num" w:pos="3600"/>
        </w:tabs>
        <w:ind w:left="3600" w:hanging="360"/>
      </w:pPr>
    </w:lvl>
    <w:lvl w:ilvl="5" w:tplc="E190FF58" w:tentative="1">
      <w:start w:val="1"/>
      <w:numFmt w:val="lowerRoman"/>
      <w:lvlText w:val="%6."/>
      <w:lvlJc w:val="right"/>
      <w:pPr>
        <w:tabs>
          <w:tab w:val="num" w:pos="4320"/>
        </w:tabs>
        <w:ind w:left="4320" w:hanging="180"/>
      </w:pPr>
    </w:lvl>
    <w:lvl w:ilvl="6" w:tplc="7F28B3E2" w:tentative="1">
      <w:start w:val="1"/>
      <w:numFmt w:val="decimal"/>
      <w:lvlText w:val="%7."/>
      <w:lvlJc w:val="left"/>
      <w:pPr>
        <w:tabs>
          <w:tab w:val="num" w:pos="5040"/>
        </w:tabs>
        <w:ind w:left="5040" w:hanging="360"/>
      </w:pPr>
    </w:lvl>
    <w:lvl w:ilvl="7" w:tplc="9760D528" w:tentative="1">
      <w:start w:val="1"/>
      <w:numFmt w:val="lowerLetter"/>
      <w:lvlText w:val="%8."/>
      <w:lvlJc w:val="left"/>
      <w:pPr>
        <w:tabs>
          <w:tab w:val="num" w:pos="5760"/>
        </w:tabs>
        <w:ind w:left="5760" w:hanging="360"/>
      </w:pPr>
    </w:lvl>
    <w:lvl w:ilvl="8" w:tplc="E8A49ED0"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D57A263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0969664" w:tentative="1">
      <w:start w:val="1"/>
      <w:numFmt w:val="bullet"/>
      <w:lvlText w:val="o"/>
      <w:lvlJc w:val="left"/>
      <w:pPr>
        <w:tabs>
          <w:tab w:val="num" w:pos="2517"/>
        </w:tabs>
        <w:ind w:left="2517" w:hanging="360"/>
      </w:pPr>
      <w:rPr>
        <w:rFonts w:ascii="Courier New" w:hAnsi="Courier New" w:cs="Courier New" w:hint="default"/>
      </w:rPr>
    </w:lvl>
    <w:lvl w:ilvl="2" w:tplc="06D0A038" w:tentative="1">
      <w:start w:val="1"/>
      <w:numFmt w:val="bullet"/>
      <w:lvlText w:val=""/>
      <w:lvlJc w:val="left"/>
      <w:pPr>
        <w:tabs>
          <w:tab w:val="num" w:pos="3237"/>
        </w:tabs>
        <w:ind w:left="3237" w:hanging="360"/>
      </w:pPr>
      <w:rPr>
        <w:rFonts w:ascii="Wingdings" w:hAnsi="Wingdings" w:hint="default"/>
      </w:rPr>
    </w:lvl>
    <w:lvl w:ilvl="3" w:tplc="1D0A65EC" w:tentative="1">
      <w:start w:val="1"/>
      <w:numFmt w:val="bullet"/>
      <w:lvlText w:val=""/>
      <w:lvlJc w:val="left"/>
      <w:pPr>
        <w:tabs>
          <w:tab w:val="num" w:pos="3957"/>
        </w:tabs>
        <w:ind w:left="3957" w:hanging="360"/>
      </w:pPr>
      <w:rPr>
        <w:rFonts w:ascii="Symbol" w:hAnsi="Symbol" w:hint="default"/>
      </w:rPr>
    </w:lvl>
    <w:lvl w:ilvl="4" w:tplc="81DA032A" w:tentative="1">
      <w:start w:val="1"/>
      <w:numFmt w:val="bullet"/>
      <w:lvlText w:val="o"/>
      <w:lvlJc w:val="left"/>
      <w:pPr>
        <w:tabs>
          <w:tab w:val="num" w:pos="4677"/>
        </w:tabs>
        <w:ind w:left="4677" w:hanging="360"/>
      </w:pPr>
      <w:rPr>
        <w:rFonts w:ascii="Courier New" w:hAnsi="Courier New" w:cs="Courier New" w:hint="default"/>
      </w:rPr>
    </w:lvl>
    <w:lvl w:ilvl="5" w:tplc="DE90DAA6" w:tentative="1">
      <w:start w:val="1"/>
      <w:numFmt w:val="bullet"/>
      <w:lvlText w:val=""/>
      <w:lvlJc w:val="left"/>
      <w:pPr>
        <w:tabs>
          <w:tab w:val="num" w:pos="5397"/>
        </w:tabs>
        <w:ind w:left="5397" w:hanging="360"/>
      </w:pPr>
      <w:rPr>
        <w:rFonts w:ascii="Wingdings" w:hAnsi="Wingdings" w:hint="default"/>
      </w:rPr>
    </w:lvl>
    <w:lvl w:ilvl="6" w:tplc="99446F40" w:tentative="1">
      <w:start w:val="1"/>
      <w:numFmt w:val="bullet"/>
      <w:lvlText w:val=""/>
      <w:lvlJc w:val="left"/>
      <w:pPr>
        <w:tabs>
          <w:tab w:val="num" w:pos="6117"/>
        </w:tabs>
        <w:ind w:left="6117" w:hanging="360"/>
      </w:pPr>
      <w:rPr>
        <w:rFonts w:ascii="Symbol" w:hAnsi="Symbol" w:hint="default"/>
      </w:rPr>
    </w:lvl>
    <w:lvl w:ilvl="7" w:tplc="6A5854AA" w:tentative="1">
      <w:start w:val="1"/>
      <w:numFmt w:val="bullet"/>
      <w:lvlText w:val="o"/>
      <w:lvlJc w:val="left"/>
      <w:pPr>
        <w:tabs>
          <w:tab w:val="num" w:pos="6837"/>
        </w:tabs>
        <w:ind w:left="6837" w:hanging="360"/>
      </w:pPr>
      <w:rPr>
        <w:rFonts w:ascii="Courier New" w:hAnsi="Courier New" w:cs="Courier New" w:hint="default"/>
      </w:rPr>
    </w:lvl>
    <w:lvl w:ilvl="8" w:tplc="52087426"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734474B0">
      <w:start w:val="1"/>
      <w:numFmt w:val="decimal"/>
      <w:pStyle w:val="ATSNumber2"/>
      <w:lvlText w:val="%1."/>
      <w:lvlJc w:val="left"/>
      <w:pPr>
        <w:tabs>
          <w:tab w:val="num" w:pos="720"/>
        </w:tabs>
        <w:ind w:left="720" w:hanging="360"/>
      </w:pPr>
      <w:rPr>
        <w:rFonts w:hint="default"/>
      </w:rPr>
    </w:lvl>
    <w:lvl w:ilvl="1" w:tplc="F5C2AE5E" w:tentative="1">
      <w:start w:val="1"/>
      <w:numFmt w:val="lowerLetter"/>
      <w:lvlText w:val="%2."/>
      <w:lvlJc w:val="left"/>
      <w:pPr>
        <w:tabs>
          <w:tab w:val="num" w:pos="1440"/>
        </w:tabs>
        <w:ind w:left="1440" w:hanging="360"/>
      </w:pPr>
    </w:lvl>
    <w:lvl w:ilvl="2" w:tplc="F26CD770" w:tentative="1">
      <w:start w:val="1"/>
      <w:numFmt w:val="lowerRoman"/>
      <w:lvlText w:val="%3."/>
      <w:lvlJc w:val="right"/>
      <w:pPr>
        <w:tabs>
          <w:tab w:val="num" w:pos="2160"/>
        </w:tabs>
        <w:ind w:left="2160" w:hanging="180"/>
      </w:pPr>
    </w:lvl>
    <w:lvl w:ilvl="3" w:tplc="63763D1A" w:tentative="1">
      <w:start w:val="1"/>
      <w:numFmt w:val="decimal"/>
      <w:lvlText w:val="%4."/>
      <w:lvlJc w:val="left"/>
      <w:pPr>
        <w:tabs>
          <w:tab w:val="num" w:pos="2880"/>
        </w:tabs>
        <w:ind w:left="2880" w:hanging="360"/>
      </w:pPr>
    </w:lvl>
    <w:lvl w:ilvl="4" w:tplc="5AF629E0" w:tentative="1">
      <w:start w:val="1"/>
      <w:numFmt w:val="lowerLetter"/>
      <w:lvlText w:val="%5."/>
      <w:lvlJc w:val="left"/>
      <w:pPr>
        <w:tabs>
          <w:tab w:val="num" w:pos="3600"/>
        </w:tabs>
        <w:ind w:left="3600" w:hanging="360"/>
      </w:pPr>
    </w:lvl>
    <w:lvl w:ilvl="5" w:tplc="DA64CB14" w:tentative="1">
      <w:start w:val="1"/>
      <w:numFmt w:val="lowerRoman"/>
      <w:lvlText w:val="%6."/>
      <w:lvlJc w:val="right"/>
      <w:pPr>
        <w:tabs>
          <w:tab w:val="num" w:pos="4320"/>
        </w:tabs>
        <w:ind w:left="4320" w:hanging="180"/>
      </w:pPr>
    </w:lvl>
    <w:lvl w:ilvl="6" w:tplc="67C20CF2" w:tentative="1">
      <w:start w:val="1"/>
      <w:numFmt w:val="decimal"/>
      <w:lvlText w:val="%7."/>
      <w:lvlJc w:val="left"/>
      <w:pPr>
        <w:tabs>
          <w:tab w:val="num" w:pos="5040"/>
        </w:tabs>
        <w:ind w:left="5040" w:hanging="360"/>
      </w:pPr>
    </w:lvl>
    <w:lvl w:ilvl="7" w:tplc="E1A411FC" w:tentative="1">
      <w:start w:val="1"/>
      <w:numFmt w:val="lowerLetter"/>
      <w:lvlText w:val="%8."/>
      <w:lvlJc w:val="left"/>
      <w:pPr>
        <w:tabs>
          <w:tab w:val="num" w:pos="5760"/>
        </w:tabs>
        <w:ind w:left="5760" w:hanging="360"/>
      </w:pPr>
    </w:lvl>
    <w:lvl w:ilvl="8" w:tplc="4906C706" w:tentative="1">
      <w:start w:val="1"/>
      <w:numFmt w:val="lowerRoman"/>
      <w:lvlText w:val="%9."/>
      <w:lvlJc w:val="right"/>
      <w:pPr>
        <w:tabs>
          <w:tab w:val="num" w:pos="6480"/>
        </w:tabs>
        <w:ind w:left="6480" w:hanging="180"/>
      </w:pPr>
    </w:lvl>
  </w:abstractNum>
  <w:num w:numId="1" w16cid:durableId="633872871">
    <w:abstractNumId w:val="9"/>
  </w:num>
  <w:num w:numId="2" w16cid:durableId="1520852536">
    <w:abstractNumId w:val="7"/>
  </w:num>
  <w:num w:numId="3" w16cid:durableId="1731539709">
    <w:abstractNumId w:val="6"/>
  </w:num>
  <w:num w:numId="4" w16cid:durableId="1125469382">
    <w:abstractNumId w:val="5"/>
  </w:num>
  <w:num w:numId="5" w16cid:durableId="1452506628">
    <w:abstractNumId w:val="4"/>
  </w:num>
  <w:num w:numId="6" w16cid:durableId="2064672377">
    <w:abstractNumId w:val="8"/>
  </w:num>
  <w:num w:numId="7" w16cid:durableId="1976636249">
    <w:abstractNumId w:val="3"/>
  </w:num>
  <w:num w:numId="8" w16cid:durableId="476269362">
    <w:abstractNumId w:val="2"/>
  </w:num>
  <w:num w:numId="9" w16cid:durableId="164133411">
    <w:abstractNumId w:val="1"/>
  </w:num>
  <w:num w:numId="10" w16cid:durableId="364214903">
    <w:abstractNumId w:val="0"/>
  </w:num>
  <w:num w:numId="11" w16cid:durableId="2077777944">
    <w:abstractNumId w:val="11"/>
  </w:num>
  <w:num w:numId="12" w16cid:durableId="202443984">
    <w:abstractNumId w:val="16"/>
  </w:num>
  <w:num w:numId="13" w16cid:durableId="787354159">
    <w:abstractNumId w:val="15"/>
  </w:num>
  <w:num w:numId="14" w16cid:durableId="1918398759">
    <w:abstractNumId w:val="13"/>
  </w:num>
  <w:num w:numId="15" w16cid:durableId="438843048">
    <w:abstractNumId w:val="14"/>
  </w:num>
  <w:num w:numId="16" w16cid:durableId="1968847972">
    <w:abstractNumId w:val="10"/>
  </w:num>
  <w:num w:numId="17" w16cid:durableId="1814366693">
    <w:abstractNumId w:val="11"/>
  </w:num>
  <w:num w:numId="18" w16cid:durableId="2001227318">
    <w:abstractNumId w:val="16"/>
  </w:num>
  <w:num w:numId="19" w16cid:durableId="1468159009">
    <w:abstractNumId w:val="15"/>
  </w:num>
  <w:num w:numId="20" w16cid:durableId="1586112260">
    <w:abstractNumId w:val="17"/>
  </w:num>
  <w:num w:numId="21" w16cid:durableId="17717301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EA"/>
    <w:rsid w:val="003E7831"/>
    <w:rsid w:val="007C0116"/>
    <w:rsid w:val="00874CA3"/>
    <w:rsid w:val="009B67FD"/>
    <w:rsid w:val="00E54246"/>
    <w:rsid w:val="00FF7C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E3FCF8"/>
  <w15:chartTrackingRefBased/>
  <w15:docId w15:val="{77202A9E-C3DA-4551-9552-B167616F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E54246"/>
    <w:rPr>
      <w:sz w:val="22"/>
      <w:szCs w:val="24"/>
      <w:lang w:val="en-GB" w:eastAsia="en-GB"/>
    </w:rPr>
  </w:style>
  <w:style w:type="paragraph" w:styleId="Revisin">
    <w:name w:val="Revision"/>
    <w:hidden/>
    <w:uiPriority w:val="99"/>
    <w:semiHidden/>
    <w:rsid w:val="009B67FD"/>
    <w:rPr>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ra.gs/resources/ib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1403</Words>
  <Characters>7183</Characters>
  <Application>Microsoft Office Word</Application>
  <DocSecurity>0</DocSecurity>
  <Lines>59</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2023-05-21T21:26:00Z</dcterms:created>
  <dcterms:modified xsi:type="dcterms:W3CDTF">2023-05-23T14:32:00Z</dcterms:modified>
</cp:coreProperties>
</file>