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094A" w14:textId="77777777" w:rsidR="00C26F2D" w:rsidRPr="00BF077B" w:rsidRDefault="00254141" w:rsidP="00BF077B">
      <w:pPr>
        <w:pStyle w:val="ATSNormal"/>
        <w:rPr>
          <w:rStyle w:val="Ttulodellibro"/>
        </w:rPr>
      </w:pPr>
    </w:p>
    <w:p w14:paraId="11763247" w14:textId="77777777" w:rsidR="002F0A13" w:rsidRDefault="00254141" w:rsidP="004B4A60">
      <w:pPr>
        <w:rPr>
          <w:b/>
          <w:u w:val="single"/>
          <w:lang w:val="es-ES_tradnl"/>
        </w:rPr>
      </w:pPr>
    </w:p>
    <w:p w14:paraId="7E7391D3" w14:textId="77777777" w:rsidR="002F0A13" w:rsidRDefault="00254141" w:rsidP="004B4A60">
      <w:pPr>
        <w:rPr>
          <w:b/>
          <w:u w:val="single"/>
          <w:lang w:val="es-ES_tradnl"/>
        </w:rPr>
      </w:pPr>
    </w:p>
    <w:p w14:paraId="32AE4929" w14:textId="77777777" w:rsidR="002F0A13" w:rsidRDefault="00254141" w:rsidP="004B4A60">
      <w:pPr>
        <w:rPr>
          <w:b/>
          <w:u w:val="single"/>
          <w:lang w:val="es-ES_tradnl"/>
        </w:rPr>
      </w:pPr>
    </w:p>
    <w:p w14:paraId="633966F6" w14:textId="77777777" w:rsidR="002F0A13" w:rsidRDefault="00254141" w:rsidP="004B4A60">
      <w:pPr>
        <w:rPr>
          <w:b/>
          <w:u w:val="single"/>
          <w:lang w:val="es-ES_tradnl"/>
        </w:rPr>
      </w:pPr>
    </w:p>
    <w:p w14:paraId="2C2FC6A2" w14:textId="77777777" w:rsidR="00C26F2D" w:rsidRDefault="00254141" w:rsidP="004B4A60">
      <w:pPr>
        <w:rPr>
          <w:b/>
          <w:u w:val="single"/>
          <w:lang w:val="es-ES_tradnl"/>
        </w:rPr>
      </w:pPr>
    </w:p>
    <w:p w14:paraId="3FE3F178" w14:textId="77777777" w:rsidR="004B4A60" w:rsidRPr="0057246E" w:rsidRDefault="00254141" w:rsidP="001B789F">
      <w:pPr>
        <w:pStyle w:val="ATSTitle"/>
      </w:pPr>
      <w:bookmarkStart w:id="0" w:name="name"/>
      <w:r>
        <w:t>Revised Management Plan for Antarctic Specially Protected Area No. 149 Cape Shirreff and San Telmo Island, Livingston Island, South Shetland Islands</w:t>
      </w:r>
      <w:bookmarkEnd w:id="0"/>
    </w:p>
    <w:p w14:paraId="26B36069" w14:textId="77777777" w:rsidR="004B4A60" w:rsidRPr="0057246E" w:rsidRDefault="00254141" w:rsidP="00F75424">
      <w:pPr>
        <w:jc w:val="center"/>
      </w:pPr>
    </w:p>
    <w:p w14:paraId="4A86717D" w14:textId="77777777" w:rsidR="004B4A60" w:rsidRPr="002F0A13" w:rsidRDefault="00254141" w:rsidP="002F0A13"/>
    <w:p w14:paraId="22BC9DFB" w14:textId="77777777" w:rsidR="004B4A60" w:rsidRDefault="00254141" w:rsidP="00F75424">
      <w:pPr>
        <w:jc w:val="center"/>
      </w:pPr>
      <w:bookmarkStart w:id="1" w:name="memo"/>
      <w:bookmarkEnd w:id="1"/>
    </w:p>
    <w:p w14:paraId="39056A4B" w14:textId="77777777" w:rsidR="0097629D" w:rsidRDefault="00254141" w:rsidP="00F75424">
      <w:pPr>
        <w:jc w:val="center"/>
      </w:pPr>
    </w:p>
    <w:p w14:paraId="1FCB9D5C" w14:textId="77777777" w:rsidR="0097629D" w:rsidRDefault="00254141" w:rsidP="00F75424">
      <w:pPr>
        <w:jc w:val="center"/>
      </w:pPr>
    </w:p>
    <w:p w14:paraId="61608B4A" w14:textId="77777777" w:rsidR="0097629D" w:rsidRDefault="00254141" w:rsidP="00F75424">
      <w:pPr>
        <w:jc w:val="center"/>
      </w:pPr>
    </w:p>
    <w:p w14:paraId="4FCC90EA" w14:textId="77777777" w:rsidR="0097629D" w:rsidRPr="00C26F2D" w:rsidRDefault="00254141" w:rsidP="00F75424">
      <w:pPr>
        <w:jc w:val="center"/>
      </w:pPr>
    </w:p>
    <w:p w14:paraId="75E04496" w14:textId="77777777" w:rsidR="004B4A60" w:rsidRPr="0057246E" w:rsidRDefault="00254141" w:rsidP="004B4A60"/>
    <w:p w14:paraId="37B417B1" w14:textId="77777777" w:rsidR="00C26F2D" w:rsidRDefault="0025414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90"/>
        <w:gridCol w:w="3505"/>
      </w:tblGrid>
      <w:tr w:rsidR="00254141" w:rsidRPr="00323C65" w14:paraId="0C2BE1EC" w14:textId="77777777" w:rsidTr="00EC7CD7">
        <w:trPr>
          <w:cantSplit/>
          <w:trHeight w:val="434"/>
        </w:trPr>
        <w:tc>
          <w:tcPr>
            <w:tcW w:w="9855" w:type="dxa"/>
            <w:gridSpan w:val="2"/>
          </w:tcPr>
          <w:p w14:paraId="6A063BAA" w14:textId="77777777" w:rsidR="00254141" w:rsidRPr="004A1897" w:rsidRDefault="00254141" w:rsidP="00EC7CD7">
            <w:pPr>
              <w:pStyle w:val="ATSTitle"/>
              <w:rPr>
                <w:rFonts w:ascii="Times New Roman" w:hAnsi="Times New Roman"/>
                <w:sz w:val="20"/>
                <w:szCs w:val="20"/>
              </w:rPr>
            </w:pPr>
            <w:r>
              <w:rPr>
                <w:rFonts w:ascii="Times New Roman" w:hAnsi="Times New Roman"/>
                <w:snapToGrid w:val="0"/>
                <w:sz w:val="20"/>
                <w:szCs w:val="20"/>
              </w:rPr>
              <w:lastRenderedPageBreak/>
              <w:t xml:space="preserve">ASPA No. </w:t>
            </w:r>
            <w:r w:rsidRPr="00036749">
              <w:rPr>
                <w:rFonts w:ascii="Times New Roman" w:hAnsi="Times New Roman"/>
                <w:snapToGrid w:val="0"/>
                <w:sz w:val="20"/>
                <w:szCs w:val="20"/>
              </w:rPr>
              <w:t xml:space="preserve">149 Cape Shirreff and San </w:t>
            </w:r>
            <w:proofErr w:type="spellStart"/>
            <w:r w:rsidRPr="00036749">
              <w:rPr>
                <w:rFonts w:ascii="Times New Roman" w:hAnsi="Times New Roman"/>
                <w:snapToGrid w:val="0"/>
                <w:sz w:val="20"/>
                <w:szCs w:val="20"/>
              </w:rPr>
              <w:t>Telmo</w:t>
            </w:r>
            <w:proofErr w:type="spellEnd"/>
            <w:r w:rsidRPr="00036749">
              <w:rPr>
                <w:rFonts w:ascii="Times New Roman" w:hAnsi="Times New Roman"/>
                <w:snapToGrid w:val="0"/>
                <w:sz w:val="20"/>
                <w:szCs w:val="20"/>
              </w:rPr>
              <w:t xml:space="preserve"> Island, Livingston Island, South Shetland Islands</w:t>
            </w:r>
          </w:p>
        </w:tc>
      </w:tr>
      <w:tr w:rsidR="00254141" w:rsidRPr="00323C65" w14:paraId="35C58559" w14:textId="77777777" w:rsidTr="00EC7CD7">
        <w:tc>
          <w:tcPr>
            <w:tcW w:w="5875" w:type="dxa"/>
          </w:tcPr>
          <w:p w14:paraId="0A86C333" w14:textId="77777777" w:rsidR="00254141" w:rsidRPr="004A1897" w:rsidRDefault="00254141" w:rsidP="00EC7CD7">
            <w:pPr>
              <w:pStyle w:val="ATSNormal"/>
              <w:rPr>
                <w:b/>
                <w:snapToGrid w:val="0"/>
                <w:sz w:val="20"/>
                <w:szCs w:val="20"/>
              </w:rPr>
            </w:pPr>
            <w:r w:rsidRPr="004A1897">
              <w:rPr>
                <w:b/>
                <w:snapToGrid w:val="0"/>
                <w:sz w:val="20"/>
                <w:szCs w:val="20"/>
              </w:rPr>
              <w:t>1. Is a new ASPA proposed?</w:t>
            </w:r>
          </w:p>
        </w:tc>
        <w:tc>
          <w:tcPr>
            <w:tcW w:w="3980" w:type="dxa"/>
          </w:tcPr>
          <w:p w14:paraId="6EFB324C" w14:textId="77777777" w:rsidR="00254141" w:rsidRPr="00242511" w:rsidRDefault="00254141" w:rsidP="00EC7CD7">
            <w:pPr>
              <w:pStyle w:val="ATSNormal"/>
              <w:rPr>
                <w:snapToGrid w:val="0"/>
                <w:sz w:val="20"/>
                <w:szCs w:val="20"/>
              </w:rPr>
            </w:pPr>
            <w:r w:rsidRPr="00242511">
              <w:rPr>
                <w:snapToGrid w:val="0"/>
                <w:sz w:val="20"/>
                <w:szCs w:val="20"/>
              </w:rPr>
              <w:t>No</w:t>
            </w:r>
          </w:p>
        </w:tc>
      </w:tr>
      <w:tr w:rsidR="00254141" w:rsidRPr="00323C65" w14:paraId="4420EDAE" w14:textId="77777777" w:rsidTr="00EC7CD7">
        <w:tc>
          <w:tcPr>
            <w:tcW w:w="5875" w:type="dxa"/>
          </w:tcPr>
          <w:p w14:paraId="759964FF" w14:textId="77777777" w:rsidR="00254141" w:rsidRPr="004A1897" w:rsidRDefault="00254141" w:rsidP="00EC7CD7">
            <w:pPr>
              <w:pStyle w:val="ATSNormal"/>
              <w:rPr>
                <w:b/>
                <w:snapToGrid w:val="0"/>
                <w:sz w:val="20"/>
                <w:szCs w:val="20"/>
              </w:rPr>
            </w:pPr>
            <w:r w:rsidRPr="004A1897">
              <w:rPr>
                <w:b/>
                <w:snapToGrid w:val="0"/>
                <w:sz w:val="20"/>
                <w:szCs w:val="20"/>
              </w:rPr>
              <w:t>2. Is a new ASMA proposed?</w:t>
            </w:r>
          </w:p>
        </w:tc>
        <w:tc>
          <w:tcPr>
            <w:tcW w:w="3980" w:type="dxa"/>
          </w:tcPr>
          <w:p w14:paraId="18C47749" w14:textId="77777777" w:rsidR="00254141" w:rsidRPr="00242511" w:rsidRDefault="00254141" w:rsidP="00EC7CD7">
            <w:pPr>
              <w:pStyle w:val="ATSNormal"/>
              <w:rPr>
                <w:snapToGrid w:val="0"/>
                <w:sz w:val="20"/>
                <w:szCs w:val="20"/>
              </w:rPr>
            </w:pPr>
            <w:r w:rsidRPr="00242511">
              <w:rPr>
                <w:snapToGrid w:val="0"/>
                <w:sz w:val="20"/>
                <w:szCs w:val="20"/>
              </w:rPr>
              <w:t>No</w:t>
            </w:r>
          </w:p>
        </w:tc>
      </w:tr>
      <w:tr w:rsidR="00254141" w:rsidRPr="00323C65" w14:paraId="1FA33653" w14:textId="77777777" w:rsidTr="00EC7CD7">
        <w:tc>
          <w:tcPr>
            <w:tcW w:w="5875" w:type="dxa"/>
          </w:tcPr>
          <w:p w14:paraId="3E4B14F6" w14:textId="77777777" w:rsidR="00254141" w:rsidRPr="004A1897" w:rsidRDefault="00254141" w:rsidP="00EC7CD7">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616FF8A8" w14:textId="77777777" w:rsidR="00254141" w:rsidRPr="00242511" w:rsidRDefault="00254141" w:rsidP="00EC7CD7">
            <w:pPr>
              <w:pStyle w:val="ATSNormal"/>
              <w:rPr>
                <w:snapToGrid w:val="0"/>
                <w:sz w:val="20"/>
                <w:szCs w:val="20"/>
              </w:rPr>
            </w:pPr>
            <w:r w:rsidRPr="00242511">
              <w:rPr>
                <w:snapToGrid w:val="0"/>
                <w:sz w:val="20"/>
                <w:szCs w:val="20"/>
              </w:rPr>
              <w:t>Yes</w:t>
            </w:r>
          </w:p>
        </w:tc>
      </w:tr>
      <w:tr w:rsidR="00254141" w:rsidRPr="00323C65" w14:paraId="52961D6C" w14:textId="77777777" w:rsidTr="00EC7CD7">
        <w:tc>
          <w:tcPr>
            <w:tcW w:w="5875" w:type="dxa"/>
          </w:tcPr>
          <w:p w14:paraId="5367DA34" w14:textId="77777777" w:rsidR="00254141" w:rsidRPr="004A1897" w:rsidRDefault="00254141" w:rsidP="00EC7CD7">
            <w:pPr>
              <w:pStyle w:val="ATSNormal"/>
              <w:jc w:val="center"/>
              <w:rPr>
                <w:i/>
                <w:sz w:val="20"/>
                <w:szCs w:val="20"/>
              </w:rPr>
            </w:pPr>
            <w:r w:rsidRPr="004A1897">
              <w:rPr>
                <w:i/>
                <w:sz w:val="20"/>
                <w:szCs w:val="20"/>
              </w:rPr>
              <w:t>First designation:</w:t>
            </w:r>
          </w:p>
        </w:tc>
        <w:tc>
          <w:tcPr>
            <w:tcW w:w="3980" w:type="dxa"/>
          </w:tcPr>
          <w:p w14:paraId="522AE4BE" w14:textId="77777777" w:rsidR="00254141" w:rsidRPr="00242511" w:rsidRDefault="00254141" w:rsidP="00EC7CD7">
            <w:pPr>
              <w:pStyle w:val="ATSNormal"/>
              <w:rPr>
                <w:snapToGrid w:val="0"/>
                <w:sz w:val="20"/>
                <w:szCs w:val="20"/>
              </w:rPr>
            </w:pPr>
            <w:r w:rsidRPr="00242511">
              <w:rPr>
                <w:snapToGrid w:val="0"/>
                <w:sz w:val="20"/>
                <w:szCs w:val="20"/>
              </w:rPr>
              <w:t>Recommendation IV-11 (1966) SPA No. 11</w:t>
            </w:r>
          </w:p>
        </w:tc>
      </w:tr>
      <w:tr w:rsidR="00254141" w:rsidRPr="00323C65" w14:paraId="06102C5F" w14:textId="77777777" w:rsidTr="00EC7CD7">
        <w:tc>
          <w:tcPr>
            <w:tcW w:w="5875" w:type="dxa"/>
          </w:tcPr>
          <w:p w14:paraId="63F38E40" w14:textId="77777777" w:rsidR="00254141" w:rsidRPr="004A1897" w:rsidRDefault="00254141" w:rsidP="00EC7CD7">
            <w:pPr>
              <w:pStyle w:val="ATSNormal"/>
              <w:jc w:val="center"/>
              <w:rPr>
                <w:i/>
                <w:sz w:val="20"/>
                <w:szCs w:val="20"/>
              </w:rPr>
            </w:pPr>
            <w:r w:rsidRPr="004A1897">
              <w:rPr>
                <w:i/>
                <w:sz w:val="20"/>
                <w:szCs w:val="20"/>
              </w:rPr>
              <w:t>First adoption of management plan:</w:t>
            </w:r>
          </w:p>
        </w:tc>
        <w:tc>
          <w:tcPr>
            <w:tcW w:w="3980" w:type="dxa"/>
          </w:tcPr>
          <w:p w14:paraId="11A51B2C" w14:textId="77777777" w:rsidR="00254141" w:rsidRPr="00242511" w:rsidRDefault="00254141" w:rsidP="00EC7CD7">
            <w:pPr>
              <w:pStyle w:val="ATSNormal"/>
              <w:rPr>
                <w:snapToGrid w:val="0"/>
                <w:sz w:val="20"/>
                <w:szCs w:val="20"/>
              </w:rPr>
            </w:pPr>
            <w:r w:rsidRPr="00242511">
              <w:rPr>
                <w:snapToGrid w:val="0"/>
                <w:sz w:val="20"/>
                <w:szCs w:val="20"/>
              </w:rPr>
              <w:t>Recommendation XV-7 (1989) SSSI No. 32</w:t>
            </w:r>
          </w:p>
        </w:tc>
      </w:tr>
      <w:tr w:rsidR="00254141" w:rsidRPr="00323C65" w14:paraId="74AAD05D" w14:textId="77777777" w:rsidTr="00EC7CD7">
        <w:tc>
          <w:tcPr>
            <w:tcW w:w="5875" w:type="dxa"/>
          </w:tcPr>
          <w:p w14:paraId="3582F3A2" w14:textId="77777777" w:rsidR="00254141" w:rsidRPr="004A1897" w:rsidRDefault="00254141" w:rsidP="00EC7CD7">
            <w:pPr>
              <w:pStyle w:val="ATSNormal"/>
              <w:jc w:val="center"/>
              <w:rPr>
                <w:i/>
                <w:sz w:val="20"/>
                <w:szCs w:val="20"/>
              </w:rPr>
            </w:pPr>
            <w:r w:rsidRPr="004A1897">
              <w:rPr>
                <w:i/>
                <w:sz w:val="20"/>
                <w:szCs w:val="20"/>
              </w:rPr>
              <w:t>Any revisions to management plan:</w:t>
            </w:r>
          </w:p>
        </w:tc>
        <w:tc>
          <w:tcPr>
            <w:tcW w:w="3980" w:type="dxa"/>
          </w:tcPr>
          <w:p w14:paraId="7BC94D63" w14:textId="77777777" w:rsidR="00254141" w:rsidRPr="005A3EEB" w:rsidRDefault="00254141" w:rsidP="00EC7CD7">
            <w:pPr>
              <w:pStyle w:val="ATSNormal"/>
            </w:pPr>
            <w:r w:rsidRPr="00242511">
              <w:rPr>
                <w:snapToGrid w:val="0"/>
                <w:sz w:val="20"/>
                <w:szCs w:val="20"/>
              </w:rPr>
              <w:t>Measure 2 (2005), Measure 7 (2011), Measure 7 (2016)</w:t>
            </w:r>
            <w:r>
              <w:rPr>
                <w:snapToGrid w:val="0"/>
                <w:sz w:val="20"/>
                <w:szCs w:val="20"/>
              </w:rPr>
              <w:t>,</w:t>
            </w:r>
            <w:r w:rsidRPr="00242511">
              <w:rPr>
                <w:snapToGrid w:val="0"/>
                <w:sz w:val="20"/>
                <w:szCs w:val="20"/>
              </w:rPr>
              <w:t xml:space="preserve"> Measure </w:t>
            </w:r>
            <w:r>
              <w:rPr>
                <w:snapToGrid w:val="0"/>
                <w:sz w:val="20"/>
                <w:szCs w:val="20"/>
              </w:rPr>
              <w:t>16</w:t>
            </w:r>
            <w:r w:rsidRPr="00242511">
              <w:rPr>
                <w:snapToGrid w:val="0"/>
                <w:sz w:val="20"/>
                <w:szCs w:val="20"/>
              </w:rPr>
              <w:t xml:space="preserve"> (20</w:t>
            </w:r>
            <w:r>
              <w:rPr>
                <w:snapToGrid w:val="0"/>
                <w:sz w:val="20"/>
                <w:szCs w:val="20"/>
              </w:rPr>
              <w:t>22</w:t>
            </w:r>
            <w:r w:rsidRPr="00242511">
              <w:rPr>
                <w:snapToGrid w:val="0"/>
                <w:sz w:val="20"/>
                <w:szCs w:val="20"/>
              </w:rPr>
              <w:t>)</w:t>
            </w:r>
          </w:p>
        </w:tc>
      </w:tr>
      <w:tr w:rsidR="00254141" w:rsidRPr="00323C65" w14:paraId="76DC2C71" w14:textId="77777777" w:rsidTr="00EC7CD7">
        <w:tc>
          <w:tcPr>
            <w:tcW w:w="5875" w:type="dxa"/>
          </w:tcPr>
          <w:p w14:paraId="5808744C" w14:textId="77777777" w:rsidR="00254141" w:rsidRPr="004A1897" w:rsidRDefault="00254141" w:rsidP="00EC7CD7">
            <w:pPr>
              <w:pStyle w:val="ATSNormal"/>
              <w:jc w:val="center"/>
              <w:rPr>
                <w:i/>
                <w:sz w:val="20"/>
                <w:szCs w:val="20"/>
              </w:rPr>
            </w:pPr>
            <w:r w:rsidRPr="004A1897">
              <w:rPr>
                <w:i/>
                <w:sz w:val="20"/>
                <w:szCs w:val="20"/>
              </w:rPr>
              <w:t>Current management plan:</w:t>
            </w:r>
          </w:p>
        </w:tc>
        <w:tc>
          <w:tcPr>
            <w:tcW w:w="3980" w:type="dxa"/>
          </w:tcPr>
          <w:p w14:paraId="576272D5" w14:textId="77777777" w:rsidR="00254141" w:rsidRPr="00242511" w:rsidRDefault="00254141" w:rsidP="00EC7CD7">
            <w:pPr>
              <w:pStyle w:val="ATSNormal"/>
              <w:rPr>
                <w:snapToGrid w:val="0"/>
                <w:sz w:val="20"/>
                <w:szCs w:val="20"/>
              </w:rPr>
            </w:pPr>
            <w:r w:rsidRPr="00242511">
              <w:rPr>
                <w:snapToGrid w:val="0"/>
                <w:sz w:val="20"/>
                <w:szCs w:val="20"/>
              </w:rPr>
              <w:t xml:space="preserve">Measure </w:t>
            </w:r>
            <w:r>
              <w:rPr>
                <w:snapToGrid w:val="0"/>
                <w:sz w:val="20"/>
                <w:szCs w:val="20"/>
              </w:rPr>
              <w:t>16</w:t>
            </w:r>
            <w:r w:rsidRPr="00242511">
              <w:rPr>
                <w:snapToGrid w:val="0"/>
                <w:sz w:val="20"/>
                <w:szCs w:val="20"/>
              </w:rPr>
              <w:t xml:space="preserve"> (20</w:t>
            </w:r>
            <w:r>
              <w:rPr>
                <w:snapToGrid w:val="0"/>
                <w:sz w:val="20"/>
                <w:szCs w:val="20"/>
              </w:rPr>
              <w:t>22</w:t>
            </w:r>
            <w:r w:rsidRPr="00242511">
              <w:rPr>
                <w:snapToGrid w:val="0"/>
                <w:sz w:val="20"/>
                <w:szCs w:val="20"/>
              </w:rPr>
              <w:t>)</w:t>
            </w:r>
          </w:p>
        </w:tc>
      </w:tr>
      <w:tr w:rsidR="00254141" w:rsidRPr="00323C65" w14:paraId="3E813023" w14:textId="77777777" w:rsidTr="00EC7CD7">
        <w:tc>
          <w:tcPr>
            <w:tcW w:w="5875" w:type="dxa"/>
          </w:tcPr>
          <w:p w14:paraId="77A1EDCC" w14:textId="77777777" w:rsidR="00254141" w:rsidRPr="004A1897" w:rsidRDefault="00254141" w:rsidP="00EC7CD7">
            <w:pPr>
              <w:pStyle w:val="ATSNormal"/>
              <w:jc w:val="center"/>
              <w:rPr>
                <w:i/>
                <w:sz w:val="20"/>
                <w:szCs w:val="20"/>
              </w:rPr>
            </w:pPr>
            <w:r w:rsidRPr="004A1897">
              <w:rPr>
                <w:i/>
                <w:sz w:val="20"/>
                <w:szCs w:val="20"/>
              </w:rPr>
              <w:t>Any extensions of expiry dates of management plan:</w:t>
            </w:r>
          </w:p>
        </w:tc>
        <w:tc>
          <w:tcPr>
            <w:tcW w:w="3980" w:type="dxa"/>
          </w:tcPr>
          <w:p w14:paraId="1A2CA9F7" w14:textId="77777777" w:rsidR="00254141" w:rsidRPr="00242511" w:rsidRDefault="00254141" w:rsidP="00EC7CD7">
            <w:pPr>
              <w:pStyle w:val="ATSNormal"/>
              <w:rPr>
                <w:snapToGrid w:val="0"/>
                <w:sz w:val="20"/>
                <w:szCs w:val="20"/>
                <w:highlight w:val="yellow"/>
              </w:rPr>
            </w:pPr>
            <w:r w:rsidRPr="00242511">
              <w:rPr>
                <w:snapToGrid w:val="0"/>
                <w:sz w:val="20"/>
                <w:szCs w:val="20"/>
              </w:rPr>
              <w:t>Resolution 3 (1996), Measure 2 (2000)</w:t>
            </w:r>
          </w:p>
        </w:tc>
      </w:tr>
      <w:tr w:rsidR="00254141" w:rsidRPr="00323C65" w14:paraId="15B686A6" w14:textId="77777777" w:rsidTr="00EC7CD7">
        <w:tc>
          <w:tcPr>
            <w:tcW w:w="5875" w:type="dxa"/>
          </w:tcPr>
          <w:p w14:paraId="7D208C86" w14:textId="77777777" w:rsidR="00254141" w:rsidRPr="004A1897" w:rsidRDefault="00254141" w:rsidP="00EC7CD7">
            <w:pPr>
              <w:pStyle w:val="ATSNormal"/>
              <w:jc w:val="center"/>
              <w:rPr>
                <w:i/>
                <w:sz w:val="20"/>
                <w:szCs w:val="20"/>
              </w:rPr>
            </w:pPr>
            <w:r w:rsidRPr="004A1897">
              <w:rPr>
                <w:i/>
                <w:sz w:val="20"/>
                <w:szCs w:val="20"/>
              </w:rPr>
              <w:t>Renamed and renumbered by Decision 1 (2002) as:</w:t>
            </w:r>
          </w:p>
        </w:tc>
        <w:tc>
          <w:tcPr>
            <w:tcW w:w="3980" w:type="dxa"/>
          </w:tcPr>
          <w:p w14:paraId="64BBDA67" w14:textId="77777777" w:rsidR="00254141" w:rsidRPr="00242511" w:rsidRDefault="00254141" w:rsidP="00EC7CD7">
            <w:pPr>
              <w:pStyle w:val="ATSNormal"/>
              <w:rPr>
                <w:snapToGrid w:val="0"/>
                <w:sz w:val="20"/>
                <w:szCs w:val="20"/>
                <w:highlight w:val="yellow"/>
              </w:rPr>
            </w:pPr>
            <w:r w:rsidRPr="00242511">
              <w:rPr>
                <w:snapToGrid w:val="0"/>
                <w:sz w:val="20"/>
                <w:szCs w:val="20"/>
              </w:rPr>
              <w:t xml:space="preserve">ASPA No. 149 Cape Shirreff and San </w:t>
            </w:r>
            <w:proofErr w:type="spellStart"/>
            <w:r w:rsidRPr="00242511">
              <w:rPr>
                <w:snapToGrid w:val="0"/>
                <w:sz w:val="20"/>
                <w:szCs w:val="20"/>
              </w:rPr>
              <w:t>Telmo</w:t>
            </w:r>
            <w:proofErr w:type="spellEnd"/>
            <w:r w:rsidRPr="00242511">
              <w:rPr>
                <w:snapToGrid w:val="0"/>
                <w:sz w:val="20"/>
                <w:szCs w:val="20"/>
              </w:rPr>
              <w:t xml:space="preserve"> Island, Livingston Island, South Shetland Islands</w:t>
            </w:r>
          </w:p>
        </w:tc>
      </w:tr>
      <w:tr w:rsidR="00254141" w:rsidRPr="00323C65" w14:paraId="77BED2B5" w14:textId="77777777" w:rsidTr="00EC7CD7">
        <w:tc>
          <w:tcPr>
            <w:tcW w:w="5875" w:type="dxa"/>
          </w:tcPr>
          <w:p w14:paraId="165850FE" w14:textId="77777777" w:rsidR="00254141" w:rsidRPr="004A1897" w:rsidRDefault="00254141" w:rsidP="00EC7CD7">
            <w:pPr>
              <w:pStyle w:val="ATSNormal"/>
              <w:jc w:val="center"/>
              <w:rPr>
                <w:i/>
                <w:sz w:val="20"/>
                <w:szCs w:val="20"/>
              </w:rPr>
            </w:pPr>
            <w:r w:rsidRPr="004A1897">
              <w:rPr>
                <w:i/>
                <w:sz w:val="20"/>
                <w:szCs w:val="20"/>
              </w:rPr>
              <w:t>Other relevant measures:</w:t>
            </w:r>
          </w:p>
        </w:tc>
        <w:tc>
          <w:tcPr>
            <w:tcW w:w="3980" w:type="dxa"/>
          </w:tcPr>
          <w:p w14:paraId="5527ED13" w14:textId="77777777" w:rsidR="00254141" w:rsidRPr="00242511" w:rsidRDefault="00254141" w:rsidP="00EC7CD7">
            <w:pPr>
              <w:pStyle w:val="ATSNormal"/>
              <w:rPr>
                <w:snapToGrid w:val="0"/>
                <w:sz w:val="20"/>
                <w:szCs w:val="20"/>
                <w:highlight w:val="yellow"/>
              </w:rPr>
            </w:pPr>
            <w:r w:rsidRPr="00242511">
              <w:rPr>
                <w:snapToGrid w:val="0"/>
                <w:sz w:val="20"/>
                <w:szCs w:val="20"/>
              </w:rPr>
              <w:t>Decision 4 (1998)</w:t>
            </w:r>
          </w:p>
        </w:tc>
      </w:tr>
      <w:tr w:rsidR="00254141" w:rsidRPr="00323C65" w14:paraId="7F6442F5" w14:textId="77777777" w:rsidTr="00EC7CD7">
        <w:trPr>
          <w:cantSplit/>
        </w:trPr>
        <w:tc>
          <w:tcPr>
            <w:tcW w:w="9855" w:type="dxa"/>
            <w:gridSpan w:val="2"/>
          </w:tcPr>
          <w:p w14:paraId="6EA65DAA" w14:textId="77777777" w:rsidR="00254141" w:rsidRPr="004A1897" w:rsidRDefault="00254141" w:rsidP="00EC7CD7">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254141" w:rsidRPr="00323C65" w14:paraId="4E7E042A" w14:textId="77777777" w:rsidTr="00EC7CD7">
        <w:tc>
          <w:tcPr>
            <w:tcW w:w="5875" w:type="dxa"/>
          </w:tcPr>
          <w:p w14:paraId="4469A91D" w14:textId="77777777" w:rsidR="00254141" w:rsidRPr="004A1897" w:rsidRDefault="00254141" w:rsidP="00EC7CD7">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980" w:type="dxa"/>
          </w:tcPr>
          <w:p w14:paraId="24899DF8" w14:textId="77777777" w:rsidR="00254141" w:rsidRDefault="00254141" w:rsidP="00EC7CD7">
            <w:pPr>
              <w:pStyle w:val="ATSNormal"/>
              <w:rPr>
                <w:snapToGrid w:val="0"/>
                <w:sz w:val="20"/>
                <w:szCs w:val="20"/>
              </w:rPr>
            </w:pPr>
            <w:r>
              <w:rPr>
                <w:snapToGrid w:val="0"/>
                <w:sz w:val="20"/>
                <w:szCs w:val="20"/>
              </w:rPr>
              <w:t>Minor.</w:t>
            </w:r>
          </w:p>
        </w:tc>
      </w:tr>
      <w:tr w:rsidR="00254141" w:rsidRPr="00323C65" w14:paraId="33DA8C8C" w14:textId="77777777" w:rsidTr="00EC7CD7">
        <w:tc>
          <w:tcPr>
            <w:tcW w:w="5875" w:type="dxa"/>
          </w:tcPr>
          <w:p w14:paraId="5372ADA0" w14:textId="77777777" w:rsidR="00254141" w:rsidRPr="004A1897" w:rsidRDefault="00254141" w:rsidP="00EC7CD7">
            <w:pPr>
              <w:pStyle w:val="ATSNormal"/>
              <w:jc w:val="center"/>
              <w:rPr>
                <w:i/>
                <w:sz w:val="20"/>
                <w:szCs w:val="20"/>
              </w:rPr>
            </w:pPr>
            <w:r w:rsidRPr="004A1897">
              <w:rPr>
                <w:i/>
                <w:sz w:val="20"/>
                <w:szCs w:val="20"/>
              </w:rPr>
              <w:t>(ii) any changes to the boundaries or co-ordinates?</w:t>
            </w:r>
          </w:p>
        </w:tc>
        <w:tc>
          <w:tcPr>
            <w:tcW w:w="3980" w:type="dxa"/>
          </w:tcPr>
          <w:p w14:paraId="717BC251" w14:textId="77777777" w:rsidR="00254141" w:rsidRDefault="00254141" w:rsidP="00EC7CD7">
            <w:pPr>
              <w:pStyle w:val="ATSNormal"/>
              <w:rPr>
                <w:snapToGrid w:val="0"/>
                <w:sz w:val="20"/>
                <w:szCs w:val="20"/>
              </w:rPr>
            </w:pPr>
            <w:r>
              <w:rPr>
                <w:snapToGrid w:val="0"/>
                <w:sz w:val="20"/>
                <w:szCs w:val="20"/>
              </w:rPr>
              <w:t>No.</w:t>
            </w:r>
          </w:p>
        </w:tc>
      </w:tr>
      <w:tr w:rsidR="00254141" w:rsidRPr="00323C65" w14:paraId="1A9A1368" w14:textId="77777777" w:rsidTr="00EC7CD7">
        <w:tc>
          <w:tcPr>
            <w:tcW w:w="5875" w:type="dxa"/>
          </w:tcPr>
          <w:p w14:paraId="624E98B8" w14:textId="77777777" w:rsidR="00254141" w:rsidRPr="004A1897" w:rsidRDefault="00254141" w:rsidP="00EC7CD7">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7C45BE15" w14:textId="77777777" w:rsidR="00254141" w:rsidRPr="00E63637" w:rsidRDefault="00254141" w:rsidP="00EC7CD7">
            <w:pPr>
              <w:pStyle w:val="ATSNormal"/>
              <w:rPr>
                <w:snapToGrid w:val="0"/>
                <w:sz w:val="20"/>
                <w:szCs w:val="20"/>
              </w:rPr>
            </w:pPr>
            <w:r>
              <w:rPr>
                <w:snapToGrid w:val="0"/>
                <w:sz w:val="20"/>
                <w:szCs w:val="20"/>
              </w:rPr>
              <w:t>Yes. Map 3</w:t>
            </w:r>
            <w:r w:rsidRPr="00E63637">
              <w:rPr>
                <w:snapToGrid w:val="0"/>
                <w:sz w:val="20"/>
                <w:szCs w:val="20"/>
              </w:rPr>
              <w:t xml:space="preserve"> </w:t>
            </w:r>
            <w:r>
              <w:rPr>
                <w:snapToGrid w:val="0"/>
                <w:sz w:val="20"/>
                <w:szCs w:val="20"/>
              </w:rPr>
              <w:t xml:space="preserve">has been replaced by a new version showing the change in designated route from </w:t>
            </w:r>
            <w:proofErr w:type="spellStart"/>
            <w:r>
              <w:rPr>
                <w:snapToGrid w:val="0"/>
                <w:sz w:val="20"/>
                <w:szCs w:val="20"/>
              </w:rPr>
              <w:t>Módulo</w:t>
            </w:r>
            <w:proofErr w:type="spellEnd"/>
            <w:r>
              <w:rPr>
                <w:snapToGrid w:val="0"/>
                <w:sz w:val="20"/>
                <w:szCs w:val="20"/>
              </w:rPr>
              <w:t xml:space="preserve"> Beach to the field hut located on the northern Cape Shirreff peninsula</w:t>
            </w:r>
            <w:r w:rsidRPr="00E63637">
              <w:rPr>
                <w:snapToGrid w:val="0"/>
                <w:sz w:val="20"/>
                <w:szCs w:val="20"/>
              </w:rPr>
              <w:t>.</w:t>
            </w:r>
          </w:p>
        </w:tc>
      </w:tr>
      <w:tr w:rsidR="00254141" w:rsidRPr="00323C65" w14:paraId="2515C68D" w14:textId="77777777" w:rsidTr="00EC7CD7">
        <w:tc>
          <w:tcPr>
            <w:tcW w:w="5875" w:type="dxa"/>
          </w:tcPr>
          <w:p w14:paraId="23E7464A" w14:textId="77777777" w:rsidR="00254141" w:rsidRPr="004A1897" w:rsidRDefault="00254141" w:rsidP="00EC7CD7">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7A803FA0" w14:textId="77777777" w:rsidR="00254141" w:rsidRDefault="00254141" w:rsidP="00EC7CD7">
            <w:pPr>
              <w:pStyle w:val="ATSNormal"/>
              <w:rPr>
                <w:snapToGrid w:val="0"/>
                <w:sz w:val="20"/>
                <w:szCs w:val="20"/>
              </w:rPr>
            </w:pPr>
            <w:r>
              <w:rPr>
                <w:snapToGrid w:val="0"/>
                <w:sz w:val="20"/>
                <w:szCs w:val="20"/>
              </w:rPr>
              <w:t>No.</w:t>
            </w:r>
          </w:p>
        </w:tc>
      </w:tr>
      <w:tr w:rsidR="00254141" w:rsidRPr="00323C65" w14:paraId="04675A7F" w14:textId="77777777" w:rsidTr="00EC7CD7">
        <w:tc>
          <w:tcPr>
            <w:tcW w:w="5875" w:type="dxa"/>
          </w:tcPr>
          <w:p w14:paraId="4F6ED894" w14:textId="77777777" w:rsidR="00254141" w:rsidRPr="004A1897" w:rsidRDefault="00254141" w:rsidP="00EC7CD7">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980" w:type="dxa"/>
          </w:tcPr>
          <w:p w14:paraId="6A7778EF" w14:textId="77777777" w:rsidR="00254141" w:rsidRDefault="00254141" w:rsidP="00EC7CD7">
            <w:pPr>
              <w:pStyle w:val="ATSNormal"/>
              <w:rPr>
                <w:snapToGrid w:val="0"/>
                <w:sz w:val="20"/>
                <w:szCs w:val="20"/>
              </w:rPr>
            </w:pPr>
            <w:r>
              <w:rPr>
                <w:snapToGrid w:val="0"/>
                <w:sz w:val="20"/>
                <w:szCs w:val="20"/>
              </w:rPr>
              <w:t>No.</w:t>
            </w:r>
          </w:p>
        </w:tc>
      </w:tr>
      <w:tr w:rsidR="00254141" w:rsidRPr="00323C65" w14:paraId="1B2FF967" w14:textId="77777777" w:rsidTr="00EC7CD7">
        <w:tc>
          <w:tcPr>
            <w:tcW w:w="5875" w:type="dxa"/>
          </w:tcPr>
          <w:p w14:paraId="0C075C4F" w14:textId="77777777" w:rsidR="00254141" w:rsidRPr="004A1897" w:rsidRDefault="00254141" w:rsidP="00EC7CD7">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3980" w:type="dxa"/>
          </w:tcPr>
          <w:p w14:paraId="116CEF96" w14:textId="77777777" w:rsidR="00254141" w:rsidRDefault="00254141" w:rsidP="00EC7CD7">
            <w:pPr>
              <w:pStyle w:val="ATSNormal"/>
              <w:rPr>
                <w:snapToGrid w:val="0"/>
                <w:sz w:val="20"/>
                <w:szCs w:val="20"/>
              </w:rPr>
            </w:pPr>
            <w:r>
              <w:rPr>
                <w:snapToGrid w:val="0"/>
                <w:sz w:val="20"/>
                <w:szCs w:val="20"/>
              </w:rPr>
              <w:t xml:space="preserve">Section 7(ii) </w:t>
            </w:r>
            <w:r w:rsidRPr="00342303">
              <w:rPr>
                <w:i/>
                <w:snapToGrid w:val="0"/>
                <w:sz w:val="20"/>
                <w:szCs w:val="20"/>
              </w:rPr>
              <w:t>Access</w:t>
            </w:r>
            <w:r>
              <w:rPr>
                <w:snapToGrid w:val="0"/>
                <w:sz w:val="20"/>
                <w:szCs w:val="20"/>
              </w:rPr>
              <w:t xml:space="preserve"> has been amended to allow vehicle use on a designated route between the main Cape Shirreff Camp and a field hut located on the northern Cape Shirreff peninsula.</w:t>
            </w:r>
          </w:p>
        </w:tc>
      </w:tr>
      <w:tr w:rsidR="00254141" w:rsidRPr="00323C65" w14:paraId="7E2B5BF6" w14:textId="77777777" w:rsidTr="00EC7CD7">
        <w:tc>
          <w:tcPr>
            <w:tcW w:w="5875" w:type="dxa"/>
          </w:tcPr>
          <w:p w14:paraId="1A7FA8D5" w14:textId="77777777" w:rsidR="00254141" w:rsidRPr="004A1897" w:rsidRDefault="00254141" w:rsidP="00EC7CD7">
            <w:pPr>
              <w:pStyle w:val="ATSNormal"/>
              <w:rPr>
                <w:b/>
                <w:snapToGrid w:val="0"/>
                <w:sz w:val="20"/>
                <w:szCs w:val="20"/>
              </w:rPr>
            </w:pPr>
            <w:r w:rsidRPr="004A1897">
              <w:rPr>
                <w:b/>
                <w:snapToGrid w:val="0"/>
                <w:sz w:val="20"/>
                <w:szCs w:val="20"/>
              </w:rPr>
              <w:t>5. If a new ASPA or ASMA is proposed, does it contain any marine area?</w:t>
            </w:r>
          </w:p>
        </w:tc>
        <w:tc>
          <w:tcPr>
            <w:tcW w:w="3980" w:type="dxa"/>
          </w:tcPr>
          <w:p w14:paraId="2E7CA0A3" w14:textId="77777777" w:rsidR="00254141" w:rsidRPr="004A1897" w:rsidRDefault="00254141" w:rsidP="00EC7CD7">
            <w:pPr>
              <w:pStyle w:val="ATSNormal"/>
              <w:rPr>
                <w:snapToGrid w:val="0"/>
                <w:sz w:val="20"/>
                <w:szCs w:val="20"/>
              </w:rPr>
            </w:pPr>
            <w:r w:rsidRPr="004A1897">
              <w:rPr>
                <w:snapToGrid w:val="0"/>
                <w:sz w:val="20"/>
                <w:szCs w:val="20"/>
              </w:rPr>
              <w:t>N/A</w:t>
            </w:r>
          </w:p>
        </w:tc>
      </w:tr>
      <w:tr w:rsidR="00254141" w:rsidRPr="00323C65" w14:paraId="65FA909A" w14:textId="77777777" w:rsidTr="00EC7CD7">
        <w:tc>
          <w:tcPr>
            <w:tcW w:w="5875" w:type="dxa"/>
          </w:tcPr>
          <w:p w14:paraId="6073E8E5" w14:textId="77777777" w:rsidR="00254141" w:rsidRPr="004A1897" w:rsidRDefault="00254141" w:rsidP="00EC7CD7">
            <w:pPr>
              <w:pStyle w:val="ATSNormal"/>
              <w:rPr>
                <w:b/>
                <w:snapToGrid w:val="0"/>
                <w:sz w:val="20"/>
                <w:szCs w:val="20"/>
              </w:rPr>
            </w:pPr>
            <w:r w:rsidRPr="004A1897">
              <w:rPr>
                <w:b/>
                <w:snapToGrid w:val="0"/>
                <w:sz w:val="20"/>
                <w:szCs w:val="20"/>
              </w:rPr>
              <w:lastRenderedPageBreak/>
              <w:t>6. If yes, does the proposal require the prior approval of CCAMLR in accordance with Decision 9 (2005)?</w:t>
            </w:r>
          </w:p>
        </w:tc>
        <w:tc>
          <w:tcPr>
            <w:tcW w:w="3980" w:type="dxa"/>
          </w:tcPr>
          <w:p w14:paraId="59BA9532" w14:textId="77777777" w:rsidR="00254141" w:rsidRPr="004A1897" w:rsidRDefault="00254141" w:rsidP="00EC7CD7">
            <w:pPr>
              <w:pStyle w:val="ATSNormal"/>
              <w:rPr>
                <w:snapToGrid w:val="0"/>
                <w:sz w:val="20"/>
                <w:szCs w:val="20"/>
              </w:rPr>
            </w:pPr>
            <w:r w:rsidRPr="004A1897">
              <w:rPr>
                <w:snapToGrid w:val="0"/>
                <w:sz w:val="20"/>
                <w:szCs w:val="20"/>
              </w:rPr>
              <w:t>N/A</w:t>
            </w:r>
          </w:p>
        </w:tc>
      </w:tr>
      <w:tr w:rsidR="00254141" w:rsidRPr="00323C65" w14:paraId="5954107D" w14:textId="77777777" w:rsidTr="00EC7CD7">
        <w:tc>
          <w:tcPr>
            <w:tcW w:w="5875" w:type="dxa"/>
          </w:tcPr>
          <w:p w14:paraId="588A644C" w14:textId="77777777" w:rsidR="00254141" w:rsidRPr="004A1897" w:rsidRDefault="00254141" w:rsidP="00EC7CD7">
            <w:pPr>
              <w:pStyle w:val="ATSNormal"/>
              <w:rPr>
                <w:b/>
                <w:sz w:val="20"/>
                <w:szCs w:val="20"/>
              </w:rPr>
            </w:pPr>
            <w:r w:rsidRPr="004A1897">
              <w:rPr>
                <w:b/>
                <w:sz w:val="20"/>
                <w:szCs w:val="20"/>
              </w:rPr>
              <w:t xml:space="preserve">7. If yes, has the prior approval of CCAMLR been obtained? </w:t>
            </w:r>
          </w:p>
        </w:tc>
        <w:tc>
          <w:tcPr>
            <w:tcW w:w="3980" w:type="dxa"/>
          </w:tcPr>
          <w:p w14:paraId="50369738" w14:textId="77777777" w:rsidR="00254141" w:rsidRPr="004A1897" w:rsidRDefault="00254141" w:rsidP="00EC7CD7">
            <w:pPr>
              <w:pStyle w:val="ATSNormal"/>
              <w:rPr>
                <w:snapToGrid w:val="0"/>
                <w:sz w:val="20"/>
                <w:szCs w:val="20"/>
              </w:rPr>
            </w:pPr>
            <w:r w:rsidRPr="004A1897">
              <w:rPr>
                <w:snapToGrid w:val="0"/>
                <w:sz w:val="20"/>
                <w:szCs w:val="20"/>
              </w:rPr>
              <w:t>N/A</w:t>
            </w:r>
          </w:p>
        </w:tc>
      </w:tr>
      <w:tr w:rsidR="00254141" w:rsidRPr="00323C65" w14:paraId="3FA719FF" w14:textId="77777777" w:rsidTr="00EC7CD7">
        <w:tc>
          <w:tcPr>
            <w:tcW w:w="5875" w:type="dxa"/>
          </w:tcPr>
          <w:p w14:paraId="090980C0" w14:textId="77777777" w:rsidR="00254141" w:rsidRPr="004A1897" w:rsidRDefault="00254141" w:rsidP="00EC7CD7">
            <w:pPr>
              <w:pStyle w:val="ATSNormal"/>
              <w:jc w:val="center"/>
              <w:rPr>
                <w:i/>
                <w:sz w:val="20"/>
                <w:szCs w:val="20"/>
              </w:rPr>
            </w:pPr>
            <w:r w:rsidRPr="004A1897">
              <w:rPr>
                <w:i/>
                <w:sz w:val="20"/>
                <w:szCs w:val="20"/>
              </w:rPr>
              <w:t>If yes, please list the CCAMLR Final Report and Paragraph No.</w:t>
            </w:r>
          </w:p>
        </w:tc>
        <w:tc>
          <w:tcPr>
            <w:tcW w:w="3980" w:type="dxa"/>
          </w:tcPr>
          <w:p w14:paraId="4C9D0A75" w14:textId="77777777" w:rsidR="00254141" w:rsidRPr="004A1897" w:rsidRDefault="00254141" w:rsidP="00EC7CD7">
            <w:pPr>
              <w:pStyle w:val="ATSNormal"/>
              <w:rPr>
                <w:snapToGrid w:val="0"/>
                <w:sz w:val="20"/>
                <w:szCs w:val="20"/>
              </w:rPr>
            </w:pPr>
            <w:r w:rsidRPr="004A1897">
              <w:rPr>
                <w:snapToGrid w:val="0"/>
                <w:sz w:val="20"/>
                <w:szCs w:val="20"/>
              </w:rPr>
              <w:t>N/A</w:t>
            </w:r>
          </w:p>
        </w:tc>
      </w:tr>
      <w:tr w:rsidR="00254141" w14:paraId="1DACE78E" w14:textId="77777777" w:rsidTr="00EC7CD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89D3045" w14:textId="77777777" w:rsidR="00254141" w:rsidRPr="004A1897" w:rsidRDefault="00254141" w:rsidP="00EC7CD7">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tcPr>
          <w:p w14:paraId="1151785F" w14:textId="77777777" w:rsidR="00254141" w:rsidRDefault="00254141" w:rsidP="00EC7CD7">
            <w:pPr>
              <w:pStyle w:val="ATSNormal"/>
              <w:keepNext/>
              <w:rPr>
                <w:sz w:val="20"/>
                <w:szCs w:val="20"/>
              </w:rPr>
            </w:pPr>
            <w:r w:rsidRPr="009B1186">
              <w:rPr>
                <w:snapToGrid w:val="0"/>
                <w:sz w:val="20"/>
                <w:szCs w:val="20"/>
              </w:rPr>
              <w:t xml:space="preserve">The primary reason for designation is to protect the biota present within the Area, </w:t>
            </w:r>
            <w:proofErr w:type="gramStart"/>
            <w:r w:rsidRPr="009B1186">
              <w:rPr>
                <w:snapToGrid w:val="0"/>
                <w:sz w:val="20"/>
                <w:szCs w:val="20"/>
              </w:rPr>
              <w:t>in particular the</w:t>
            </w:r>
            <w:proofErr w:type="gramEnd"/>
            <w:r w:rsidRPr="009B1186">
              <w:rPr>
                <w:snapToGrid w:val="0"/>
                <w:sz w:val="20"/>
                <w:szCs w:val="20"/>
              </w:rPr>
              <w:t xml:space="preserve"> large and diverse seabird and pinniped populations which are the subject of long-term scientific monitoring.</w:t>
            </w:r>
            <w:r w:rsidRPr="00C545C3">
              <w:rPr>
                <w:sz w:val="20"/>
                <w:szCs w:val="20"/>
              </w:rPr>
              <w:t xml:space="preserve"> </w:t>
            </w:r>
            <w:r>
              <w:rPr>
                <w:sz w:val="20"/>
                <w:szCs w:val="20"/>
              </w:rPr>
              <w:t xml:space="preserve">Under </w:t>
            </w:r>
            <w:r w:rsidRPr="00794858">
              <w:rPr>
                <w:sz w:val="20"/>
                <w:szCs w:val="20"/>
              </w:rPr>
              <w:t>Article 3.2 of Annex V</w:t>
            </w:r>
            <w:r>
              <w:rPr>
                <w:sz w:val="20"/>
                <w:szCs w:val="20"/>
              </w:rPr>
              <w:t xml:space="preserve"> the main reasons for special protection are:</w:t>
            </w:r>
          </w:p>
          <w:p w14:paraId="7D839BEA" w14:textId="77777777" w:rsidR="00254141" w:rsidRPr="00C545C3" w:rsidRDefault="00254141" w:rsidP="00EC7CD7">
            <w:pPr>
              <w:pStyle w:val="ATSNormal"/>
              <w:keepNext/>
              <w:rPr>
                <w:sz w:val="20"/>
                <w:szCs w:val="20"/>
              </w:rPr>
            </w:pPr>
            <w:r w:rsidRPr="00C545C3">
              <w:rPr>
                <w:sz w:val="20"/>
                <w:szCs w:val="20"/>
              </w:rPr>
              <w:t xml:space="preserve">(b) representative examples of major terrestrial, including glacial and aquatic, </w:t>
            </w:r>
            <w:proofErr w:type="gramStart"/>
            <w:r w:rsidRPr="00C545C3">
              <w:rPr>
                <w:sz w:val="20"/>
                <w:szCs w:val="20"/>
              </w:rPr>
              <w:t>ecosystems;</w:t>
            </w:r>
            <w:proofErr w:type="gramEnd"/>
            <w:r w:rsidRPr="00C545C3">
              <w:rPr>
                <w:sz w:val="20"/>
                <w:szCs w:val="20"/>
              </w:rPr>
              <w:t xml:space="preserve"> </w:t>
            </w:r>
          </w:p>
          <w:p w14:paraId="3D01642F" w14:textId="77777777" w:rsidR="00254141" w:rsidRDefault="00254141" w:rsidP="00EC7CD7">
            <w:pPr>
              <w:pStyle w:val="ATSNormal"/>
              <w:keepNext/>
              <w:rPr>
                <w:sz w:val="20"/>
                <w:szCs w:val="20"/>
              </w:rPr>
            </w:pPr>
            <w:r w:rsidRPr="00C545C3">
              <w:rPr>
                <w:sz w:val="20"/>
                <w:szCs w:val="20"/>
              </w:rPr>
              <w:t>(c) areas with important or unusual assemblages of species, including major colonies of breeding na</w:t>
            </w:r>
            <w:r>
              <w:rPr>
                <w:sz w:val="20"/>
                <w:szCs w:val="20"/>
              </w:rPr>
              <w:t xml:space="preserve">tive </w:t>
            </w:r>
            <w:proofErr w:type="gramStart"/>
            <w:r>
              <w:rPr>
                <w:sz w:val="20"/>
                <w:szCs w:val="20"/>
              </w:rPr>
              <w:t>birds;</w:t>
            </w:r>
            <w:proofErr w:type="gramEnd"/>
          </w:p>
          <w:p w14:paraId="796D226E" w14:textId="77777777" w:rsidR="00254141" w:rsidRPr="00C545C3" w:rsidRDefault="00254141" w:rsidP="00EC7CD7">
            <w:pPr>
              <w:pStyle w:val="ATSNormal"/>
              <w:keepNext/>
              <w:rPr>
                <w:snapToGrid w:val="0"/>
                <w:sz w:val="20"/>
                <w:szCs w:val="20"/>
              </w:rPr>
            </w:pPr>
            <w:r w:rsidRPr="00C545C3">
              <w:rPr>
                <w:snapToGrid w:val="0"/>
                <w:sz w:val="20"/>
                <w:szCs w:val="20"/>
              </w:rPr>
              <w:t xml:space="preserve">(e) areas of particular interest to on-going or planned scientific </w:t>
            </w:r>
            <w:proofErr w:type="gramStart"/>
            <w:r w:rsidRPr="00C545C3">
              <w:rPr>
                <w:snapToGrid w:val="0"/>
                <w:sz w:val="20"/>
                <w:szCs w:val="20"/>
              </w:rPr>
              <w:t>research</w:t>
            </w:r>
            <w:r>
              <w:rPr>
                <w:snapToGrid w:val="0"/>
                <w:sz w:val="20"/>
                <w:szCs w:val="20"/>
              </w:rPr>
              <w:t>;</w:t>
            </w:r>
            <w:proofErr w:type="gramEnd"/>
          </w:p>
          <w:p w14:paraId="6ACEE17A" w14:textId="77777777" w:rsidR="00254141" w:rsidRPr="004A1897" w:rsidRDefault="00254141" w:rsidP="00EC7CD7">
            <w:pPr>
              <w:autoSpaceDE w:val="0"/>
              <w:autoSpaceDN w:val="0"/>
              <w:adjustRightInd w:val="0"/>
              <w:rPr>
                <w:sz w:val="20"/>
                <w:szCs w:val="20"/>
                <w:lang w:eastAsia="en-GB"/>
              </w:rPr>
            </w:pPr>
            <w:r w:rsidRPr="00C545C3">
              <w:rPr>
                <w:sz w:val="20"/>
                <w:szCs w:val="20"/>
              </w:rPr>
              <w:t>(h) sites of r</w:t>
            </w:r>
            <w:r>
              <w:rPr>
                <w:sz w:val="20"/>
                <w:szCs w:val="20"/>
              </w:rPr>
              <w:t>ecognised historic value.</w:t>
            </w:r>
          </w:p>
        </w:tc>
      </w:tr>
      <w:tr w:rsidR="00254141" w14:paraId="335A2001" w14:textId="77777777" w:rsidTr="00EC7CD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D3BEB29" w14:textId="77777777" w:rsidR="00254141" w:rsidRPr="004A1897" w:rsidRDefault="00254141" w:rsidP="00EC7CD7">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tcPr>
          <w:p w14:paraId="4EB93CB1" w14:textId="77777777" w:rsidR="00254141" w:rsidRPr="004A1897" w:rsidRDefault="00254141" w:rsidP="00EC7CD7">
            <w:pPr>
              <w:pStyle w:val="ATSNormal"/>
              <w:rPr>
                <w:snapToGrid w:val="0"/>
                <w:color w:val="000000" w:themeColor="text1"/>
                <w:sz w:val="20"/>
                <w:szCs w:val="20"/>
              </w:rPr>
            </w:pPr>
            <w:r w:rsidRPr="009B1186">
              <w:rPr>
                <w:snapToGrid w:val="0"/>
                <w:sz w:val="20"/>
                <w:szCs w:val="20"/>
              </w:rPr>
              <w:t>Yes. Environment E – Antarctic Peninsula, Alexander and other islands and Environment G – Antarctic Peninsula offshore islands.</w:t>
            </w:r>
          </w:p>
        </w:tc>
      </w:tr>
      <w:tr w:rsidR="00254141" w14:paraId="44CD7775" w14:textId="77777777" w:rsidTr="00EC7CD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238A87B4" w14:textId="77777777" w:rsidR="00254141" w:rsidRPr="004A1897" w:rsidRDefault="00254141" w:rsidP="00EC7CD7">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tcPr>
          <w:p w14:paraId="1484C6DB" w14:textId="77777777" w:rsidR="00254141" w:rsidRPr="004A1897" w:rsidRDefault="00254141" w:rsidP="00EC7CD7">
            <w:pPr>
              <w:pStyle w:val="ATSNormal"/>
              <w:rPr>
                <w:snapToGrid w:val="0"/>
                <w:color w:val="000000" w:themeColor="text1"/>
                <w:sz w:val="20"/>
                <w:szCs w:val="20"/>
              </w:rPr>
            </w:pPr>
            <w:r w:rsidRPr="009B1186">
              <w:rPr>
                <w:snapToGrid w:val="0"/>
                <w:sz w:val="20"/>
                <w:szCs w:val="20"/>
              </w:rPr>
              <w:t>Yes. ACBR3 – North-west Antarctic Peninsula.</w:t>
            </w:r>
          </w:p>
        </w:tc>
      </w:tr>
      <w:tr w:rsidR="00254141" w14:paraId="2F10FEBE" w14:textId="77777777" w:rsidTr="00EC7CD7">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96C8A50" w14:textId="77777777" w:rsidR="00254141" w:rsidRPr="004A1897" w:rsidRDefault="00254141" w:rsidP="00EC7CD7">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7402EB7D" w14:textId="77777777" w:rsidR="00254141" w:rsidRPr="004A1897" w:rsidRDefault="00254141" w:rsidP="00EC7CD7">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3A097AE4" w14:textId="77777777" w:rsidR="00254141" w:rsidRDefault="00254141" w:rsidP="00254141"/>
    <w:p w14:paraId="12FDBC0B" w14:textId="498A0DF9" w:rsidR="00254141" w:rsidRDefault="00254141" w:rsidP="00952E9F">
      <w:r>
        <w:br w:type="page"/>
      </w:r>
    </w:p>
    <w:p w14:paraId="57A666F9" w14:textId="77777777" w:rsidR="00254141" w:rsidRPr="001B4892" w:rsidRDefault="00254141" w:rsidP="00254141">
      <w:pPr>
        <w:pStyle w:val="ATSHeading1"/>
      </w:pPr>
      <w:r w:rsidRPr="001B4892">
        <w:lastRenderedPageBreak/>
        <w:t xml:space="preserve">ASPA No. </w:t>
      </w:r>
      <w:r>
        <w:t xml:space="preserve">149 Cape Shirreff and San </w:t>
      </w:r>
      <w:proofErr w:type="spellStart"/>
      <w:r>
        <w:t>Telmo</w:t>
      </w:r>
      <w:proofErr w:type="spellEnd"/>
      <w:r>
        <w:t xml:space="preserve"> Island, Livingston Island, South Shetland Islands</w:t>
      </w:r>
    </w:p>
    <w:p w14:paraId="25C94B2E" w14:textId="77777777" w:rsidR="00254141" w:rsidRDefault="00254141" w:rsidP="00254141">
      <w:pPr>
        <w:pStyle w:val="ATSNumber1"/>
        <w:numPr>
          <w:ilvl w:val="0"/>
          <w:numId w:val="21"/>
        </w:numPr>
      </w:pPr>
      <w:r w:rsidRPr="005F358A">
        <w:t>The Management Plan for ASPA No. 1</w:t>
      </w:r>
      <w:r>
        <w:t>49</w:t>
      </w:r>
      <w:r w:rsidRPr="001B4892">
        <w:t xml:space="preserve"> </w:t>
      </w:r>
      <w:r>
        <w:t xml:space="preserve">Cape Shirreff and San </w:t>
      </w:r>
      <w:proofErr w:type="spellStart"/>
      <w:r>
        <w:t>Telmo</w:t>
      </w:r>
      <w:proofErr w:type="spellEnd"/>
      <w:r>
        <w:t xml:space="preserve"> Island, Livingston Island, South Shetland Islands, </w:t>
      </w:r>
      <w:r w:rsidRPr="005F358A">
        <w:t>was last reviewed in 20</w:t>
      </w:r>
      <w:r>
        <w:t>22</w:t>
      </w:r>
      <w:r w:rsidRPr="005F358A">
        <w:t>.</w:t>
      </w:r>
    </w:p>
    <w:p w14:paraId="3655ECB1" w14:textId="77777777" w:rsidR="00254141" w:rsidRDefault="00254141" w:rsidP="00254141">
      <w:pPr>
        <w:pStyle w:val="ATSNumber1"/>
        <w:numPr>
          <w:ilvl w:val="0"/>
          <w:numId w:val="21"/>
        </w:numPr>
      </w:pPr>
      <w:proofErr w:type="gramStart"/>
      <w:r>
        <w:t>In light of</w:t>
      </w:r>
      <w:proofErr w:type="gramEnd"/>
      <w:r>
        <w:t xml:space="preserve"> practical experience during construction of replacement hut facilities in the 2022/23 season, scientists raised concerns about following the existing management plan access route to the research hut located on Enrique Hill, northern Cape Shirreff peninsula, when transporting materials necessary for the rebuild of this facility.</w:t>
      </w:r>
    </w:p>
    <w:p w14:paraId="196618FF" w14:textId="77777777" w:rsidR="00254141" w:rsidRDefault="00254141" w:rsidP="00254141">
      <w:pPr>
        <w:pStyle w:val="ATSNumber1"/>
        <w:numPr>
          <w:ilvl w:val="0"/>
          <w:numId w:val="21"/>
        </w:numPr>
      </w:pPr>
      <w:proofErr w:type="gramStart"/>
      <w:r>
        <w:t>In particular, scientists</w:t>
      </w:r>
      <w:proofErr w:type="gramEnd"/>
      <w:r>
        <w:t xml:space="preserve"> working within the Area recommended an alternative access route closer to the coast as being more practical and safer for access to the northern research hut. The alternative follows an existing walking route from the main Cape Sherriff camp to the northern hut, which is shorter and crosses terrain of more gentle relief. This route comprises rocky terrain mostly devoid of visible vegetation.</w:t>
      </w:r>
    </w:p>
    <w:p w14:paraId="7CD9A82E" w14:textId="77777777" w:rsidR="00254141" w:rsidRDefault="00254141" w:rsidP="00254141">
      <w:pPr>
        <w:pStyle w:val="ATSNumber1"/>
        <w:numPr>
          <w:ilvl w:val="0"/>
          <w:numId w:val="21"/>
        </w:numPr>
      </w:pPr>
      <w:r>
        <w:t xml:space="preserve">In addition, an even shorter vehicle route is proposed from </w:t>
      </w:r>
      <w:proofErr w:type="spellStart"/>
      <w:r>
        <w:t>Alcázar</w:t>
      </w:r>
      <w:proofErr w:type="spellEnd"/>
      <w:r>
        <w:t xml:space="preserve"> Beach on the northern coast to the field hut. While transporting the necessary materials by this route is preferred because it is short, it depends on the feasibility of small boat access to the beach. Thus, both options are allowed for in the management plan.</w:t>
      </w:r>
    </w:p>
    <w:p w14:paraId="4515D9BB" w14:textId="77777777" w:rsidR="00254141" w:rsidRDefault="00254141" w:rsidP="00254141">
      <w:pPr>
        <w:pStyle w:val="ATSNumber1"/>
        <w:numPr>
          <w:ilvl w:val="0"/>
          <w:numId w:val="21"/>
        </w:numPr>
      </w:pPr>
      <w:r>
        <w:t>It is estimated that approximately 50 trips will be needed to transport materials</w:t>
      </w:r>
      <w:r w:rsidRPr="00C651F0">
        <w:t xml:space="preserve"> </w:t>
      </w:r>
      <w:r>
        <w:t xml:space="preserve">for the field hut reconstruction. It will not be practical to undertake this work early season, and therefore snow cover along the route is unlikely to be present. As a result, the current requirement in the management plan to undertake vehicle movements in this general area only when snow cover is present and &gt;40cm in depth needs to be amended </w:t>
      </w:r>
      <w:proofErr w:type="gramStart"/>
      <w:r>
        <w:t>in order to</w:t>
      </w:r>
      <w:proofErr w:type="gramEnd"/>
      <w:r>
        <w:t xml:space="preserve"> enable vehicle use.</w:t>
      </w:r>
    </w:p>
    <w:p w14:paraId="724EBFDC" w14:textId="77777777" w:rsidR="00254141" w:rsidRDefault="00254141" w:rsidP="00254141">
      <w:pPr>
        <w:pStyle w:val="ATSNumber1"/>
        <w:numPr>
          <w:ilvl w:val="0"/>
          <w:numId w:val="21"/>
        </w:numPr>
      </w:pPr>
      <w:r>
        <w:t>For these reasons and to meet essential operational needs in support of scientific research a change to the current management plan provisions on vehicle access is proposed.</w:t>
      </w:r>
    </w:p>
    <w:p w14:paraId="52234E76" w14:textId="77777777" w:rsidR="00254141" w:rsidRPr="0056235F" w:rsidRDefault="00254141" w:rsidP="00254141">
      <w:pPr>
        <w:pStyle w:val="ATSNumber1"/>
        <w:numPr>
          <w:ilvl w:val="0"/>
          <w:numId w:val="13"/>
        </w:numPr>
        <w:rPr>
          <w:lang w:val="en-US"/>
        </w:rPr>
      </w:pPr>
      <w:r>
        <w:t>The proposed change</w:t>
      </w:r>
      <w:r w:rsidRPr="0056235F">
        <w:t xml:space="preserve"> to </w:t>
      </w:r>
      <w:r>
        <w:t>the existing m</w:t>
      </w:r>
      <w:r w:rsidRPr="0056235F">
        <w:t xml:space="preserve">anagement </w:t>
      </w:r>
      <w:r>
        <w:t>p</w:t>
      </w:r>
      <w:r w:rsidRPr="0056235F">
        <w:t>lan</w:t>
      </w:r>
      <w:r>
        <w:t xml:space="preserve"> is</w:t>
      </w:r>
      <w:r w:rsidRPr="0056235F">
        <w:t>:</w:t>
      </w:r>
    </w:p>
    <w:p w14:paraId="2F85E24E" w14:textId="77777777" w:rsidR="00254141" w:rsidRPr="007A2098" w:rsidRDefault="00254141" w:rsidP="00254141">
      <w:pPr>
        <w:pStyle w:val="ATSNumber2"/>
        <w:numPr>
          <w:ilvl w:val="1"/>
          <w:numId w:val="13"/>
        </w:numPr>
      </w:pPr>
      <w:r>
        <w:t>Section 7</w:t>
      </w:r>
      <w:r w:rsidRPr="007A2098">
        <w:t>(</w:t>
      </w:r>
      <w:r>
        <w:t>ii)</w:t>
      </w:r>
      <w:r w:rsidRPr="007A2098">
        <w:t xml:space="preserve"> </w:t>
      </w:r>
      <w:r>
        <w:t xml:space="preserve">Access to, and movement within or over, </w:t>
      </w:r>
      <w:r w:rsidRPr="007A2098">
        <w:t xml:space="preserve">the Area. </w:t>
      </w:r>
      <w:r>
        <w:t>Subsection</w:t>
      </w:r>
      <w:r w:rsidRPr="007A2098">
        <w:t xml:space="preserve"> </w:t>
      </w:r>
      <w:r>
        <w:rPr>
          <w:i/>
        </w:rPr>
        <w:t xml:space="preserve">Vehicle access and </w:t>
      </w:r>
      <w:proofErr w:type="gramStart"/>
      <w:r>
        <w:rPr>
          <w:i/>
        </w:rPr>
        <w:t>use</w:t>
      </w:r>
      <w:r w:rsidRPr="007A2098">
        <w:t xml:space="preserve"> </w:t>
      </w:r>
      <w:r>
        <w:t xml:space="preserve"> Second</w:t>
      </w:r>
      <w:proofErr w:type="gramEnd"/>
      <w:r>
        <w:t xml:space="preserve"> bullet</w:t>
      </w:r>
      <w:r w:rsidRPr="007A2098">
        <w:t>:</w:t>
      </w:r>
    </w:p>
    <w:p w14:paraId="3E479138" w14:textId="77777777" w:rsidR="00254141" w:rsidRPr="00DF4E5D" w:rsidRDefault="00254141" w:rsidP="00254141">
      <w:pPr>
        <w:pStyle w:val="ATSNumber2"/>
        <w:numPr>
          <w:ilvl w:val="2"/>
          <w:numId w:val="13"/>
        </w:numPr>
        <w:rPr>
          <w:b/>
        </w:rPr>
      </w:pPr>
      <w:r w:rsidRPr="00DF4E5D">
        <w:rPr>
          <w:b/>
        </w:rPr>
        <w:t xml:space="preserve">Existing wording - to be deleted – </w:t>
      </w:r>
    </w:p>
    <w:p w14:paraId="5A9AE4BD" w14:textId="77777777" w:rsidR="00254141" w:rsidRDefault="00254141" w:rsidP="00254141">
      <w:pPr>
        <w:pStyle w:val="ATSNumber2"/>
      </w:pPr>
      <w:r>
        <w:t xml:space="preserve">in support of annual </w:t>
      </w:r>
      <w:r w:rsidRPr="003A37BD">
        <w:t>re-supply</w:t>
      </w:r>
      <w:r>
        <w:t xml:space="preserve"> of the bird blind / emergency hut</w:t>
      </w:r>
      <w:r w:rsidRPr="00C9677D">
        <w:t xml:space="preserve"> </w:t>
      </w:r>
      <w:r>
        <w:t xml:space="preserve">following the designated route (see Map 3), which should be undertaken prior to 15 November </w:t>
      </w:r>
      <w:proofErr w:type="gramStart"/>
      <w:r>
        <w:t>in a given</w:t>
      </w:r>
      <w:proofErr w:type="gramEnd"/>
      <w:r>
        <w:t xml:space="preserve"> season and only if the entire route is snow-covered to a depth of at least 40 cm, to minimise the possibility of damage to underlying soil and vegetation (Felix &amp; </w:t>
      </w:r>
      <w:proofErr w:type="spellStart"/>
      <w:r>
        <w:t>Raynolds</w:t>
      </w:r>
      <w:proofErr w:type="spellEnd"/>
      <w:r>
        <w:t xml:space="preserve"> 1989). A journey after 15 November should be considered carefully, due to potential disturbance to adult female fur seals, which tend to arrive around that time of the year. No more than two </w:t>
      </w:r>
      <w:r w:rsidRPr="003A37BD">
        <w:t>re-supply</w:t>
      </w:r>
      <w:r>
        <w:t xml:space="preserve"> journeys by vehicle to the emergency hut are allowed per season. An inspection of the route should be undertaken when it is snow-free to check for any evidence that vehicle use has caused damage to soils or vegetation. Should any damage be observed, use of vehicles for the purpose of re-supply shall be suspended until such time as a review of this policy has been completed. As of 2021, the vehicle route between the main camp and the bird blind has never been used (Krause pers. comm. 2021).</w:t>
      </w:r>
    </w:p>
    <w:p w14:paraId="034606DF" w14:textId="77777777" w:rsidR="00254141" w:rsidRPr="00DF4E5D" w:rsidRDefault="00254141" w:rsidP="00254141">
      <w:pPr>
        <w:pStyle w:val="ATSNumber2"/>
        <w:numPr>
          <w:ilvl w:val="2"/>
          <w:numId w:val="13"/>
        </w:numPr>
        <w:rPr>
          <w:b/>
        </w:rPr>
      </w:pPr>
      <w:r w:rsidRPr="00DF4E5D">
        <w:rPr>
          <w:b/>
        </w:rPr>
        <w:t xml:space="preserve">Revised wording - to replace existing wording – </w:t>
      </w:r>
    </w:p>
    <w:p w14:paraId="3082552E" w14:textId="77777777" w:rsidR="00254141" w:rsidRDefault="00254141" w:rsidP="00254141">
      <w:pPr>
        <w:pStyle w:val="ATSNormal"/>
        <w:ind w:left="567"/>
      </w:pPr>
      <w:r>
        <w:t>[V</w:t>
      </w:r>
      <w:r w:rsidRPr="000E5462">
        <w:t>ehicle</w:t>
      </w:r>
      <w:r>
        <w:t>s</w:t>
      </w:r>
      <w:r w:rsidRPr="000E5462">
        <w:t xml:space="preserve"> may be used</w:t>
      </w:r>
      <w:r>
        <w:t>]</w:t>
      </w:r>
      <w:r w:rsidRPr="000E5462">
        <w:t xml:space="preserve"> </w:t>
      </w:r>
      <w:r>
        <w:t xml:space="preserve">for access to the location of the United States </w:t>
      </w:r>
      <w:r w:rsidRPr="000E5462">
        <w:t>field hut at Enrique Hill (Map 3)</w:t>
      </w:r>
      <w:r>
        <w:t xml:space="preserve"> when the following conditions are met:</w:t>
      </w:r>
    </w:p>
    <w:p w14:paraId="130A9A16" w14:textId="77777777" w:rsidR="00254141" w:rsidRPr="00D43C30" w:rsidRDefault="00254141" w:rsidP="00254141">
      <w:pPr>
        <w:pStyle w:val="ATSBullet2"/>
        <w:numPr>
          <w:ilvl w:val="0"/>
          <w:numId w:val="12"/>
        </w:numPr>
      </w:pPr>
      <w:r>
        <w:t>L</w:t>
      </w:r>
      <w:r w:rsidRPr="00D43C30">
        <w:t>arge and</w:t>
      </w:r>
      <w:r>
        <w:t xml:space="preserve"> </w:t>
      </w:r>
      <w:r w:rsidRPr="00D43C30">
        <w:t>/</w:t>
      </w:r>
      <w:r>
        <w:t xml:space="preserve"> </w:t>
      </w:r>
      <w:r w:rsidRPr="00D43C30">
        <w:t xml:space="preserve">or heavy items </w:t>
      </w:r>
      <w:r>
        <w:t>need to be transported for essential facility</w:t>
      </w:r>
      <w:r w:rsidRPr="00D43C30">
        <w:t xml:space="preserve"> </w:t>
      </w:r>
      <w:r>
        <w:t>maintenance and / or reconstruction purposes provided it is impractical and / or presents unacceptable risks to personnel safety to carry the required items on foot. Other purposes for use of a vehicle along the designated route, including for research, are prohibited (except in an emergency</w:t>
      </w:r>
      <w:proofErr w:type="gramStart"/>
      <w:r>
        <w:t>);</w:t>
      </w:r>
      <w:proofErr w:type="gramEnd"/>
      <w:r>
        <w:t xml:space="preserve"> </w:t>
      </w:r>
      <w:r w:rsidRPr="00D43C30">
        <w:t xml:space="preserve"> </w:t>
      </w:r>
    </w:p>
    <w:p w14:paraId="18C5F657" w14:textId="77777777" w:rsidR="00254141" w:rsidRPr="00DB0ABC" w:rsidRDefault="00254141" w:rsidP="00254141">
      <w:pPr>
        <w:pStyle w:val="ATSBullet2"/>
        <w:numPr>
          <w:ilvl w:val="0"/>
          <w:numId w:val="12"/>
        </w:numPr>
      </w:pPr>
      <w:r w:rsidRPr="00DB0ABC">
        <w:lastRenderedPageBreak/>
        <w:t xml:space="preserve">The designated routes to / from the field hut from </w:t>
      </w:r>
      <w:proofErr w:type="spellStart"/>
      <w:r w:rsidRPr="00DB0ABC">
        <w:t>Módulo</w:t>
      </w:r>
      <w:proofErr w:type="spellEnd"/>
      <w:r w:rsidRPr="00DB0ABC">
        <w:t xml:space="preserve"> Beach and / or </w:t>
      </w:r>
      <w:proofErr w:type="spellStart"/>
      <w:r w:rsidRPr="00DB0ABC">
        <w:t>Alcázar</w:t>
      </w:r>
      <w:proofErr w:type="spellEnd"/>
      <w:r w:rsidRPr="00DB0ABC">
        <w:t xml:space="preserve"> Beach, as shown on Map 3, shall be strictly followed</w:t>
      </w:r>
      <w:r>
        <w:t>.</w:t>
      </w:r>
      <w:r w:rsidRPr="004D7D6C">
        <w:t xml:space="preserve"> </w:t>
      </w:r>
      <w:r w:rsidRPr="005D7137">
        <w:t xml:space="preserve">By preference, </w:t>
      </w:r>
      <w:r>
        <w:t>the shortest of these routes that is practical to transport materials</w:t>
      </w:r>
      <w:r w:rsidRPr="00DB0ABC">
        <w:t xml:space="preserve"> </w:t>
      </w:r>
      <w:r>
        <w:t xml:space="preserve">by vehicle shall be </w:t>
      </w:r>
      <w:proofErr w:type="gramStart"/>
      <w:r>
        <w:t>selected</w:t>
      </w:r>
      <w:r w:rsidRPr="00DB0ABC">
        <w:t>;</w:t>
      </w:r>
      <w:proofErr w:type="gramEnd"/>
    </w:p>
    <w:p w14:paraId="7D8831DB" w14:textId="77777777" w:rsidR="00254141" w:rsidRPr="005D7137" w:rsidRDefault="00254141" w:rsidP="00254141">
      <w:pPr>
        <w:pStyle w:val="ATSBullet2"/>
        <w:numPr>
          <w:ilvl w:val="0"/>
          <w:numId w:val="12"/>
        </w:numPr>
      </w:pPr>
      <w:r w:rsidRPr="005D7137">
        <w:t xml:space="preserve">By preference, vehicles should be used at times when the ground is frozen, either early or late season or at times of the day when this is more </w:t>
      </w:r>
      <w:proofErr w:type="gramStart"/>
      <w:r w:rsidRPr="005D7137">
        <w:t>likely;</w:t>
      </w:r>
      <w:proofErr w:type="gramEnd"/>
    </w:p>
    <w:p w14:paraId="6CED9EFC" w14:textId="77777777" w:rsidR="00254141" w:rsidRDefault="00254141" w:rsidP="00254141">
      <w:pPr>
        <w:pStyle w:val="ATSBullet2"/>
        <w:numPr>
          <w:ilvl w:val="0"/>
          <w:numId w:val="12"/>
        </w:numPr>
      </w:pPr>
      <w:r>
        <w:t>The vehicle and any towed trailer, if used, are of a size and design that minimizes potential damage to soils and vegetation along the designated vehicle route, such as a small ‘quad bike’ with four-wheel drive traction and with wide tyres installed to spread loads (including on any trailer</w:t>
      </w:r>
      <w:proofErr w:type="gramStart"/>
      <w:r>
        <w:t>);</w:t>
      </w:r>
      <w:proofErr w:type="gramEnd"/>
    </w:p>
    <w:p w14:paraId="72F91045" w14:textId="77777777" w:rsidR="00254141" w:rsidRDefault="00254141" w:rsidP="00254141">
      <w:pPr>
        <w:pStyle w:val="ATSBullet2"/>
        <w:numPr>
          <w:ilvl w:val="0"/>
          <w:numId w:val="12"/>
        </w:numPr>
      </w:pPr>
      <w:r>
        <w:t xml:space="preserve">The weights carried by the vehicle and / or trailer are not overloaded so as to cause tyres to sink into ground and / or result in loss of vehicle traction which could otherwise be </w:t>
      </w:r>
      <w:proofErr w:type="gramStart"/>
      <w:r>
        <w:t>avoided;</w:t>
      </w:r>
      <w:proofErr w:type="gramEnd"/>
    </w:p>
    <w:p w14:paraId="57F22877" w14:textId="77777777" w:rsidR="00254141" w:rsidRPr="00FF40C9" w:rsidRDefault="00254141" w:rsidP="00254141">
      <w:pPr>
        <w:pStyle w:val="ATSBullet2"/>
        <w:numPr>
          <w:ilvl w:val="0"/>
          <w:numId w:val="12"/>
        </w:numPr>
      </w:pPr>
      <w:r w:rsidRPr="005D7137">
        <w:t xml:space="preserve">Potential damage to soils and / or vegetation by vehicles should be monitored closely, and </w:t>
      </w:r>
      <w:r>
        <w:t>vehicles should avoid visible vegetation and / or soft (potentially waterlogged) soils to the maximum extent practicable while adhering to the designated route. Where unavoidable,</w:t>
      </w:r>
      <w:r w:rsidRPr="005D7137">
        <w:t xml:space="preserve"> at the first sign of </w:t>
      </w:r>
      <w:r>
        <w:t xml:space="preserve">any </w:t>
      </w:r>
      <w:r w:rsidRPr="005D7137">
        <w:t xml:space="preserve">damage </w:t>
      </w:r>
      <w:r>
        <w:t xml:space="preserve">to soils and / or vegetation, </w:t>
      </w:r>
      <w:r w:rsidRPr="005D7137">
        <w:t xml:space="preserve">vehicle users should implement mitigation measures to prevent </w:t>
      </w:r>
      <w:r>
        <w:t>further damage</w:t>
      </w:r>
      <w:r w:rsidRPr="005D7137">
        <w:t xml:space="preserve">. Measures may include laying removable boarding or matting to avoid </w:t>
      </w:r>
      <w:r>
        <w:t>the</w:t>
      </w:r>
      <w:r w:rsidRPr="005D7137">
        <w:t xml:space="preserve"> necessity for route deviations. Any materials laid should be removed when no longer necessary and not left </w:t>
      </w:r>
      <w:r w:rsidRPr="005D7137">
        <w:rPr>
          <w:i/>
        </w:rPr>
        <w:t xml:space="preserve">in situ </w:t>
      </w:r>
      <w:proofErr w:type="gramStart"/>
      <w:r w:rsidRPr="005D7137">
        <w:t>in order to</w:t>
      </w:r>
      <w:proofErr w:type="gramEnd"/>
      <w:r w:rsidRPr="005D7137">
        <w:t xml:space="preserve"> prevent their uncontrolled release into the environment.</w:t>
      </w:r>
    </w:p>
    <w:p w14:paraId="000751C0" w14:textId="77777777" w:rsidR="00254141" w:rsidRDefault="00254141" w:rsidP="00254141">
      <w:pPr>
        <w:pStyle w:val="ATSHeading3"/>
      </w:pPr>
      <w:r>
        <w:t>Recommendation</w:t>
      </w:r>
    </w:p>
    <w:p w14:paraId="33D7D12C" w14:textId="77777777" w:rsidR="00254141" w:rsidRDefault="00254141" w:rsidP="00254141">
      <w:pPr>
        <w:pStyle w:val="ATSNormal"/>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79805515" w14:textId="77777777" w:rsidR="00254141" w:rsidRDefault="00254141" w:rsidP="00254141">
      <w:pPr>
        <w:pStyle w:val="ATSHeading1"/>
      </w:pPr>
    </w:p>
    <w:p w14:paraId="5046F222" w14:textId="77777777" w:rsidR="004B4A60" w:rsidRDefault="00254141" w:rsidP="00952E9F"/>
    <w:sectPr w:rsidR="004B4A6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C837" w14:textId="77777777" w:rsidR="00000000" w:rsidRDefault="00254141">
      <w:r>
        <w:separator/>
      </w:r>
    </w:p>
  </w:endnote>
  <w:endnote w:type="continuationSeparator" w:id="0">
    <w:p w14:paraId="103CBE71" w14:textId="77777777" w:rsidR="00000000" w:rsidRDefault="0025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FEBF" w14:textId="77777777" w:rsidR="00FA0B9F" w:rsidRDefault="00254141" w:rsidP="00CF5C82">
    <w:pPr>
      <w:framePr w:wrap="around" w:vAnchor="text" w:hAnchor="margin" w:xAlign="right" w:y="1"/>
    </w:pPr>
    <w:r>
      <w:fldChar w:fldCharType="begin"/>
    </w:r>
    <w:r>
      <w:instrText xml:space="preserve">PAGE  </w:instrText>
    </w:r>
    <w:r>
      <w:fldChar w:fldCharType="separate"/>
    </w:r>
    <w:r>
      <w:fldChar w:fldCharType="end"/>
    </w:r>
  </w:p>
  <w:p w14:paraId="74FAB598" w14:textId="77777777" w:rsidR="00FA0B9F" w:rsidRDefault="0025414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5C80" w14:textId="77777777" w:rsidR="00FA0B9F" w:rsidRDefault="0025414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179759C" w14:textId="77777777" w:rsidR="00FA0B9F" w:rsidRDefault="00254141" w:rsidP="00FA0B9F">
    <w:pPr>
      <w:ind w:right="360"/>
    </w:pPr>
    <w:r>
      <w:t xml:space="preserve">Attachments: </w:t>
    </w:r>
  </w:p>
  <w:p w14:paraId="09E2C114" w14:textId="28A6BD99" w:rsidR="00254141" w:rsidRDefault="00254141" w:rsidP="00FA0B9F">
    <w:pPr>
      <w:ind w:right="360"/>
    </w:pPr>
    <w:r>
      <w:t>Atcm45_att040_e.docx: ASPA 149 Revised Management Plan</w:t>
    </w:r>
  </w:p>
  <w:p w14:paraId="4A0EDF77" w14:textId="4D9AFBAF" w:rsidR="00254141" w:rsidRDefault="00254141" w:rsidP="00FA0B9F">
    <w:pPr>
      <w:ind w:right="360"/>
    </w:pPr>
    <w:r w:rsidRPr="00254141">
      <w:t>Atcm45_att041_e.pdf: ASPA 149 Map</w:t>
    </w:r>
    <w:r>
      <w:t xml:space="preserve"> 1</w:t>
    </w:r>
  </w:p>
  <w:p w14:paraId="7486F3F6" w14:textId="605CBFF1" w:rsidR="00254141" w:rsidRDefault="00254141" w:rsidP="00254141">
    <w:pPr>
      <w:ind w:right="360"/>
    </w:pPr>
    <w:r w:rsidRPr="00254141">
      <w:t>Atcm45_att04</w:t>
    </w:r>
    <w:r>
      <w:t>2</w:t>
    </w:r>
    <w:r w:rsidRPr="00254141">
      <w:t>_e.pdf: ASPA 149 Map</w:t>
    </w:r>
    <w:r>
      <w:t xml:space="preserve"> </w:t>
    </w:r>
    <w:r>
      <w:t>2</w:t>
    </w:r>
  </w:p>
  <w:p w14:paraId="784A1881" w14:textId="650DECDC" w:rsidR="00254141" w:rsidRDefault="00254141" w:rsidP="00254141">
    <w:pPr>
      <w:ind w:right="360"/>
    </w:pPr>
    <w:r w:rsidRPr="00254141">
      <w:t>Atcm45_att04</w:t>
    </w:r>
    <w:r>
      <w:t>3</w:t>
    </w:r>
    <w:r w:rsidRPr="00254141">
      <w:t>_e.pdf: ASPA 149 Map</w:t>
    </w:r>
    <w:r>
      <w:t xml:space="preserve"> </w:t>
    </w:r>
    <w:r>
      <w:t>3</w:t>
    </w:r>
  </w:p>
  <w:p w14:paraId="3C03B015" w14:textId="77777777" w:rsidR="00254141" w:rsidRDefault="00254141" w:rsidP="00FA0B9F">
    <w:pPr>
      <w:ind w:right="360"/>
    </w:pPr>
  </w:p>
  <w:p w14:paraId="07F80C0E" w14:textId="77777777" w:rsidR="00254141" w:rsidRPr="00254141" w:rsidRDefault="0025414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75A4" w14:textId="77777777" w:rsidR="00E311C9" w:rsidRDefault="0025414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1CEE907" w14:textId="77777777" w:rsidR="00E311C9" w:rsidRDefault="0025414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A433" w14:textId="77777777" w:rsidR="00000000" w:rsidRDefault="00254141">
      <w:r>
        <w:separator/>
      </w:r>
    </w:p>
  </w:footnote>
  <w:footnote w:type="continuationSeparator" w:id="0">
    <w:p w14:paraId="0595C5BE" w14:textId="77777777" w:rsidR="00000000" w:rsidRDefault="00254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4261A" w14:paraId="53C0CC0B" w14:textId="77777777" w:rsidTr="002E12EC">
      <w:trPr>
        <w:trHeight w:val="344"/>
        <w:jc w:val="center"/>
      </w:trPr>
      <w:tc>
        <w:tcPr>
          <w:tcW w:w="5495" w:type="dxa"/>
        </w:tcPr>
        <w:p w14:paraId="7D47499B" w14:textId="77777777" w:rsidR="00DB7C09" w:rsidRDefault="00254141" w:rsidP="00F968D4"/>
      </w:tc>
      <w:tc>
        <w:tcPr>
          <w:tcW w:w="4253" w:type="dxa"/>
          <w:gridSpan w:val="2"/>
        </w:tcPr>
        <w:p w14:paraId="32DFC8CE" w14:textId="77777777" w:rsidR="00DB7C09" w:rsidRPr="00BD47E4" w:rsidRDefault="00254141" w:rsidP="002A07BC">
          <w:pPr>
            <w:jc w:val="right"/>
            <w:rPr>
              <w:b/>
              <w:sz w:val="32"/>
              <w:szCs w:val="32"/>
            </w:rPr>
          </w:pPr>
          <w:bookmarkStart w:id="2" w:name="type"/>
          <w:r w:rsidRPr="00BD47E4">
            <w:rPr>
              <w:b/>
              <w:sz w:val="32"/>
              <w:szCs w:val="32"/>
            </w:rPr>
            <w:t>WP</w:t>
          </w:r>
          <w:bookmarkEnd w:id="2"/>
        </w:p>
      </w:tc>
      <w:tc>
        <w:tcPr>
          <w:tcW w:w="1524" w:type="dxa"/>
          <w:gridSpan w:val="2"/>
        </w:tcPr>
        <w:p w14:paraId="4E27464D" w14:textId="77777777" w:rsidR="00DB7C09" w:rsidRPr="00BD47E4" w:rsidRDefault="00254141" w:rsidP="00DB7C09">
          <w:pPr>
            <w:rPr>
              <w:b/>
              <w:sz w:val="32"/>
              <w:szCs w:val="32"/>
            </w:rPr>
          </w:pPr>
          <w:bookmarkStart w:id="3" w:name="number"/>
          <w:r w:rsidRPr="00BD47E4">
            <w:rPr>
              <w:b/>
              <w:sz w:val="32"/>
              <w:szCs w:val="32"/>
            </w:rPr>
            <w:t>45</w:t>
          </w:r>
          <w:bookmarkEnd w:id="3"/>
        </w:p>
      </w:tc>
    </w:tr>
    <w:tr w:rsidR="00D4261A" w14:paraId="4D57B50D" w14:textId="77777777" w:rsidTr="002E12EC">
      <w:trPr>
        <w:trHeight w:val="2165"/>
        <w:jc w:val="center"/>
      </w:trPr>
      <w:tc>
        <w:tcPr>
          <w:tcW w:w="5495" w:type="dxa"/>
        </w:tcPr>
        <w:p w14:paraId="26609432" w14:textId="77777777" w:rsidR="00490760" w:rsidRPr="00EE4D48" w:rsidRDefault="00254141" w:rsidP="002A07BC">
          <w:pPr>
            <w:rPr>
              <w:b/>
              <w:sz w:val="28"/>
              <w:szCs w:val="28"/>
            </w:rPr>
          </w:pPr>
          <w:r>
            <w:rPr>
              <w:noProof/>
            </w:rPr>
            <w:drawing>
              <wp:inline distT="0" distB="0" distL="0" distR="0" wp14:anchorId="7235ED17" wp14:editId="19D56E7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8539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221FF9A" w14:textId="77777777" w:rsidR="00490760" w:rsidRPr="00FE5146" w:rsidRDefault="00254141" w:rsidP="00490760">
          <w:pPr>
            <w:jc w:val="right"/>
            <w:rPr>
              <w:sz w:val="144"/>
              <w:szCs w:val="144"/>
            </w:rPr>
          </w:pPr>
          <w:r w:rsidRPr="00FE5146">
            <w:rPr>
              <w:sz w:val="144"/>
              <w:szCs w:val="144"/>
            </w:rPr>
            <w:t>ENG</w:t>
          </w:r>
        </w:p>
      </w:tc>
    </w:tr>
    <w:tr w:rsidR="00D4261A" w14:paraId="5DC99063" w14:textId="77777777" w:rsidTr="002E12EC">
      <w:trPr>
        <w:trHeight w:val="409"/>
        <w:jc w:val="center"/>
      </w:trPr>
      <w:tc>
        <w:tcPr>
          <w:tcW w:w="8500" w:type="dxa"/>
          <w:gridSpan w:val="2"/>
        </w:tcPr>
        <w:p w14:paraId="38C98219" w14:textId="77777777" w:rsidR="00BD47E4" w:rsidRDefault="00254141" w:rsidP="002C30DA">
          <w:pPr>
            <w:jc w:val="right"/>
          </w:pPr>
          <w:r>
            <w:t>Agenda Item:</w:t>
          </w:r>
        </w:p>
      </w:tc>
      <w:tc>
        <w:tcPr>
          <w:tcW w:w="2382" w:type="dxa"/>
          <w:gridSpan w:val="2"/>
        </w:tcPr>
        <w:p w14:paraId="2590D2C6" w14:textId="77777777" w:rsidR="00BD47E4" w:rsidRDefault="00254141" w:rsidP="002C30DA">
          <w:pPr>
            <w:jc w:val="right"/>
          </w:pPr>
          <w:bookmarkStart w:id="4" w:name="agenda"/>
          <w:r>
            <w:t>CEP 9a</w:t>
          </w:r>
          <w:bookmarkEnd w:id="4"/>
        </w:p>
      </w:tc>
      <w:tc>
        <w:tcPr>
          <w:tcW w:w="390" w:type="dxa"/>
        </w:tcPr>
        <w:p w14:paraId="3FF2B9AA" w14:textId="77777777" w:rsidR="00BD47E4" w:rsidRDefault="00254141" w:rsidP="00387A65">
          <w:pPr>
            <w:jc w:val="right"/>
          </w:pPr>
        </w:p>
      </w:tc>
    </w:tr>
    <w:tr w:rsidR="00D4261A" w14:paraId="30C9E0FC" w14:textId="77777777" w:rsidTr="002E12EC">
      <w:trPr>
        <w:trHeight w:val="397"/>
        <w:jc w:val="center"/>
      </w:trPr>
      <w:tc>
        <w:tcPr>
          <w:tcW w:w="8500" w:type="dxa"/>
          <w:gridSpan w:val="2"/>
        </w:tcPr>
        <w:p w14:paraId="18B519CF" w14:textId="77777777" w:rsidR="00BD47E4" w:rsidRDefault="00254141" w:rsidP="002C30DA">
          <w:pPr>
            <w:jc w:val="right"/>
          </w:pPr>
          <w:r>
            <w:t>Presented by:</w:t>
          </w:r>
        </w:p>
      </w:tc>
      <w:tc>
        <w:tcPr>
          <w:tcW w:w="2382" w:type="dxa"/>
          <w:gridSpan w:val="2"/>
        </w:tcPr>
        <w:p w14:paraId="76ABC6A1" w14:textId="77777777" w:rsidR="00BD47E4" w:rsidRDefault="00254141" w:rsidP="002C30DA">
          <w:pPr>
            <w:jc w:val="right"/>
          </w:pPr>
          <w:bookmarkStart w:id="5" w:name="party"/>
          <w:r>
            <w:t>United States</w:t>
          </w:r>
          <w:bookmarkEnd w:id="5"/>
        </w:p>
      </w:tc>
      <w:tc>
        <w:tcPr>
          <w:tcW w:w="390" w:type="dxa"/>
        </w:tcPr>
        <w:p w14:paraId="36F003AD" w14:textId="77777777" w:rsidR="00BD47E4" w:rsidRDefault="00254141" w:rsidP="00387A65">
          <w:pPr>
            <w:jc w:val="right"/>
          </w:pPr>
        </w:p>
      </w:tc>
    </w:tr>
    <w:tr w:rsidR="00D4261A" w14:paraId="5EF91F9F" w14:textId="77777777" w:rsidTr="002E12EC">
      <w:trPr>
        <w:trHeight w:val="409"/>
        <w:jc w:val="center"/>
      </w:trPr>
      <w:tc>
        <w:tcPr>
          <w:tcW w:w="8500" w:type="dxa"/>
          <w:gridSpan w:val="2"/>
        </w:tcPr>
        <w:p w14:paraId="4BC8F4EB" w14:textId="77777777" w:rsidR="00BD47E4" w:rsidRDefault="00254141" w:rsidP="002C30DA">
          <w:pPr>
            <w:jc w:val="right"/>
          </w:pPr>
          <w:r>
            <w:t>Original:</w:t>
          </w:r>
        </w:p>
      </w:tc>
      <w:tc>
        <w:tcPr>
          <w:tcW w:w="2382" w:type="dxa"/>
          <w:gridSpan w:val="2"/>
        </w:tcPr>
        <w:p w14:paraId="7768BF3F" w14:textId="77777777" w:rsidR="00BD47E4" w:rsidRDefault="00254141" w:rsidP="002C30DA">
          <w:pPr>
            <w:jc w:val="right"/>
          </w:pPr>
          <w:bookmarkStart w:id="6" w:name="language"/>
          <w:r>
            <w:t>English</w:t>
          </w:r>
          <w:bookmarkEnd w:id="6"/>
        </w:p>
      </w:tc>
      <w:tc>
        <w:tcPr>
          <w:tcW w:w="390" w:type="dxa"/>
        </w:tcPr>
        <w:p w14:paraId="087DD8F7" w14:textId="77777777" w:rsidR="00BD47E4" w:rsidRDefault="00254141" w:rsidP="00387A65">
          <w:pPr>
            <w:jc w:val="right"/>
          </w:pPr>
        </w:p>
      </w:tc>
    </w:tr>
    <w:tr w:rsidR="00D4261A" w14:paraId="02332F38" w14:textId="77777777" w:rsidTr="002E12EC">
      <w:trPr>
        <w:trHeight w:val="409"/>
        <w:jc w:val="center"/>
      </w:trPr>
      <w:tc>
        <w:tcPr>
          <w:tcW w:w="8500" w:type="dxa"/>
          <w:gridSpan w:val="2"/>
        </w:tcPr>
        <w:p w14:paraId="163EF0D4" w14:textId="77777777" w:rsidR="0097629D" w:rsidRDefault="00254141" w:rsidP="002C30DA">
          <w:pPr>
            <w:jc w:val="right"/>
          </w:pPr>
          <w:r>
            <w:t>Submitted:</w:t>
          </w:r>
        </w:p>
      </w:tc>
      <w:tc>
        <w:tcPr>
          <w:tcW w:w="2382" w:type="dxa"/>
          <w:gridSpan w:val="2"/>
        </w:tcPr>
        <w:p w14:paraId="07A9B53C" w14:textId="77777777" w:rsidR="0097629D" w:rsidRDefault="00254141" w:rsidP="0097629D">
          <w:pPr>
            <w:jc w:val="right"/>
          </w:pPr>
          <w:bookmarkStart w:id="7" w:name="date_submission"/>
          <w:r>
            <w:t>14 Apr 2023</w:t>
          </w:r>
          <w:bookmarkEnd w:id="7"/>
        </w:p>
      </w:tc>
      <w:tc>
        <w:tcPr>
          <w:tcW w:w="390" w:type="dxa"/>
        </w:tcPr>
        <w:p w14:paraId="149A6576" w14:textId="77777777" w:rsidR="0097629D" w:rsidRDefault="00254141" w:rsidP="00387A65">
          <w:pPr>
            <w:jc w:val="right"/>
          </w:pPr>
        </w:p>
      </w:tc>
    </w:tr>
  </w:tbl>
  <w:p w14:paraId="00A73889" w14:textId="77777777" w:rsidR="00AE5DD0" w:rsidRDefault="002541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4261A" w14:paraId="67570898" w14:textId="77777777">
      <w:trPr>
        <w:trHeight w:val="354"/>
        <w:jc w:val="center"/>
      </w:trPr>
      <w:tc>
        <w:tcPr>
          <w:tcW w:w="9694" w:type="dxa"/>
        </w:tcPr>
        <w:p w14:paraId="43F78285" w14:textId="2C331CC3" w:rsidR="00AE5DD0" w:rsidRPr="00BD47E4" w:rsidRDefault="00254141" w:rsidP="00C26F2D">
          <w:pPr>
            <w:jc w:val="right"/>
            <w:rPr>
              <w:b/>
              <w:sz w:val="32"/>
              <w:szCs w:val="32"/>
            </w:rPr>
          </w:pPr>
          <w:r>
            <w:rPr>
              <w:b/>
              <w:sz w:val="32"/>
              <w:szCs w:val="32"/>
            </w:rPr>
            <w:t>WP</w:t>
          </w:r>
        </w:p>
      </w:tc>
      <w:tc>
        <w:tcPr>
          <w:tcW w:w="1332" w:type="dxa"/>
        </w:tcPr>
        <w:p w14:paraId="0956F08D" w14:textId="7274E3FF" w:rsidR="00AE5DD0" w:rsidRPr="00BD47E4" w:rsidRDefault="00254141" w:rsidP="00080F4C">
          <w:pPr>
            <w:rPr>
              <w:b/>
              <w:sz w:val="32"/>
              <w:szCs w:val="32"/>
            </w:rPr>
          </w:pPr>
          <w:r>
            <w:rPr>
              <w:b/>
              <w:sz w:val="32"/>
              <w:szCs w:val="32"/>
            </w:rPr>
            <w:t>45</w:t>
          </w:r>
        </w:p>
      </w:tc>
    </w:tr>
  </w:tbl>
  <w:p w14:paraId="10F191FA" w14:textId="77777777" w:rsidR="00AE5DD0" w:rsidRDefault="002541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94E5F4E">
      <w:start w:val="1"/>
      <w:numFmt w:val="bullet"/>
      <w:pStyle w:val="ATSBullet1"/>
      <w:lvlText w:val=""/>
      <w:lvlJc w:val="left"/>
      <w:pPr>
        <w:tabs>
          <w:tab w:val="num" w:pos="360"/>
        </w:tabs>
        <w:ind w:left="360" w:hanging="360"/>
      </w:pPr>
      <w:rPr>
        <w:rFonts w:ascii="Symbol" w:hAnsi="Symbol" w:hint="default"/>
        <w:color w:val="auto"/>
      </w:rPr>
    </w:lvl>
    <w:lvl w:ilvl="1" w:tplc="B7106260" w:tentative="1">
      <w:start w:val="1"/>
      <w:numFmt w:val="bullet"/>
      <w:lvlText w:val="o"/>
      <w:lvlJc w:val="left"/>
      <w:pPr>
        <w:tabs>
          <w:tab w:val="num" w:pos="1440"/>
        </w:tabs>
        <w:ind w:left="1440" w:hanging="360"/>
      </w:pPr>
      <w:rPr>
        <w:rFonts w:ascii="Courier New" w:hAnsi="Courier New" w:cs="Courier New" w:hint="default"/>
      </w:rPr>
    </w:lvl>
    <w:lvl w:ilvl="2" w:tplc="8396A0A2" w:tentative="1">
      <w:start w:val="1"/>
      <w:numFmt w:val="bullet"/>
      <w:lvlText w:val=""/>
      <w:lvlJc w:val="left"/>
      <w:pPr>
        <w:tabs>
          <w:tab w:val="num" w:pos="2160"/>
        </w:tabs>
        <w:ind w:left="2160" w:hanging="360"/>
      </w:pPr>
      <w:rPr>
        <w:rFonts w:ascii="Wingdings" w:hAnsi="Wingdings" w:hint="default"/>
      </w:rPr>
    </w:lvl>
    <w:lvl w:ilvl="3" w:tplc="F654BEF4" w:tentative="1">
      <w:start w:val="1"/>
      <w:numFmt w:val="bullet"/>
      <w:lvlText w:val=""/>
      <w:lvlJc w:val="left"/>
      <w:pPr>
        <w:tabs>
          <w:tab w:val="num" w:pos="2880"/>
        </w:tabs>
        <w:ind w:left="2880" w:hanging="360"/>
      </w:pPr>
      <w:rPr>
        <w:rFonts w:ascii="Symbol" w:hAnsi="Symbol" w:hint="default"/>
      </w:rPr>
    </w:lvl>
    <w:lvl w:ilvl="4" w:tplc="1A92BA2E" w:tentative="1">
      <w:start w:val="1"/>
      <w:numFmt w:val="bullet"/>
      <w:lvlText w:val="o"/>
      <w:lvlJc w:val="left"/>
      <w:pPr>
        <w:tabs>
          <w:tab w:val="num" w:pos="3600"/>
        </w:tabs>
        <w:ind w:left="3600" w:hanging="360"/>
      </w:pPr>
      <w:rPr>
        <w:rFonts w:ascii="Courier New" w:hAnsi="Courier New" w:cs="Courier New" w:hint="default"/>
      </w:rPr>
    </w:lvl>
    <w:lvl w:ilvl="5" w:tplc="F16A0EDC" w:tentative="1">
      <w:start w:val="1"/>
      <w:numFmt w:val="bullet"/>
      <w:lvlText w:val=""/>
      <w:lvlJc w:val="left"/>
      <w:pPr>
        <w:tabs>
          <w:tab w:val="num" w:pos="4320"/>
        </w:tabs>
        <w:ind w:left="4320" w:hanging="360"/>
      </w:pPr>
      <w:rPr>
        <w:rFonts w:ascii="Wingdings" w:hAnsi="Wingdings" w:hint="default"/>
      </w:rPr>
    </w:lvl>
    <w:lvl w:ilvl="6" w:tplc="7FE27344" w:tentative="1">
      <w:start w:val="1"/>
      <w:numFmt w:val="bullet"/>
      <w:lvlText w:val=""/>
      <w:lvlJc w:val="left"/>
      <w:pPr>
        <w:tabs>
          <w:tab w:val="num" w:pos="5040"/>
        </w:tabs>
        <w:ind w:left="5040" w:hanging="360"/>
      </w:pPr>
      <w:rPr>
        <w:rFonts w:ascii="Symbol" w:hAnsi="Symbol" w:hint="default"/>
      </w:rPr>
    </w:lvl>
    <w:lvl w:ilvl="7" w:tplc="62664764" w:tentative="1">
      <w:start w:val="1"/>
      <w:numFmt w:val="bullet"/>
      <w:lvlText w:val="o"/>
      <w:lvlJc w:val="left"/>
      <w:pPr>
        <w:tabs>
          <w:tab w:val="num" w:pos="5760"/>
        </w:tabs>
        <w:ind w:left="5760" w:hanging="360"/>
      </w:pPr>
      <w:rPr>
        <w:rFonts w:ascii="Courier New" w:hAnsi="Courier New" w:cs="Courier New" w:hint="default"/>
      </w:rPr>
    </w:lvl>
    <w:lvl w:ilvl="8" w:tplc="442E18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F76DF06">
      <w:start w:val="1"/>
      <w:numFmt w:val="decimal"/>
      <w:lvlText w:val="%1)"/>
      <w:lvlJc w:val="left"/>
      <w:pPr>
        <w:tabs>
          <w:tab w:val="num" w:pos="340"/>
        </w:tabs>
        <w:ind w:left="340" w:hanging="340"/>
      </w:pPr>
      <w:rPr>
        <w:rFonts w:hint="default"/>
      </w:rPr>
    </w:lvl>
    <w:lvl w:ilvl="1" w:tplc="9E349E42" w:tentative="1">
      <w:start w:val="1"/>
      <w:numFmt w:val="lowerLetter"/>
      <w:lvlText w:val="%2."/>
      <w:lvlJc w:val="left"/>
      <w:pPr>
        <w:tabs>
          <w:tab w:val="num" w:pos="1440"/>
        </w:tabs>
        <w:ind w:left="1440" w:hanging="360"/>
      </w:pPr>
    </w:lvl>
    <w:lvl w:ilvl="2" w:tplc="E7A2E21C" w:tentative="1">
      <w:start w:val="1"/>
      <w:numFmt w:val="lowerRoman"/>
      <w:lvlText w:val="%3."/>
      <w:lvlJc w:val="right"/>
      <w:pPr>
        <w:tabs>
          <w:tab w:val="num" w:pos="2160"/>
        </w:tabs>
        <w:ind w:left="2160" w:hanging="180"/>
      </w:pPr>
    </w:lvl>
    <w:lvl w:ilvl="3" w:tplc="EF5AE56C" w:tentative="1">
      <w:start w:val="1"/>
      <w:numFmt w:val="decimal"/>
      <w:lvlText w:val="%4."/>
      <w:lvlJc w:val="left"/>
      <w:pPr>
        <w:tabs>
          <w:tab w:val="num" w:pos="2880"/>
        </w:tabs>
        <w:ind w:left="2880" w:hanging="360"/>
      </w:pPr>
    </w:lvl>
    <w:lvl w:ilvl="4" w:tplc="FF121798" w:tentative="1">
      <w:start w:val="1"/>
      <w:numFmt w:val="lowerLetter"/>
      <w:lvlText w:val="%5."/>
      <w:lvlJc w:val="left"/>
      <w:pPr>
        <w:tabs>
          <w:tab w:val="num" w:pos="3600"/>
        </w:tabs>
        <w:ind w:left="3600" w:hanging="360"/>
      </w:pPr>
    </w:lvl>
    <w:lvl w:ilvl="5" w:tplc="A6B039F8" w:tentative="1">
      <w:start w:val="1"/>
      <w:numFmt w:val="lowerRoman"/>
      <w:lvlText w:val="%6."/>
      <w:lvlJc w:val="right"/>
      <w:pPr>
        <w:tabs>
          <w:tab w:val="num" w:pos="4320"/>
        </w:tabs>
        <w:ind w:left="4320" w:hanging="180"/>
      </w:pPr>
    </w:lvl>
    <w:lvl w:ilvl="6" w:tplc="39500AE8" w:tentative="1">
      <w:start w:val="1"/>
      <w:numFmt w:val="decimal"/>
      <w:lvlText w:val="%7."/>
      <w:lvlJc w:val="left"/>
      <w:pPr>
        <w:tabs>
          <w:tab w:val="num" w:pos="5040"/>
        </w:tabs>
        <w:ind w:left="5040" w:hanging="360"/>
      </w:pPr>
    </w:lvl>
    <w:lvl w:ilvl="7" w:tplc="C6F4F080" w:tentative="1">
      <w:start w:val="1"/>
      <w:numFmt w:val="lowerLetter"/>
      <w:lvlText w:val="%8."/>
      <w:lvlJc w:val="left"/>
      <w:pPr>
        <w:tabs>
          <w:tab w:val="num" w:pos="5760"/>
        </w:tabs>
        <w:ind w:left="5760" w:hanging="360"/>
      </w:pPr>
    </w:lvl>
    <w:lvl w:ilvl="8" w:tplc="E6B070F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96ABDFE">
      <w:start w:val="1"/>
      <w:numFmt w:val="decimal"/>
      <w:lvlText w:val="%1."/>
      <w:lvlJc w:val="left"/>
      <w:pPr>
        <w:tabs>
          <w:tab w:val="num" w:pos="1057"/>
        </w:tabs>
        <w:ind w:left="1057" w:hanging="360"/>
      </w:pPr>
      <w:rPr>
        <w:rFonts w:hint="default"/>
      </w:rPr>
    </w:lvl>
    <w:lvl w:ilvl="1" w:tplc="609CCCEA" w:tentative="1">
      <w:start w:val="1"/>
      <w:numFmt w:val="lowerLetter"/>
      <w:lvlText w:val="%2."/>
      <w:lvlJc w:val="left"/>
      <w:pPr>
        <w:tabs>
          <w:tab w:val="num" w:pos="2137"/>
        </w:tabs>
        <w:ind w:left="2137" w:hanging="360"/>
      </w:pPr>
    </w:lvl>
    <w:lvl w:ilvl="2" w:tplc="C1009A2A" w:tentative="1">
      <w:start w:val="1"/>
      <w:numFmt w:val="lowerRoman"/>
      <w:lvlText w:val="%3."/>
      <w:lvlJc w:val="right"/>
      <w:pPr>
        <w:tabs>
          <w:tab w:val="num" w:pos="2857"/>
        </w:tabs>
        <w:ind w:left="2857" w:hanging="180"/>
      </w:pPr>
    </w:lvl>
    <w:lvl w:ilvl="3" w:tplc="B6AC8974" w:tentative="1">
      <w:start w:val="1"/>
      <w:numFmt w:val="decimal"/>
      <w:lvlText w:val="%4."/>
      <w:lvlJc w:val="left"/>
      <w:pPr>
        <w:tabs>
          <w:tab w:val="num" w:pos="3577"/>
        </w:tabs>
        <w:ind w:left="3577" w:hanging="360"/>
      </w:pPr>
    </w:lvl>
    <w:lvl w:ilvl="4" w:tplc="88D49F2A" w:tentative="1">
      <w:start w:val="1"/>
      <w:numFmt w:val="lowerLetter"/>
      <w:lvlText w:val="%5."/>
      <w:lvlJc w:val="left"/>
      <w:pPr>
        <w:tabs>
          <w:tab w:val="num" w:pos="4297"/>
        </w:tabs>
        <w:ind w:left="4297" w:hanging="360"/>
      </w:pPr>
    </w:lvl>
    <w:lvl w:ilvl="5" w:tplc="A8CAC4F6" w:tentative="1">
      <w:start w:val="1"/>
      <w:numFmt w:val="lowerRoman"/>
      <w:lvlText w:val="%6."/>
      <w:lvlJc w:val="right"/>
      <w:pPr>
        <w:tabs>
          <w:tab w:val="num" w:pos="5017"/>
        </w:tabs>
        <w:ind w:left="5017" w:hanging="180"/>
      </w:pPr>
    </w:lvl>
    <w:lvl w:ilvl="6" w:tplc="C1D48E86" w:tentative="1">
      <w:start w:val="1"/>
      <w:numFmt w:val="decimal"/>
      <w:lvlText w:val="%7."/>
      <w:lvlJc w:val="left"/>
      <w:pPr>
        <w:tabs>
          <w:tab w:val="num" w:pos="5737"/>
        </w:tabs>
        <w:ind w:left="5737" w:hanging="360"/>
      </w:pPr>
    </w:lvl>
    <w:lvl w:ilvl="7" w:tplc="436632EE" w:tentative="1">
      <w:start w:val="1"/>
      <w:numFmt w:val="lowerLetter"/>
      <w:lvlText w:val="%8."/>
      <w:lvlJc w:val="left"/>
      <w:pPr>
        <w:tabs>
          <w:tab w:val="num" w:pos="6457"/>
        </w:tabs>
        <w:ind w:left="6457" w:hanging="360"/>
      </w:pPr>
    </w:lvl>
    <w:lvl w:ilvl="8" w:tplc="5086886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FE22BF4">
      <w:start w:val="1"/>
      <w:numFmt w:val="decimal"/>
      <w:pStyle w:val="ATSNumber1"/>
      <w:lvlText w:val="%1)"/>
      <w:lvlJc w:val="left"/>
      <w:pPr>
        <w:tabs>
          <w:tab w:val="num" w:pos="720"/>
        </w:tabs>
        <w:ind w:left="720" w:hanging="360"/>
      </w:pPr>
    </w:lvl>
    <w:lvl w:ilvl="1" w:tplc="74EAD85E">
      <w:start w:val="1"/>
      <w:numFmt w:val="lowerLetter"/>
      <w:lvlText w:val="%2."/>
      <w:lvlJc w:val="left"/>
      <w:pPr>
        <w:tabs>
          <w:tab w:val="num" w:pos="1440"/>
        </w:tabs>
        <w:ind w:left="1440" w:hanging="360"/>
      </w:pPr>
    </w:lvl>
    <w:lvl w:ilvl="2" w:tplc="429AA218">
      <w:start w:val="1"/>
      <w:numFmt w:val="lowerRoman"/>
      <w:lvlText w:val="%3."/>
      <w:lvlJc w:val="right"/>
      <w:pPr>
        <w:tabs>
          <w:tab w:val="num" w:pos="2160"/>
        </w:tabs>
        <w:ind w:left="2160" w:hanging="180"/>
      </w:pPr>
    </w:lvl>
    <w:lvl w:ilvl="3" w:tplc="FD3EC44E" w:tentative="1">
      <w:start w:val="1"/>
      <w:numFmt w:val="decimal"/>
      <w:lvlText w:val="%4."/>
      <w:lvlJc w:val="left"/>
      <w:pPr>
        <w:tabs>
          <w:tab w:val="num" w:pos="2880"/>
        </w:tabs>
        <w:ind w:left="2880" w:hanging="360"/>
      </w:pPr>
    </w:lvl>
    <w:lvl w:ilvl="4" w:tplc="6E400490" w:tentative="1">
      <w:start w:val="1"/>
      <w:numFmt w:val="lowerLetter"/>
      <w:lvlText w:val="%5."/>
      <w:lvlJc w:val="left"/>
      <w:pPr>
        <w:tabs>
          <w:tab w:val="num" w:pos="3600"/>
        </w:tabs>
        <w:ind w:left="3600" w:hanging="360"/>
      </w:pPr>
    </w:lvl>
    <w:lvl w:ilvl="5" w:tplc="84D8D6DC" w:tentative="1">
      <w:start w:val="1"/>
      <w:numFmt w:val="lowerRoman"/>
      <w:lvlText w:val="%6."/>
      <w:lvlJc w:val="right"/>
      <w:pPr>
        <w:tabs>
          <w:tab w:val="num" w:pos="4320"/>
        </w:tabs>
        <w:ind w:left="4320" w:hanging="180"/>
      </w:pPr>
    </w:lvl>
    <w:lvl w:ilvl="6" w:tplc="390A891E" w:tentative="1">
      <w:start w:val="1"/>
      <w:numFmt w:val="decimal"/>
      <w:lvlText w:val="%7."/>
      <w:lvlJc w:val="left"/>
      <w:pPr>
        <w:tabs>
          <w:tab w:val="num" w:pos="5040"/>
        </w:tabs>
        <w:ind w:left="5040" w:hanging="360"/>
      </w:pPr>
    </w:lvl>
    <w:lvl w:ilvl="7" w:tplc="E8A80952" w:tentative="1">
      <w:start w:val="1"/>
      <w:numFmt w:val="lowerLetter"/>
      <w:lvlText w:val="%8."/>
      <w:lvlJc w:val="left"/>
      <w:pPr>
        <w:tabs>
          <w:tab w:val="num" w:pos="5760"/>
        </w:tabs>
        <w:ind w:left="5760" w:hanging="360"/>
      </w:pPr>
    </w:lvl>
    <w:lvl w:ilvl="8" w:tplc="F48E7D1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0DAAB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AECE5B8" w:tentative="1">
      <w:start w:val="1"/>
      <w:numFmt w:val="bullet"/>
      <w:lvlText w:val="o"/>
      <w:lvlJc w:val="left"/>
      <w:pPr>
        <w:tabs>
          <w:tab w:val="num" w:pos="2517"/>
        </w:tabs>
        <w:ind w:left="2517" w:hanging="360"/>
      </w:pPr>
      <w:rPr>
        <w:rFonts w:ascii="Courier New" w:hAnsi="Courier New" w:cs="Courier New" w:hint="default"/>
      </w:rPr>
    </w:lvl>
    <w:lvl w:ilvl="2" w:tplc="73EA66BE" w:tentative="1">
      <w:start w:val="1"/>
      <w:numFmt w:val="bullet"/>
      <w:lvlText w:val=""/>
      <w:lvlJc w:val="left"/>
      <w:pPr>
        <w:tabs>
          <w:tab w:val="num" w:pos="3237"/>
        </w:tabs>
        <w:ind w:left="3237" w:hanging="360"/>
      </w:pPr>
      <w:rPr>
        <w:rFonts w:ascii="Wingdings" w:hAnsi="Wingdings" w:hint="default"/>
      </w:rPr>
    </w:lvl>
    <w:lvl w:ilvl="3" w:tplc="F70C2852" w:tentative="1">
      <w:start w:val="1"/>
      <w:numFmt w:val="bullet"/>
      <w:lvlText w:val=""/>
      <w:lvlJc w:val="left"/>
      <w:pPr>
        <w:tabs>
          <w:tab w:val="num" w:pos="3957"/>
        </w:tabs>
        <w:ind w:left="3957" w:hanging="360"/>
      </w:pPr>
      <w:rPr>
        <w:rFonts w:ascii="Symbol" w:hAnsi="Symbol" w:hint="default"/>
      </w:rPr>
    </w:lvl>
    <w:lvl w:ilvl="4" w:tplc="45A0590A" w:tentative="1">
      <w:start w:val="1"/>
      <w:numFmt w:val="bullet"/>
      <w:lvlText w:val="o"/>
      <w:lvlJc w:val="left"/>
      <w:pPr>
        <w:tabs>
          <w:tab w:val="num" w:pos="4677"/>
        </w:tabs>
        <w:ind w:left="4677" w:hanging="360"/>
      </w:pPr>
      <w:rPr>
        <w:rFonts w:ascii="Courier New" w:hAnsi="Courier New" w:cs="Courier New" w:hint="default"/>
      </w:rPr>
    </w:lvl>
    <w:lvl w:ilvl="5" w:tplc="5862FCF2" w:tentative="1">
      <w:start w:val="1"/>
      <w:numFmt w:val="bullet"/>
      <w:lvlText w:val=""/>
      <w:lvlJc w:val="left"/>
      <w:pPr>
        <w:tabs>
          <w:tab w:val="num" w:pos="5397"/>
        </w:tabs>
        <w:ind w:left="5397" w:hanging="360"/>
      </w:pPr>
      <w:rPr>
        <w:rFonts w:ascii="Wingdings" w:hAnsi="Wingdings" w:hint="default"/>
      </w:rPr>
    </w:lvl>
    <w:lvl w:ilvl="6" w:tplc="8BB0863C" w:tentative="1">
      <w:start w:val="1"/>
      <w:numFmt w:val="bullet"/>
      <w:lvlText w:val=""/>
      <w:lvlJc w:val="left"/>
      <w:pPr>
        <w:tabs>
          <w:tab w:val="num" w:pos="6117"/>
        </w:tabs>
        <w:ind w:left="6117" w:hanging="360"/>
      </w:pPr>
      <w:rPr>
        <w:rFonts w:ascii="Symbol" w:hAnsi="Symbol" w:hint="default"/>
      </w:rPr>
    </w:lvl>
    <w:lvl w:ilvl="7" w:tplc="0B16A6B2" w:tentative="1">
      <w:start w:val="1"/>
      <w:numFmt w:val="bullet"/>
      <w:lvlText w:val="o"/>
      <w:lvlJc w:val="left"/>
      <w:pPr>
        <w:tabs>
          <w:tab w:val="num" w:pos="6837"/>
        </w:tabs>
        <w:ind w:left="6837" w:hanging="360"/>
      </w:pPr>
      <w:rPr>
        <w:rFonts w:ascii="Courier New" w:hAnsi="Courier New" w:cs="Courier New" w:hint="default"/>
      </w:rPr>
    </w:lvl>
    <w:lvl w:ilvl="8" w:tplc="660E92C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6A4B48A">
      <w:start w:val="1"/>
      <w:numFmt w:val="decimal"/>
      <w:pStyle w:val="ATSNumber2"/>
      <w:lvlText w:val="%1."/>
      <w:lvlJc w:val="left"/>
      <w:pPr>
        <w:tabs>
          <w:tab w:val="num" w:pos="720"/>
        </w:tabs>
        <w:ind w:left="720" w:hanging="360"/>
      </w:pPr>
      <w:rPr>
        <w:rFonts w:hint="default"/>
      </w:rPr>
    </w:lvl>
    <w:lvl w:ilvl="1" w:tplc="9A04FC96" w:tentative="1">
      <w:start w:val="1"/>
      <w:numFmt w:val="lowerLetter"/>
      <w:lvlText w:val="%2."/>
      <w:lvlJc w:val="left"/>
      <w:pPr>
        <w:tabs>
          <w:tab w:val="num" w:pos="1440"/>
        </w:tabs>
        <w:ind w:left="1440" w:hanging="360"/>
      </w:pPr>
    </w:lvl>
    <w:lvl w:ilvl="2" w:tplc="BE4E5208" w:tentative="1">
      <w:start w:val="1"/>
      <w:numFmt w:val="lowerRoman"/>
      <w:lvlText w:val="%3."/>
      <w:lvlJc w:val="right"/>
      <w:pPr>
        <w:tabs>
          <w:tab w:val="num" w:pos="2160"/>
        </w:tabs>
        <w:ind w:left="2160" w:hanging="180"/>
      </w:pPr>
    </w:lvl>
    <w:lvl w:ilvl="3" w:tplc="598831CA" w:tentative="1">
      <w:start w:val="1"/>
      <w:numFmt w:val="decimal"/>
      <w:lvlText w:val="%4."/>
      <w:lvlJc w:val="left"/>
      <w:pPr>
        <w:tabs>
          <w:tab w:val="num" w:pos="2880"/>
        </w:tabs>
        <w:ind w:left="2880" w:hanging="360"/>
      </w:pPr>
    </w:lvl>
    <w:lvl w:ilvl="4" w:tplc="8594F6FE" w:tentative="1">
      <w:start w:val="1"/>
      <w:numFmt w:val="lowerLetter"/>
      <w:lvlText w:val="%5."/>
      <w:lvlJc w:val="left"/>
      <w:pPr>
        <w:tabs>
          <w:tab w:val="num" w:pos="3600"/>
        </w:tabs>
        <w:ind w:left="3600" w:hanging="360"/>
      </w:pPr>
    </w:lvl>
    <w:lvl w:ilvl="5" w:tplc="01BCCDD6" w:tentative="1">
      <w:start w:val="1"/>
      <w:numFmt w:val="lowerRoman"/>
      <w:lvlText w:val="%6."/>
      <w:lvlJc w:val="right"/>
      <w:pPr>
        <w:tabs>
          <w:tab w:val="num" w:pos="4320"/>
        </w:tabs>
        <w:ind w:left="4320" w:hanging="180"/>
      </w:pPr>
    </w:lvl>
    <w:lvl w:ilvl="6" w:tplc="48986BE0" w:tentative="1">
      <w:start w:val="1"/>
      <w:numFmt w:val="decimal"/>
      <w:lvlText w:val="%7."/>
      <w:lvlJc w:val="left"/>
      <w:pPr>
        <w:tabs>
          <w:tab w:val="num" w:pos="5040"/>
        </w:tabs>
        <w:ind w:left="5040" w:hanging="360"/>
      </w:pPr>
    </w:lvl>
    <w:lvl w:ilvl="7" w:tplc="E3E8DC2E" w:tentative="1">
      <w:start w:val="1"/>
      <w:numFmt w:val="lowerLetter"/>
      <w:lvlText w:val="%8."/>
      <w:lvlJc w:val="left"/>
      <w:pPr>
        <w:tabs>
          <w:tab w:val="num" w:pos="5760"/>
        </w:tabs>
        <w:ind w:left="5760" w:hanging="360"/>
      </w:pPr>
    </w:lvl>
    <w:lvl w:ilvl="8" w:tplc="76C02F4A" w:tentative="1">
      <w:start w:val="1"/>
      <w:numFmt w:val="lowerRoman"/>
      <w:lvlText w:val="%9."/>
      <w:lvlJc w:val="right"/>
      <w:pPr>
        <w:tabs>
          <w:tab w:val="num" w:pos="6480"/>
        </w:tabs>
        <w:ind w:left="6480" w:hanging="180"/>
      </w:pPr>
    </w:lvl>
  </w:abstractNum>
  <w:num w:numId="1" w16cid:durableId="34432276">
    <w:abstractNumId w:val="9"/>
  </w:num>
  <w:num w:numId="2" w16cid:durableId="2080134330">
    <w:abstractNumId w:val="7"/>
  </w:num>
  <w:num w:numId="3" w16cid:durableId="1128086827">
    <w:abstractNumId w:val="6"/>
  </w:num>
  <w:num w:numId="4" w16cid:durableId="60565102">
    <w:abstractNumId w:val="5"/>
  </w:num>
  <w:num w:numId="5" w16cid:durableId="1865359934">
    <w:abstractNumId w:val="4"/>
  </w:num>
  <w:num w:numId="6" w16cid:durableId="2059088167">
    <w:abstractNumId w:val="8"/>
  </w:num>
  <w:num w:numId="7" w16cid:durableId="536549905">
    <w:abstractNumId w:val="3"/>
  </w:num>
  <w:num w:numId="8" w16cid:durableId="324944291">
    <w:abstractNumId w:val="2"/>
  </w:num>
  <w:num w:numId="9" w16cid:durableId="1034765442">
    <w:abstractNumId w:val="1"/>
  </w:num>
  <w:num w:numId="10" w16cid:durableId="231087885">
    <w:abstractNumId w:val="0"/>
  </w:num>
  <w:num w:numId="11" w16cid:durableId="1137070413">
    <w:abstractNumId w:val="11"/>
  </w:num>
  <w:num w:numId="12" w16cid:durableId="132067683">
    <w:abstractNumId w:val="15"/>
  </w:num>
  <w:num w:numId="13" w16cid:durableId="247887415">
    <w:abstractNumId w:val="14"/>
  </w:num>
  <w:num w:numId="14" w16cid:durableId="1363629552">
    <w:abstractNumId w:val="12"/>
  </w:num>
  <w:num w:numId="15" w16cid:durableId="113134016">
    <w:abstractNumId w:val="13"/>
  </w:num>
  <w:num w:numId="16" w16cid:durableId="1031298825">
    <w:abstractNumId w:val="10"/>
  </w:num>
  <w:num w:numId="17" w16cid:durableId="1768233376">
    <w:abstractNumId w:val="11"/>
  </w:num>
  <w:num w:numId="18" w16cid:durableId="7340083">
    <w:abstractNumId w:val="15"/>
  </w:num>
  <w:num w:numId="19" w16cid:durableId="713232743">
    <w:abstractNumId w:val="14"/>
  </w:num>
  <w:num w:numId="20" w16cid:durableId="1986658404">
    <w:abstractNumId w:val="16"/>
  </w:num>
  <w:num w:numId="21" w16cid:durableId="499587652">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1A"/>
    <w:rsid w:val="00254141"/>
    <w:rsid w:val="00D426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31573"/>
  <w15:chartTrackingRefBased/>
  <w15:docId w15:val="{244FA0BB-EB93-426A-99C8-EE686578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254141"/>
    <w:rPr>
      <w:sz w:val="22"/>
      <w:szCs w:val="24"/>
      <w:lang w:val="en-GB" w:eastAsia="en-GB"/>
    </w:rPr>
  </w:style>
  <w:style w:type="paragraph" w:customStyle="1" w:styleId="Default">
    <w:name w:val="Default"/>
    <w:rsid w:val="00254141"/>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1502</Words>
  <Characters>7642</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2023-04-17T15:12:00Z</dcterms:modified>
</cp:coreProperties>
</file>