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0252E" w14:textId="77777777" w:rsidR="00C26F2D" w:rsidRPr="00BF077B" w:rsidRDefault="001D58F2" w:rsidP="00BF077B">
      <w:pPr>
        <w:pStyle w:val="ATSNormal"/>
        <w:rPr>
          <w:rStyle w:val="Ttulodellibro"/>
        </w:rPr>
      </w:pPr>
    </w:p>
    <w:p w14:paraId="56AF11E1" w14:textId="77777777" w:rsidR="002F0A13" w:rsidRDefault="001D58F2" w:rsidP="004B4A60">
      <w:pPr>
        <w:rPr>
          <w:b/>
          <w:u w:val="single"/>
          <w:lang w:val="es-ES_tradnl"/>
        </w:rPr>
      </w:pPr>
    </w:p>
    <w:p w14:paraId="154DB91C" w14:textId="77777777" w:rsidR="002F0A13" w:rsidRDefault="001D58F2" w:rsidP="004B4A60">
      <w:pPr>
        <w:rPr>
          <w:b/>
          <w:u w:val="single"/>
          <w:lang w:val="es-ES_tradnl"/>
        </w:rPr>
      </w:pPr>
    </w:p>
    <w:p w14:paraId="61C32EE0" w14:textId="77777777" w:rsidR="002F0A13" w:rsidRDefault="001D58F2" w:rsidP="004B4A60">
      <w:pPr>
        <w:rPr>
          <w:b/>
          <w:u w:val="single"/>
          <w:lang w:val="es-ES_tradnl"/>
        </w:rPr>
      </w:pPr>
    </w:p>
    <w:p w14:paraId="17EA4110" w14:textId="77777777" w:rsidR="002F0A13" w:rsidRDefault="001D58F2" w:rsidP="004B4A60">
      <w:pPr>
        <w:rPr>
          <w:b/>
          <w:u w:val="single"/>
          <w:lang w:val="es-ES_tradnl"/>
        </w:rPr>
      </w:pPr>
    </w:p>
    <w:p w14:paraId="10CEB5B1" w14:textId="77777777" w:rsidR="00C26F2D" w:rsidRDefault="001D58F2" w:rsidP="004B4A60">
      <w:pPr>
        <w:rPr>
          <w:b/>
          <w:u w:val="single"/>
          <w:lang w:val="es-ES_tradnl"/>
        </w:rPr>
      </w:pPr>
    </w:p>
    <w:p w14:paraId="651D0796" w14:textId="77777777" w:rsidR="004B4A60" w:rsidRPr="0057246E" w:rsidRDefault="001D58F2" w:rsidP="001B789F">
      <w:pPr>
        <w:pStyle w:val="ATSTitle"/>
      </w:pPr>
      <w:bookmarkStart w:id="0" w:name="name"/>
      <w:r>
        <w:t>HSM No. 93 The Wreck of Endurance: Conservation Management Plan and Future Protection</w:t>
      </w:r>
      <w:bookmarkEnd w:id="0"/>
    </w:p>
    <w:p w14:paraId="25B8FFDA" w14:textId="77777777" w:rsidR="004B4A60" w:rsidRPr="0057246E" w:rsidRDefault="001D58F2" w:rsidP="00F75424">
      <w:pPr>
        <w:jc w:val="center"/>
      </w:pPr>
    </w:p>
    <w:p w14:paraId="453C196C" w14:textId="77777777" w:rsidR="004B4A60" w:rsidRPr="002F0A13" w:rsidRDefault="001D58F2" w:rsidP="002F0A13"/>
    <w:p w14:paraId="2DA82C29" w14:textId="77777777" w:rsidR="004B4A60" w:rsidRDefault="001D58F2" w:rsidP="00F75424">
      <w:pPr>
        <w:jc w:val="center"/>
      </w:pPr>
      <w:bookmarkStart w:id="1" w:name="memo"/>
      <w:bookmarkEnd w:id="1"/>
    </w:p>
    <w:p w14:paraId="27B2F843" w14:textId="77777777" w:rsidR="0097629D" w:rsidRDefault="001D58F2" w:rsidP="00F75424">
      <w:pPr>
        <w:jc w:val="center"/>
      </w:pPr>
    </w:p>
    <w:p w14:paraId="17EAF43D" w14:textId="77777777" w:rsidR="0097629D" w:rsidRDefault="001D58F2" w:rsidP="00F75424">
      <w:pPr>
        <w:jc w:val="center"/>
      </w:pPr>
    </w:p>
    <w:p w14:paraId="2BA89018" w14:textId="77777777" w:rsidR="0097629D" w:rsidRDefault="001D58F2" w:rsidP="00F75424">
      <w:pPr>
        <w:jc w:val="center"/>
      </w:pPr>
    </w:p>
    <w:p w14:paraId="7CACAA94" w14:textId="77777777" w:rsidR="0097629D" w:rsidRPr="00C26F2D" w:rsidRDefault="001D58F2" w:rsidP="00F75424">
      <w:pPr>
        <w:jc w:val="center"/>
      </w:pPr>
    </w:p>
    <w:p w14:paraId="0718E302" w14:textId="77777777" w:rsidR="004B4A60" w:rsidRPr="0057246E" w:rsidRDefault="001D58F2" w:rsidP="004B4A60"/>
    <w:p w14:paraId="60C9854A" w14:textId="77777777" w:rsidR="00C26F2D" w:rsidRDefault="001D58F2" w:rsidP="00952E9F">
      <w:pPr>
        <w:sectPr w:rsidR="00C26F2D" w:rsidSect="00D5023C">
          <w:headerReference w:type="default" r:id="rId8"/>
          <w:footerReference w:type="even" r:id="rId9"/>
          <w:footerReference w:type="default" r:id="rId10"/>
          <w:pgSz w:w="11907" w:h="16840" w:code="9"/>
          <w:pgMar w:top="1134" w:right="1701" w:bottom="1134" w:left="1701" w:header="709" w:footer="709" w:gutter="0"/>
          <w:cols w:space="708"/>
          <w:docGrid w:linePitch="360"/>
        </w:sectPr>
      </w:pPr>
    </w:p>
    <w:p w14:paraId="6A6B1845" w14:textId="77777777" w:rsidR="001D58F2" w:rsidRDefault="001D58F2" w:rsidP="001D58F2">
      <w:pPr>
        <w:pStyle w:val="ATSHeading2"/>
        <w:jc w:val="center"/>
        <w:rPr>
          <w:i w:val="0"/>
          <w:sz w:val="32"/>
          <w:szCs w:val="24"/>
        </w:rPr>
      </w:pPr>
      <w:r w:rsidRPr="004448F3">
        <w:rPr>
          <w:i w:val="0"/>
          <w:sz w:val="32"/>
          <w:szCs w:val="24"/>
        </w:rPr>
        <w:lastRenderedPageBreak/>
        <w:t>HSM No. 93 The Wreck of Endurance: Conservation Management Plan and Future Protection</w:t>
      </w:r>
    </w:p>
    <w:p w14:paraId="298EFA24" w14:textId="77777777" w:rsidR="001D58F2" w:rsidRPr="002417C4" w:rsidRDefault="001D58F2" w:rsidP="001D58F2">
      <w:pPr>
        <w:pStyle w:val="ATSNormal"/>
        <w:jc w:val="center"/>
      </w:pPr>
      <w:r>
        <w:rPr>
          <w:b/>
          <w:bCs/>
          <w:szCs w:val="22"/>
        </w:rPr>
        <w:t xml:space="preserve">Working </w:t>
      </w:r>
      <w:r w:rsidRPr="00C73BCD">
        <w:rPr>
          <w:b/>
          <w:bCs/>
          <w:szCs w:val="22"/>
        </w:rPr>
        <w:t>P</w:t>
      </w:r>
      <w:r>
        <w:rPr>
          <w:b/>
          <w:bCs/>
          <w:szCs w:val="22"/>
        </w:rPr>
        <w:t>aper submitted</w:t>
      </w:r>
      <w:r w:rsidRPr="00C73BCD">
        <w:rPr>
          <w:b/>
          <w:bCs/>
          <w:szCs w:val="22"/>
        </w:rPr>
        <w:t xml:space="preserve"> by </w:t>
      </w:r>
      <w:r>
        <w:rPr>
          <w:b/>
          <w:bCs/>
          <w:szCs w:val="22"/>
        </w:rPr>
        <w:t xml:space="preserve">the </w:t>
      </w:r>
      <w:r w:rsidRPr="00C73BCD">
        <w:rPr>
          <w:b/>
          <w:bCs/>
          <w:szCs w:val="22"/>
        </w:rPr>
        <w:t>United Kingdom</w:t>
      </w:r>
    </w:p>
    <w:p w14:paraId="6D1F0035" w14:textId="77777777" w:rsidR="001D58F2" w:rsidRPr="00DE77E5" w:rsidRDefault="001D58F2" w:rsidP="001D58F2">
      <w:pPr>
        <w:pStyle w:val="ATSHeading2"/>
      </w:pPr>
      <w:r w:rsidRPr="00DE77E5">
        <w:t>Sum</w:t>
      </w:r>
      <w:r>
        <w:t>mary</w:t>
      </w:r>
    </w:p>
    <w:p w14:paraId="5957D5E2" w14:textId="77777777" w:rsidR="001D58F2" w:rsidRPr="00C73BCD" w:rsidRDefault="001D58F2" w:rsidP="001D58F2">
      <w:pPr>
        <w:rPr>
          <w:szCs w:val="22"/>
        </w:rPr>
      </w:pPr>
      <w:r w:rsidRPr="00C73BCD">
        <w:rPr>
          <w:szCs w:val="22"/>
        </w:rPr>
        <w:t>This paper pr</w:t>
      </w:r>
      <w:r>
        <w:rPr>
          <w:szCs w:val="22"/>
        </w:rPr>
        <w:t>ovides an</w:t>
      </w:r>
      <w:r w:rsidRPr="00C73BCD">
        <w:rPr>
          <w:szCs w:val="22"/>
        </w:rPr>
        <w:t xml:space="preserve"> update on progress with the Conservation Management Plan and future protection of HSM </w:t>
      </w:r>
      <w:r>
        <w:rPr>
          <w:szCs w:val="22"/>
        </w:rPr>
        <w:t xml:space="preserve">No. </w:t>
      </w:r>
      <w:r w:rsidRPr="00C73BCD">
        <w:rPr>
          <w:szCs w:val="22"/>
        </w:rPr>
        <w:t>93</w:t>
      </w:r>
      <w:r>
        <w:rPr>
          <w:szCs w:val="22"/>
        </w:rPr>
        <w:t>:</w:t>
      </w:r>
      <w:r w:rsidRPr="00C73BCD">
        <w:rPr>
          <w:szCs w:val="22"/>
        </w:rPr>
        <w:t xml:space="preserve"> Wreck of Endurance following its discovery on the 5th March 2022 and as noted in </w:t>
      </w:r>
      <w:r>
        <w:rPr>
          <w:szCs w:val="22"/>
        </w:rPr>
        <w:t xml:space="preserve">ATCM XLIV </w:t>
      </w:r>
      <w:r w:rsidRPr="00C73BCD">
        <w:rPr>
          <w:szCs w:val="22"/>
        </w:rPr>
        <w:t>WP47.</w:t>
      </w:r>
    </w:p>
    <w:p w14:paraId="19B516D8" w14:textId="77777777" w:rsidR="001D58F2" w:rsidRPr="00C73BCD" w:rsidRDefault="001D58F2" w:rsidP="001D58F2">
      <w:pPr>
        <w:rPr>
          <w:szCs w:val="22"/>
        </w:rPr>
      </w:pPr>
    </w:p>
    <w:p w14:paraId="533A2AD8" w14:textId="77777777" w:rsidR="001D58F2" w:rsidRDefault="001D58F2" w:rsidP="001D58F2">
      <w:pPr>
        <w:rPr>
          <w:szCs w:val="22"/>
        </w:rPr>
      </w:pPr>
      <w:r>
        <w:rPr>
          <w:szCs w:val="22"/>
        </w:rPr>
        <w:t>It is recommended</w:t>
      </w:r>
      <w:r w:rsidRPr="00C73BCD">
        <w:rPr>
          <w:szCs w:val="22"/>
        </w:rPr>
        <w:t xml:space="preserve"> that the </w:t>
      </w:r>
      <w:r>
        <w:rPr>
          <w:szCs w:val="22"/>
        </w:rPr>
        <w:t>Committee</w:t>
      </w:r>
      <w:r w:rsidRPr="00C73BCD">
        <w:rPr>
          <w:szCs w:val="22"/>
        </w:rPr>
        <w:t>:</w:t>
      </w:r>
    </w:p>
    <w:p w14:paraId="798A7A28" w14:textId="77777777" w:rsidR="001D58F2" w:rsidRPr="00C73BCD" w:rsidRDefault="001D58F2" w:rsidP="001D58F2">
      <w:pPr>
        <w:rPr>
          <w:szCs w:val="22"/>
        </w:rPr>
      </w:pPr>
    </w:p>
    <w:p w14:paraId="507D3AA1" w14:textId="77777777" w:rsidR="001D58F2" w:rsidRPr="00C73BCD" w:rsidRDefault="001D58F2" w:rsidP="001D58F2">
      <w:pPr>
        <w:pStyle w:val="Prrafodelista"/>
        <w:numPr>
          <w:ilvl w:val="0"/>
          <w:numId w:val="21"/>
        </w:numPr>
        <w:contextualSpacing/>
        <w:rPr>
          <w:szCs w:val="22"/>
        </w:rPr>
      </w:pPr>
      <w:r>
        <w:rPr>
          <w:szCs w:val="22"/>
        </w:rPr>
        <w:t>n</w:t>
      </w:r>
      <w:r w:rsidRPr="00C73BCD">
        <w:rPr>
          <w:szCs w:val="22"/>
        </w:rPr>
        <w:t>ote</w:t>
      </w:r>
      <w:r>
        <w:rPr>
          <w:szCs w:val="22"/>
        </w:rPr>
        <w:t>s</w:t>
      </w:r>
      <w:r w:rsidRPr="00C73BCD">
        <w:rPr>
          <w:szCs w:val="22"/>
        </w:rPr>
        <w:t xml:space="preserve"> the progress made to date on the </w:t>
      </w:r>
      <w:r>
        <w:rPr>
          <w:szCs w:val="22"/>
        </w:rPr>
        <w:t>Conservation M</w:t>
      </w:r>
      <w:r w:rsidRPr="00C73BCD">
        <w:rPr>
          <w:szCs w:val="22"/>
        </w:rPr>
        <w:t xml:space="preserve">anagement </w:t>
      </w:r>
      <w:r>
        <w:rPr>
          <w:szCs w:val="22"/>
        </w:rPr>
        <w:t>P</w:t>
      </w:r>
      <w:r w:rsidRPr="00C73BCD">
        <w:rPr>
          <w:szCs w:val="22"/>
        </w:rPr>
        <w:t>lan</w:t>
      </w:r>
      <w:r>
        <w:rPr>
          <w:szCs w:val="22"/>
        </w:rPr>
        <w:t xml:space="preserve"> for</w:t>
      </w:r>
      <w:r w:rsidRPr="00C73BCD">
        <w:rPr>
          <w:szCs w:val="22"/>
        </w:rPr>
        <w:t xml:space="preserve"> </w:t>
      </w:r>
      <w:r>
        <w:rPr>
          <w:szCs w:val="22"/>
        </w:rPr>
        <w:t xml:space="preserve">HSM No. 93 </w:t>
      </w:r>
      <w:r w:rsidRPr="00C73BCD">
        <w:rPr>
          <w:szCs w:val="22"/>
        </w:rPr>
        <w:t>and proposed next steps;</w:t>
      </w:r>
    </w:p>
    <w:p w14:paraId="6F3F141E" w14:textId="77777777" w:rsidR="001D58F2" w:rsidRPr="00C73BCD" w:rsidRDefault="001D58F2" w:rsidP="001D58F2">
      <w:pPr>
        <w:pStyle w:val="Prrafodelista"/>
        <w:numPr>
          <w:ilvl w:val="0"/>
          <w:numId w:val="21"/>
        </w:numPr>
        <w:contextualSpacing/>
        <w:rPr>
          <w:szCs w:val="22"/>
        </w:rPr>
      </w:pPr>
      <w:r>
        <w:rPr>
          <w:szCs w:val="22"/>
        </w:rPr>
        <w:t>notes the proposed consultation during the development of the Conservation Management</w:t>
      </w:r>
      <w:r w:rsidRPr="00C73BCD">
        <w:rPr>
          <w:szCs w:val="22"/>
        </w:rPr>
        <w:t xml:space="preserve"> </w:t>
      </w:r>
      <w:r>
        <w:rPr>
          <w:szCs w:val="22"/>
        </w:rPr>
        <w:t>P</w:t>
      </w:r>
      <w:r w:rsidRPr="00C73BCD">
        <w:rPr>
          <w:szCs w:val="22"/>
        </w:rPr>
        <w:t>lan for protecting HSM</w:t>
      </w:r>
      <w:r>
        <w:rPr>
          <w:szCs w:val="22"/>
        </w:rPr>
        <w:t xml:space="preserve"> No. </w:t>
      </w:r>
      <w:r w:rsidRPr="00C73BCD">
        <w:rPr>
          <w:szCs w:val="22"/>
        </w:rPr>
        <w:t>93; and</w:t>
      </w:r>
    </w:p>
    <w:p w14:paraId="61F3B6BC" w14:textId="77777777" w:rsidR="001D58F2" w:rsidRPr="00C73BCD" w:rsidRDefault="001D58F2" w:rsidP="001D58F2">
      <w:pPr>
        <w:pStyle w:val="Prrafodelista"/>
        <w:numPr>
          <w:ilvl w:val="0"/>
          <w:numId w:val="21"/>
        </w:numPr>
        <w:contextualSpacing/>
        <w:rPr>
          <w:szCs w:val="22"/>
        </w:rPr>
      </w:pPr>
      <w:r>
        <w:rPr>
          <w:szCs w:val="22"/>
        </w:rPr>
        <w:t>invites Members to s</w:t>
      </w:r>
      <w:r w:rsidRPr="00C73BCD">
        <w:rPr>
          <w:szCs w:val="22"/>
        </w:rPr>
        <w:t xml:space="preserve">hare </w:t>
      </w:r>
      <w:r>
        <w:rPr>
          <w:szCs w:val="22"/>
        </w:rPr>
        <w:t xml:space="preserve">any initial </w:t>
      </w:r>
      <w:r w:rsidRPr="00C73BCD">
        <w:rPr>
          <w:szCs w:val="22"/>
        </w:rPr>
        <w:t>views on</w:t>
      </w:r>
      <w:r>
        <w:rPr>
          <w:szCs w:val="22"/>
        </w:rPr>
        <w:t xml:space="preserve"> the</w:t>
      </w:r>
      <w:r w:rsidRPr="00C73BCD">
        <w:rPr>
          <w:szCs w:val="22"/>
        </w:rPr>
        <w:t xml:space="preserve"> possible</w:t>
      </w:r>
      <w:r>
        <w:rPr>
          <w:szCs w:val="22"/>
        </w:rPr>
        <w:t xml:space="preserve"> future</w:t>
      </w:r>
      <w:r w:rsidRPr="00C73BCD">
        <w:rPr>
          <w:szCs w:val="22"/>
        </w:rPr>
        <w:t xml:space="preserve"> proposal for</w:t>
      </w:r>
      <w:r>
        <w:rPr>
          <w:szCs w:val="22"/>
        </w:rPr>
        <w:t xml:space="preserve"> seeking</w:t>
      </w:r>
      <w:r w:rsidRPr="00C73BCD">
        <w:rPr>
          <w:szCs w:val="22"/>
        </w:rPr>
        <w:t xml:space="preserve"> ASPA designation for the wreck site.</w:t>
      </w:r>
    </w:p>
    <w:p w14:paraId="5DB6439B" w14:textId="77777777" w:rsidR="001D58F2" w:rsidRDefault="001D58F2" w:rsidP="001D58F2">
      <w:pPr>
        <w:jc w:val="center"/>
        <w:rPr>
          <w:b/>
          <w:bCs/>
        </w:rPr>
      </w:pPr>
    </w:p>
    <w:p w14:paraId="344C6E12" w14:textId="77777777" w:rsidR="001D58F2" w:rsidRPr="006B06BA" w:rsidRDefault="001D58F2" w:rsidP="001D58F2">
      <w:pPr>
        <w:pStyle w:val="ATSHeading2"/>
      </w:pPr>
      <w:r w:rsidRPr="006B06BA">
        <w:t>Background</w:t>
      </w:r>
    </w:p>
    <w:p w14:paraId="73277D6E" w14:textId="77777777" w:rsidR="001D58F2" w:rsidRPr="00C73BCD" w:rsidRDefault="001D58F2" w:rsidP="001D58F2">
      <w:pPr>
        <w:rPr>
          <w:szCs w:val="22"/>
        </w:rPr>
      </w:pPr>
      <w:r w:rsidRPr="00C73BCD">
        <w:rPr>
          <w:szCs w:val="22"/>
        </w:rPr>
        <w:t xml:space="preserve">The wreck of the </w:t>
      </w:r>
      <w:r w:rsidRPr="00C73BCD">
        <w:rPr>
          <w:i/>
          <w:szCs w:val="22"/>
        </w:rPr>
        <w:t>Endurance</w:t>
      </w:r>
      <w:r w:rsidRPr="00C73BCD">
        <w:rPr>
          <w:szCs w:val="22"/>
        </w:rPr>
        <w:t>, the vessel owned and used by Sir Ernest Shackleton during his 1914-16 Imperial Trans-Antarctic Expedition, was designated a</w:t>
      </w:r>
      <w:r>
        <w:rPr>
          <w:szCs w:val="22"/>
        </w:rPr>
        <w:t>s</w:t>
      </w:r>
      <w:r w:rsidRPr="00C73BCD">
        <w:rPr>
          <w:szCs w:val="22"/>
        </w:rPr>
        <w:t xml:space="preserve"> Historic Site &amp; Monument (HSM) No.</w:t>
      </w:r>
      <w:r>
        <w:rPr>
          <w:szCs w:val="22"/>
        </w:rPr>
        <w:t xml:space="preserve"> </w:t>
      </w:r>
      <w:r w:rsidRPr="00C73BCD">
        <w:rPr>
          <w:szCs w:val="22"/>
        </w:rPr>
        <w:t xml:space="preserve">93 in 2019 through Measure 12 </w:t>
      </w:r>
      <w:r>
        <w:rPr>
          <w:szCs w:val="22"/>
        </w:rPr>
        <w:t>(2019)</w:t>
      </w:r>
      <w:r w:rsidRPr="00C73BCD">
        <w:rPr>
          <w:szCs w:val="22"/>
        </w:rPr>
        <w:t xml:space="preserve"> before the wreck was located. </w:t>
      </w:r>
    </w:p>
    <w:p w14:paraId="4D03DD72" w14:textId="77777777" w:rsidR="001D58F2" w:rsidRPr="00C73BCD" w:rsidRDefault="001D58F2" w:rsidP="001D58F2">
      <w:pPr>
        <w:rPr>
          <w:szCs w:val="22"/>
        </w:rPr>
      </w:pPr>
    </w:p>
    <w:p w14:paraId="28533B41" w14:textId="77777777" w:rsidR="001D58F2" w:rsidRPr="00C73BCD" w:rsidRDefault="001D58F2" w:rsidP="001D58F2">
      <w:pPr>
        <w:rPr>
          <w:szCs w:val="22"/>
        </w:rPr>
      </w:pPr>
      <w:r>
        <w:rPr>
          <w:szCs w:val="22"/>
        </w:rPr>
        <w:t>The</w:t>
      </w:r>
      <w:r w:rsidRPr="00C73BCD">
        <w:rPr>
          <w:szCs w:val="22"/>
        </w:rPr>
        <w:t xml:space="preserve"> British-led Endurance22</w:t>
      </w:r>
      <w:r>
        <w:rPr>
          <w:szCs w:val="22"/>
        </w:rPr>
        <w:t xml:space="preserve"> </w:t>
      </w:r>
      <w:r w:rsidRPr="00C73BCD">
        <w:rPr>
          <w:szCs w:val="22"/>
        </w:rPr>
        <w:t xml:space="preserve">expedition embarked on board the South African vessel </w:t>
      </w:r>
      <w:r w:rsidRPr="00C73BCD">
        <w:rPr>
          <w:i/>
          <w:iCs/>
          <w:szCs w:val="22"/>
        </w:rPr>
        <w:t>Agul</w:t>
      </w:r>
      <w:r>
        <w:rPr>
          <w:i/>
          <w:iCs/>
          <w:szCs w:val="22"/>
        </w:rPr>
        <w:t>h</w:t>
      </w:r>
      <w:r w:rsidRPr="00C73BCD">
        <w:rPr>
          <w:i/>
          <w:iCs/>
          <w:szCs w:val="22"/>
        </w:rPr>
        <w:t>as II</w:t>
      </w:r>
      <w:r>
        <w:rPr>
          <w:i/>
          <w:iCs/>
          <w:szCs w:val="22"/>
        </w:rPr>
        <w:t>,</w:t>
      </w:r>
      <w:r w:rsidRPr="00C73BCD">
        <w:rPr>
          <w:szCs w:val="22"/>
        </w:rPr>
        <w:t xml:space="preserve"> equipped with SAAB Sabretooth underwater vehicles</w:t>
      </w:r>
      <w:r>
        <w:rPr>
          <w:szCs w:val="22"/>
        </w:rPr>
        <w:t>,</w:t>
      </w:r>
      <w:r w:rsidRPr="00C73BCD">
        <w:rPr>
          <w:szCs w:val="22"/>
        </w:rPr>
        <w:t xml:space="preserve"> </w:t>
      </w:r>
      <w:r>
        <w:rPr>
          <w:szCs w:val="22"/>
        </w:rPr>
        <w:t xml:space="preserve">and </w:t>
      </w:r>
      <w:r w:rsidRPr="00C73BCD">
        <w:rPr>
          <w:szCs w:val="22"/>
        </w:rPr>
        <w:t>located the wreck site on the 5 March 2022, 107 years after it was lost.  The expedition team undertook a detailed survey of the site, capturing considerable data on the condition of the wreck, its components, and its environment</w:t>
      </w:r>
      <w:r>
        <w:rPr>
          <w:szCs w:val="22"/>
        </w:rPr>
        <w:t>,</w:t>
      </w:r>
      <w:r w:rsidRPr="00C73BCD">
        <w:rPr>
          <w:szCs w:val="22"/>
        </w:rPr>
        <w:t xml:space="preserve"> which will inform th</w:t>
      </w:r>
      <w:r>
        <w:rPr>
          <w:szCs w:val="22"/>
        </w:rPr>
        <w:t>e</w:t>
      </w:r>
      <w:r w:rsidRPr="00C73BCD">
        <w:rPr>
          <w:szCs w:val="22"/>
        </w:rPr>
        <w:t xml:space="preserve"> future management of the site. Work continues on the processing and analysis of these data.</w:t>
      </w:r>
    </w:p>
    <w:p w14:paraId="1C14E21D" w14:textId="77777777" w:rsidR="001D58F2" w:rsidRPr="00C73BCD" w:rsidRDefault="001D58F2" w:rsidP="001D58F2">
      <w:pPr>
        <w:rPr>
          <w:szCs w:val="22"/>
        </w:rPr>
      </w:pPr>
    </w:p>
    <w:p w14:paraId="68334089" w14:textId="77777777" w:rsidR="001D58F2" w:rsidRPr="00C73BCD" w:rsidRDefault="001D58F2" w:rsidP="001D58F2">
      <w:pPr>
        <w:rPr>
          <w:szCs w:val="22"/>
        </w:rPr>
      </w:pPr>
      <w:r>
        <w:rPr>
          <w:szCs w:val="22"/>
        </w:rPr>
        <w:t>T</w:t>
      </w:r>
      <w:r w:rsidRPr="00C73BCD">
        <w:rPr>
          <w:szCs w:val="22"/>
        </w:rPr>
        <w:t>hrough Measure 18 (</w:t>
      </w:r>
      <w:r>
        <w:rPr>
          <w:szCs w:val="22"/>
        </w:rPr>
        <w:t>2022)</w:t>
      </w:r>
      <w:r w:rsidRPr="00C73BCD">
        <w:rPr>
          <w:szCs w:val="22"/>
        </w:rPr>
        <w:t xml:space="preserve"> the area protected by the HSM listing was enlarged from a 150m to 500m radius </w:t>
      </w:r>
      <w:r>
        <w:rPr>
          <w:szCs w:val="22"/>
        </w:rPr>
        <w:t xml:space="preserve">around the wreck </w:t>
      </w:r>
      <w:r w:rsidRPr="00C73BCD">
        <w:rPr>
          <w:szCs w:val="22"/>
        </w:rPr>
        <w:t xml:space="preserve">to afford greater coverage of possible distributed debris </w:t>
      </w:r>
      <w:r>
        <w:rPr>
          <w:szCs w:val="22"/>
        </w:rPr>
        <w:t>that</w:t>
      </w:r>
      <w:r w:rsidRPr="00C73BCD">
        <w:rPr>
          <w:szCs w:val="22"/>
        </w:rPr>
        <w:t xml:space="preserve"> may have dispersed as the wreck sank 3000m through the water column.  The report of the discovery of the wreck and the updated HSM listing was also accompanied by the intention to produce a </w:t>
      </w:r>
      <w:r>
        <w:rPr>
          <w:szCs w:val="22"/>
        </w:rPr>
        <w:t>C</w:t>
      </w:r>
      <w:r w:rsidRPr="00C73BCD">
        <w:rPr>
          <w:szCs w:val="22"/>
        </w:rPr>
        <w:t xml:space="preserve">onservation </w:t>
      </w:r>
      <w:r>
        <w:rPr>
          <w:szCs w:val="22"/>
        </w:rPr>
        <w:t>M</w:t>
      </w:r>
      <w:r w:rsidRPr="00C73BCD">
        <w:rPr>
          <w:szCs w:val="22"/>
        </w:rPr>
        <w:t xml:space="preserve">anagement </w:t>
      </w:r>
      <w:r>
        <w:rPr>
          <w:szCs w:val="22"/>
        </w:rPr>
        <w:t>P</w:t>
      </w:r>
      <w:r w:rsidRPr="00C73BCD">
        <w:rPr>
          <w:szCs w:val="22"/>
        </w:rPr>
        <w:t>lan</w:t>
      </w:r>
      <w:r>
        <w:rPr>
          <w:szCs w:val="22"/>
        </w:rPr>
        <w:t xml:space="preserve"> (CMP)</w:t>
      </w:r>
      <w:r w:rsidRPr="00C73BCD">
        <w:rPr>
          <w:szCs w:val="22"/>
        </w:rPr>
        <w:t xml:space="preserve"> for the site</w:t>
      </w:r>
      <w:r>
        <w:rPr>
          <w:szCs w:val="22"/>
        </w:rPr>
        <w:t xml:space="preserve"> (ATCM XLIV WP 47).</w:t>
      </w:r>
    </w:p>
    <w:p w14:paraId="113FA4FC" w14:textId="77777777" w:rsidR="001D58F2" w:rsidRPr="00C73BCD" w:rsidRDefault="001D58F2" w:rsidP="001D58F2">
      <w:pPr>
        <w:rPr>
          <w:szCs w:val="22"/>
        </w:rPr>
      </w:pPr>
    </w:p>
    <w:p w14:paraId="51A90986" w14:textId="77777777" w:rsidR="001D58F2" w:rsidRPr="004448F3" w:rsidRDefault="001D58F2" w:rsidP="001D58F2">
      <w:pPr>
        <w:rPr>
          <w:szCs w:val="22"/>
        </w:rPr>
      </w:pPr>
      <w:r w:rsidRPr="00C73BCD">
        <w:rPr>
          <w:szCs w:val="22"/>
        </w:rPr>
        <w:t>In 2022</w:t>
      </w:r>
      <w:r>
        <w:rPr>
          <w:szCs w:val="22"/>
        </w:rPr>
        <w:t>,</w:t>
      </w:r>
      <w:r w:rsidRPr="00C73BCD">
        <w:rPr>
          <w:szCs w:val="22"/>
        </w:rPr>
        <w:t xml:space="preserve"> the UK government commissioned the UK Antarctic Heritage Trust</w:t>
      </w:r>
      <w:r>
        <w:rPr>
          <w:szCs w:val="22"/>
        </w:rPr>
        <w:t xml:space="preserve"> (UKAHT)</w:t>
      </w:r>
      <w:r w:rsidRPr="00C73BCD">
        <w:rPr>
          <w:szCs w:val="22"/>
        </w:rPr>
        <w:t>, the organisation responsible for the conservation and care of several HSMs on the Antarctic Peninsula, to create the CMP and provide recommendations for the future protection of the site. This work is notable as it will be the first such document for an underwater heritage site in Antarctica.</w:t>
      </w:r>
    </w:p>
    <w:p w14:paraId="7AAB5CC5" w14:textId="77777777" w:rsidR="001D58F2" w:rsidRPr="006B06BA" w:rsidRDefault="001D58F2" w:rsidP="001D58F2">
      <w:pPr>
        <w:pStyle w:val="ATSHeading2"/>
      </w:pPr>
      <w:r w:rsidRPr="006B06BA">
        <w:t>Creating the Conservation Management Plan</w:t>
      </w:r>
    </w:p>
    <w:p w14:paraId="1B12DEAA" w14:textId="77777777" w:rsidR="001D58F2" w:rsidRPr="00C73BCD" w:rsidRDefault="001D58F2" w:rsidP="001D58F2">
      <w:pPr>
        <w:rPr>
          <w:szCs w:val="22"/>
        </w:rPr>
      </w:pPr>
    </w:p>
    <w:p w14:paraId="3DF4E537" w14:textId="77777777" w:rsidR="001D58F2" w:rsidRPr="00C73BCD" w:rsidRDefault="001D58F2" w:rsidP="001D58F2">
      <w:pPr>
        <w:rPr>
          <w:szCs w:val="22"/>
        </w:rPr>
      </w:pPr>
      <w:r w:rsidRPr="00C73BCD">
        <w:rPr>
          <w:szCs w:val="22"/>
        </w:rPr>
        <w:t xml:space="preserve">Following the </w:t>
      </w:r>
      <w:r>
        <w:rPr>
          <w:szCs w:val="22"/>
        </w:rPr>
        <w:t xml:space="preserve">Guidelines for the Assessment and Management of Heritage in Antarctica (Resolution 1 (2022)) </w:t>
      </w:r>
      <w:r w:rsidRPr="00C73BCD">
        <w:rPr>
          <w:szCs w:val="22"/>
        </w:rPr>
        <w:t xml:space="preserve">and drawing on international guidance on the protection of underwater heritage </w:t>
      </w:r>
      <w:r>
        <w:rPr>
          <w:szCs w:val="22"/>
        </w:rPr>
        <w:t>the preparation of the CMP is now underway</w:t>
      </w:r>
      <w:r w:rsidRPr="00C73BCD">
        <w:rPr>
          <w:szCs w:val="22"/>
        </w:rPr>
        <w:t>.</w:t>
      </w:r>
      <w:r>
        <w:rPr>
          <w:szCs w:val="22"/>
        </w:rPr>
        <w:t xml:space="preserve"> UKAHT has assembled a team of experts to assist with the preparation of the document.</w:t>
      </w:r>
      <w:r w:rsidRPr="00C73BCD">
        <w:rPr>
          <w:szCs w:val="22"/>
        </w:rPr>
        <w:t xml:space="preserve"> The detail for the CMP</w:t>
      </w:r>
      <w:r>
        <w:rPr>
          <w:szCs w:val="22"/>
        </w:rPr>
        <w:t xml:space="preserve"> will</w:t>
      </w:r>
      <w:r w:rsidRPr="00C73BCD">
        <w:rPr>
          <w:szCs w:val="22"/>
        </w:rPr>
        <w:t xml:space="preserve"> </w:t>
      </w:r>
      <w:r>
        <w:rPr>
          <w:szCs w:val="22"/>
        </w:rPr>
        <w:t>include</w:t>
      </w:r>
      <w:r w:rsidRPr="00C73BCD">
        <w:rPr>
          <w:szCs w:val="22"/>
        </w:rPr>
        <w:t xml:space="preserve"> historical </w:t>
      </w:r>
      <w:r w:rsidRPr="00C73BCD">
        <w:rPr>
          <w:szCs w:val="22"/>
        </w:rPr>
        <w:lastRenderedPageBreak/>
        <w:t xml:space="preserve">research, analysis of the data collected by the expedition </w:t>
      </w:r>
      <w:r>
        <w:rPr>
          <w:szCs w:val="22"/>
        </w:rPr>
        <w:t>that</w:t>
      </w:r>
      <w:r w:rsidRPr="00C73BCD">
        <w:rPr>
          <w:szCs w:val="22"/>
        </w:rPr>
        <w:t xml:space="preserve"> discovered the wreck, the analysis of the potential risks and adoption of best practice policies and practices internationally for heritage of this nature and significance.</w:t>
      </w:r>
    </w:p>
    <w:p w14:paraId="770A576D" w14:textId="77777777" w:rsidR="001D58F2" w:rsidRPr="00C73BCD" w:rsidRDefault="001D58F2" w:rsidP="001D58F2">
      <w:pPr>
        <w:pStyle w:val="ATSHeading4"/>
      </w:pPr>
      <w:r w:rsidRPr="00C73BCD">
        <w:t xml:space="preserve">Historical </w:t>
      </w:r>
      <w:r>
        <w:t>c</w:t>
      </w:r>
      <w:r w:rsidRPr="00C73BCD">
        <w:t xml:space="preserve">ontext and </w:t>
      </w:r>
      <w:r>
        <w:t>s</w:t>
      </w:r>
      <w:r w:rsidRPr="00C73BCD">
        <w:t>ignificance</w:t>
      </w:r>
    </w:p>
    <w:p w14:paraId="62C8F8BE" w14:textId="77777777" w:rsidR="001D58F2" w:rsidRPr="00C73BCD" w:rsidRDefault="001D58F2" w:rsidP="001D58F2">
      <w:pPr>
        <w:rPr>
          <w:szCs w:val="22"/>
        </w:rPr>
      </w:pPr>
      <w:r w:rsidRPr="00C73BCD">
        <w:rPr>
          <w:szCs w:val="22"/>
        </w:rPr>
        <w:t>To date</w:t>
      </w:r>
      <w:r>
        <w:rPr>
          <w:szCs w:val="22"/>
        </w:rPr>
        <w:t>,</w:t>
      </w:r>
      <w:r w:rsidRPr="00C73BCD">
        <w:rPr>
          <w:szCs w:val="22"/>
        </w:rPr>
        <w:t xml:space="preserve"> progress has been made to document the history and significance of the vessel and to set up the framework for the full document, identifying where there needs to be additional external input or access to data and information. Archival research into the construction of </w:t>
      </w:r>
      <w:r w:rsidRPr="00C73BCD">
        <w:rPr>
          <w:i/>
          <w:iCs/>
          <w:szCs w:val="22"/>
        </w:rPr>
        <w:t>Endurance</w:t>
      </w:r>
      <w:r w:rsidRPr="00C73BCD">
        <w:rPr>
          <w:szCs w:val="22"/>
        </w:rPr>
        <w:t>, the original expedition, the loss of the ship and subsequent transactions between the insurers and the Shackleton family is already shedding new light on the detailed history of the vessel. A statement of significance is in preparation and will be better informed with insights from new data collected from the wreck site.</w:t>
      </w:r>
    </w:p>
    <w:p w14:paraId="52FB6C83" w14:textId="77777777" w:rsidR="001D58F2" w:rsidRPr="00C73BCD" w:rsidRDefault="001D58F2" w:rsidP="001D58F2">
      <w:pPr>
        <w:pStyle w:val="ATSHeading4"/>
      </w:pPr>
      <w:r w:rsidRPr="00C73BCD">
        <w:t xml:space="preserve">Contemporary </w:t>
      </w:r>
      <w:r>
        <w:t>d</w:t>
      </w:r>
      <w:r w:rsidRPr="00C73BCD">
        <w:t>ata</w:t>
      </w:r>
    </w:p>
    <w:p w14:paraId="127EAF1D" w14:textId="77777777" w:rsidR="001D58F2" w:rsidRPr="00C73BCD" w:rsidRDefault="001D58F2" w:rsidP="001D58F2">
      <w:pPr>
        <w:rPr>
          <w:szCs w:val="22"/>
        </w:rPr>
      </w:pPr>
      <w:r w:rsidRPr="00C73BCD">
        <w:rPr>
          <w:szCs w:val="22"/>
        </w:rPr>
        <w:t>New data collected by the Endurance22 expedition will be an invaluable resource and</w:t>
      </w:r>
      <w:r>
        <w:rPr>
          <w:szCs w:val="22"/>
        </w:rPr>
        <w:t>,</w:t>
      </w:r>
      <w:r w:rsidRPr="00C73BCD">
        <w:rPr>
          <w:szCs w:val="22"/>
        </w:rPr>
        <w:t xml:space="preserve"> once processed and available</w:t>
      </w:r>
      <w:r>
        <w:rPr>
          <w:szCs w:val="22"/>
        </w:rPr>
        <w:t>,</w:t>
      </w:r>
      <w:r w:rsidRPr="00C73BCD">
        <w:rPr>
          <w:szCs w:val="22"/>
        </w:rPr>
        <w:t xml:space="preserve"> it will provide insights into the composition and condition of the vessel today and indications of the environment and the potential environmental risks to the wreck.</w:t>
      </w:r>
    </w:p>
    <w:p w14:paraId="2110B6FD" w14:textId="77777777" w:rsidR="001D58F2" w:rsidRPr="00C73BCD" w:rsidRDefault="001D58F2" w:rsidP="001D58F2">
      <w:pPr>
        <w:pStyle w:val="ATSHeading4"/>
      </w:pPr>
      <w:r w:rsidRPr="00C73BCD">
        <w:t xml:space="preserve">Policy </w:t>
      </w:r>
      <w:r>
        <w:t>f</w:t>
      </w:r>
      <w:r w:rsidRPr="00C73BCD">
        <w:t>ramework</w:t>
      </w:r>
    </w:p>
    <w:p w14:paraId="1948DE61" w14:textId="77777777" w:rsidR="001D58F2" w:rsidRPr="004448F3" w:rsidRDefault="001D58F2" w:rsidP="001D58F2">
      <w:pPr>
        <w:rPr>
          <w:szCs w:val="22"/>
        </w:rPr>
      </w:pPr>
      <w:r w:rsidRPr="00C73BCD">
        <w:rPr>
          <w:szCs w:val="22"/>
        </w:rPr>
        <w:t>The heritage policy framework will draw upon the guidance from ATCM/CEP heritage management policies and best practice internationally. It will also be informed by consulting with international specialist</w:t>
      </w:r>
      <w:r>
        <w:rPr>
          <w:szCs w:val="22"/>
        </w:rPr>
        <w:t>s</w:t>
      </w:r>
      <w:r w:rsidRPr="00C73BCD">
        <w:rPr>
          <w:szCs w:val="22"/>
        </w:rPr>
        <w:t>.</w:t>
      </w:r>
    </w:p>
    <w:p w14:paraId="1B87FA3E" w14:textId="77777777" w:rsidR="001D58F2" w:rsidRPr="00C73BCD" w:rsidRDefault="001D58F2" w:rsidP="001D58F2">
      <w:pPr>
        <w:pStyle w:val="ATSHeading4"/>
      </w:pPr>
      <w:r w:rsidRPr="00C73BCD">
        <w:t xml:space="preserve">Risk </w:t>
      </w:r>
      <w:r>
        <w:t>m</w:t>
      </w:r>
      <w:r w:rsidRPr="00C73BCD">
        <w:t>anagement</w:t>
      </w:r>
    </w:p>
    <w:p w14:paraId="4A97EF8B" w14:textId="77777777" w:rsidR="001D58F2" w:rsidRPr="00C73BCD" w:rsidRDefault="001D58F2" w:rsidP="001D58F2">
      <w:pPr>
        <w:rPr>
          <w:szCs w:val="22"/>
        </w:rPr>
      </w:pPr>
      <w:r w:rsidRPr="00C73BCD">
        <w:rPr>
          <w:szCs w:val="22"/>
        </w:rPr>
        <w:t xml:space="preserve">A full analysis of the risks to the wreck is being undertaken.  Its resting place at 3008m depth in the Weddell Sea offers some protection, and the vessel appears </w:t>
      </w:r>
      <w:r>
        <w:rPr>
          <w:szCs w:val="22"/>
        </w:rPr>
        <w:t>from published imagery</w:t>
      </w:r>
      <w:r w:rsidRPr="00C73BCD">
        <w:rPr>
          <w:szCs w:val="22"/>
        </w:rPr>
        <w:t xml:space="preserve"> to be in remarkable condition. However, the wreck may be vulnerable to the impacts of both human activity and natural processes. Climate change is a particular concern as a warming climate might make the Weddell Sea more accessible and may disrupt the current biological and chemical environment.</w:t>
      </w:r>
    </w:p>
    <w:p w14:paraId="41CD8B3A" w14:textId="77777777" w:rsidR="001D58F2" w:rsidRPr="00C73BCD" w:rsidRDefault="001D58F2" w:rsidP="001D58F2">
      <w:pPr>
        <w:pStyle w:val="ATSHeading4"/>
      </w:pPr>
      <w:r w:rsidRPr="00C73BCD">
        <w:t xml:space="preserve">Instruments for </w:t>
      </w:r>
      <w:r>
        <w:t>p</w:t>
      </w:r>
      <w:r w:rsidRPr="00C73BCD">
        <w:t>rotection</w:t>
      </w:r>
    </w:p>
    <w:p w14:paraId="056300D9" w14:textId="77777777" w:rsidR="001D58F2" w:rsidRDefault="001D58F2" w:rsidP="001D58F2">
      <w:pPr>
        <w:rPr>
          <w:szCs w:val="22"/>
        </w:rPr>
      </w:pPr>
      <w:r w:rsidRPr="00C73BCD">
        <w:rPr>
          <w:szCs w:val="22"/>
        </w:rPr>
        <w:t xml:space="preserve">Additional measures for the protection of the wreck from inappropriate or unmonitored human intervention are also being explored. </w:t>
      </w:r>
      <w:r w:rsidRPr="00A23241">
        <w:rPr>
          <w:szCs w:val="22"/>
        </w:rPr>
        <w:t xml:space="preserve">Remote monitoring and consideration of additional levels of protection </w:t>
      </w:r>
      <w:r>
        <w:rPr>
          <w:szCs w:val="22"/>
        </w:rPr>
        <w:t xml:space="preserve">within the Antarctic Treaty System </w:t>
      </w:r>
      <w:r w:rsidRPr="00A23241">
        <w:rPr>
          <w:szCs w:val="22"/>
        </w:rPr>
        <w:t>are also being considered.</w:t>
      </w:r>
    </w:p>
    <w:p w14:paraId="422430F7" w14:textId="77777777" w:rsidR="001D58F2" w:rsidRDefault="001D58F2" w:rsidP="001D58F2">
      <w:pPr>
        <w:rPr>
          <w:szCs w:val="22"/>
        </w:rPr>
      </w:pPr>
    </w:p>
    <w:p w14:paraId="01774D0D" w14:textId="77777777" w:rsidR="001D58F2" w:rsidRPr="00A23241" w:rsidRDefault="001D58F2" w:rsidP="001D58F2">
      <w:pPr>
        <w:rPr>
          <w:i/>
          <w:iCs/>
        </w:rPr>
      </w:pPr>
      <w:r w:rsidRPr="00A23241">
        <w:rPr>
          <w:i/>
          <w:iCs/>
        </w:rPr>
        <w:t>Further investigation</w:t>
      </w:r>
    </w:p>
    <w:p w14:paraId="58D38C9D" w14:textId="77777777" w:rsidR="001D58F2" w:rsidRPr="00C73BCD" w:rsidRDefault="001D58F2" w:rsidP="001D58F2">
      <w:pPr>
        <w:rPr>
          <w:szCs w:val="22"/>
        </w:rPr>
      </w:pPr>
      <w:r w:rsidRPr="00C73BCD">
        <w:rPr>
          <w:szCs w:val="22"/>
        </w:rPr>
        <w:t xml:space="preserve">There will be much more to learn about the vessel, the site and its environment and the CMP will make recommendations for future study or data capture </w:t>
      </w:r>
      <w:r>
        <w:rPr>
          <w:szCs w:val="22"/>
        </w:rPr>
        <w:t>that</w:t>
      </w:r>
      <w:r w:rsidRPr="00C73BCD">
        <w:rPr>
          <w:szCs w:val="22"/>
        </w:rPr>
        <w:t xml:space="preserve"> might enhance understanding of this unique site. The</w:t>
      </w:r>
      <w:r>
        <w:rPr>
          <w:szCs w:val="22"/>
        </w:rPr>
        <w:t xml:space="preserve"> authors are not aware of any</w:t>
      </w:r>
      <w:r w:rsidRPr="00C73BCD">
        <w:rPr>
          <w:szCs w:val="22"/>
        </w:rPr>
        <w:t xml:space="preserve"> current intentions to revisit the site.</w:t>
      </w:r>
    </w:p>
    <w:p w14:paraId="51824986" w14:textId="77777777" w:rsidR="001D58F2" w:rsidRPr="00C73BCD" w:rsidRDefault="001D58F2" w:rsidP="001D58F2">
      <w:pPr>
        <w:pStyle w:val="ATSHeading4"/>
      </w:pPr>
      <w:r w:rsidRPr="00C73BCD">
        <w:t xml:space="preserve">Raising the </w:t>
      </w:r>
      <w:r>
        <w:t>s</w:t>
      </w:r>
      <w:r w:rsidRPr="00C73BCD">
        <w:t xml:space="preserve">hip or </w:t>
      </w:r>
      <w:r>
        <w:t>r</w:t>
      </w:r>
      <w:r w:rsidRPr="00C73BCD">
        <w:t xml:space="preserve">emoval of </w:t>
      </w:r>
      <w:r>
        <w:t>a</w:t>
      </w:r>
      <w:r w:rsidRPr="00C73BCD">
        <w:t>rtefacts</w:t>
      </w:r>
    </w:p>
    <w:p w14:paraId="0E4B7219" w14:textId="77777777" w:rsidR="001D58F2" w:rsidRPr="00C73BCD" w:rsidRDefault="001D58F2" w:rsidP="001D58F2">
      <w:pPr>
        <w:rPr>
          <w:szCs w:val="22"/>
        </w:rPr>
      </w:pPr>
      <w:r w:rsidRPr="00C73BCD">
        <w:rPr>
          <w:szCs w:val="22"/>
        </w:rPr>
        <w:t xml:space="preserve">The status of the site as an HSM and the will of the </w:t>
      </w:r>
      <w:r>
        <w:rPr>
          <w:szCs w:val="22"/>
        </w:rPr>
        <w:t>descendants</w:t>
      </w:r>
      <w:r w:rsidRPr="00C73BCD">
        <w:rPr>
          <w:szCs w:val="22"/>
        </w:rPr>
        <w:t xml:space="preserve"> is to leave the vessel </w:t>
      </w:r>
      <w:r>
        <w:rPr>
          <w:szCs w:val="22"/>
        </w:rPr>
        <w:t xml:space="preserve">and its artefacts </w:t>
      </w:r>
      <w:r w:rsidRPr="00C73BCD">
        <w:rPr>
          <w:szCs w:val="22"/>
        </w:rPr>
        <w:t xml:space="preserve">intact and the CMP will </w:t>
      </w:r>
      <w:r>
        <w:rPr>
          <w:szCs w:val="22"/>
        </w:rPr>
        <w:t>seek to strengthen this</w:t>
      </w:r>
      <w:r w:rsidRPr="00C73BCD">
        <w:rPr>
          <w:szCs w:val="22"/>
        </w:rPr>
        <w:t xml:space="preserve"> policy for the future protection of the site</w:t>
      </w:r>
      <w:r>
        <w:rPr>
          <w:szCs w:val="22"/>
        </w:rPr>
        <w:t xml:space="preserve"> in line with internationally accepted best heritage practice.</w:t>
      </w:r>
    </w:p>
    <w:p w14:paraId="7F64E971" w14:textId="77777777" w:rsidR="001D58F2" w:rsidRPr="00C73BCD" w:rsidRDefault="001D58F2" w:rsidP="001D58F2">
      <w:pPr>
        <w:pStyle w:val="ATSHeading4"/>
      </w:pPr>
      <w:r w:rsidRPr="00C73BCD">
        <w:t xml:space="preserve">Consultation </w:t>
      </w:r>
      <w:r>
        <w:t>p</w:t>
      </w:r>
      <w:r w:rsidRPr="00C73BCD">
        <w:t>rocess</w:t>
      </w:r>
    </w:p>
    <w:p w14:paraId="5D5C9560" w14:textId="77777777" w:rsidR="001D58F2" w:rsidRDefault="001D58F2" w:rsidP="001D58F2">
      <w:pPr>
        <w:rPr>
          <w:szCs w:val="22"/>
        </w:rPr>
      </w:pPr>
      <w:r w:rsidRPr="00615E6B">
        <w:rPr>
          <w:szCs w:val="22"/>
        </w:rPr>
        <w:t xml:space="preserve">For the CMP to be as comprehensive and as effective as possible, there will be a process of consultation to give expert bodies and interested parties the opportunity to share their views on the draft CMP. Given the international significance and interest in </w:t>
      </w:r>
      <w:r w:rsidRPr="00615E6B">
        <w:rPr>
          <w:i/>
          <w:iCs/>
          <w:szCs w:val="22"/>
        </w:rPr>
        <w:t>Endurance</w:t>
      </w:r>
      <w:r w:rsidRPr="00615E6B">
        <w:rPr>
          <w:szCs w:val="22"/>
        </w:rPr>
        <w:t xml:space="preserve">, CEP members are welcome to contact the UK to find out more about the plan. Equally the </w:t>
      </w:r>
      <w:r>
        <w:rPr>
          <w:szCs w:val="22"/>
        </w:rPr>
        <w:t xml:space="preserve">authors welcome suggestions or </w:t>
      </w:r>
      <w:r w:rsidRPr="00615E6B">
        <w:rPr>
          <w:szCs w:val="22"/>
        </w:rPr>
        <w:t xml:space="preserve">recommendations of any expert bodies whom should be consulted during the next year. There will also be a controlled public consultation to raise awareness of the protection of </w:t>
      </w:r>
      <w:r w:rsidRPr="00615E6B">
        <w:rPr>
          <w:i/>
          <w:iCs/>
          <w:szCs w:val="22"/>
        </w:rPr>
        <w:t>Endurance</w:t>
      </w:r>
      <w:r w:rsidRPr="00615E6B">
        <w:rPr>
          <w:szCs w:val="22"/>
        </w:rPr>
        <w:t xml:space="preserve"> and, in turn, heritage protection in Antarctica.</w:t>
      </w:r>
    </w:p>
    <w:p w14:paraId="43DB717F" w14:textId="77777777" w:rsidR="001D58F2" w:rsidRDefault="001D58F2" w:rsidP="001D58F2">
      <w:pPr>
        <w:pStyle w:val="ATSHeading2"/>
      </w:pPr>
      <w:r>
        <w:lastRenderedPageBreak/>
        <w:t>Consideration of additional protection</w:t>
      </w:r>
    </w:p>
    <w:p w14:paraId="549DE502" w14:textId="77777777" w:rsidR="001D58F2" w:rsidRDefault="001D58F2" w:rsidP="001D58F2">
      <w:pPr>
        <w:pStyle w:val="ATSNormal"/>
      </w:pPr>
      <w:r>
        <w:t xml:space="preserve">As part of the CMP development process, consideration will be given to any additional measures that may be needed to protect the wreck. In particular, the work may indicate that the additional protections afforded by ASPA designation may be appropriate. If seeking ASPA designation is deemed appropriate, an ASPA prior assessment template could be submitted to CEP XXVI in 2024. </w:t>
      </w:r>
    </w:p>
    <w:p w14:paraId="48676FB1" w14:textId="77777777" w:rsidR="001D58F2" w:rsidRPr="008110E8" w:rsidRDefault="001D58F2" w:rsidP="001D58F2">
      <w:pPr>
        <w:pStyle w:val="ATSNormal"/>
      </w:pPr>
      <w:r>
        <w:t xml:space="preserve">We would welcome Members’ initial views on the consideration of any future ASPA designation for the wreck of </w:t>
      </w:r>
      <w:r>
        <w:rPr>
          <w:i/>
        </w:rPr>
        <w:t>Endurance.</w:t>
      </w:r>
      <w:r>
        <w:t xml:space="preserve"> </w:t>
      </w:r>
    </w:p>
    <w:p w14:paraId="4334BDB4" w14:textId="77777777" w:rsidR="001D58F2" w:rsidRPr="006B06BA" w:rsidRDefault="001D58F2" w:rsidP="001D58F2">
      <w:pPr>
        <w:pStyle w:val="ATSHeading2"/>
      </w:pPr>
      <w:r w:rsidRPr="006B06BA">
        <w:t xml:space="preserve">Next </w:t>
      </w:r>
      <w:r>
        <w:t>s</w:t>
      </w:r>
      <w:r w:rsidRPr="006B06BA">
        <w:t>teps</w:t>
      </w:r>
    </w:p>
    <w:p w14:paraId="595E8B84" w14:textId="77777777" w:rsidR="001D58F2" w:rsidRPr="00C73BCD" w:rsidRDefault="001D58F2" w:rsidP="001D58F2">
      <w:pPr>
        <w:rPr>
          <w:szCs w:val="22"/>
        </w:rPr>
      </w:pPr>
      <w:r>
        <w:rPr>
          <w:szCs w:val="22"/>
        </w:rPr>
        <w:t>T</w:t>
      </w:r>
      <w:r w:rsidRPr="00C73BCD">
        <w:rPr>
          <w:szCs w:val="22"/>
        </w:rPr>
        <w:t>he following work</w:t>
      </w:r>
      <w:r>
        <w:rPr>
          <w:szCs w:val="22"/>
        </w:rPr>
        <w:t xml:space="preserve"> </w:t>
      </w:r>
      <w:r w:rsidRPr="00C73BCD">
        <w:rPr>
          <w:szCs w:val="22"/>
        </w:rPr>
        <w:t>plan is proposed:</w:t>
      </w:r>
    </w:p>
    <w:p w14:paraId="1B1B1ABA" w14:textId="77777777" w:rsidR="001D58F2" w:rsidRPr="00C73BCD" w:rsidRDefault="001D58F2" w:rsidP="001D58F2">
      <w:pPr>
        <w:rPr>
          <w:szCs w:val="22"/>
        </w:rPr>
      </w:pPr>
    </w:p>
    <w:tbl>
      <w:tblPr>
        <w:tblStyle w:val="Tablaconcuadrcula"/>
        <w:tblW w:w="0" w:type="auto"/>
        <w:tblLook w:val="04A0" w:firstRow="1" w:lastRow="0" w:firstColumn="1" w:lastColumn="0" w:noHBand="0" w:noVBand="1"/>
      </w:tblPr>
      <w:tblGrid>
        <w:gridCol w:w="4245"/>
        <w:gridCol w:w="4250"/>
      </w:tblGrid>
      <w:tr w:rsidR="001D58F2" w:rsidRPr="0007183B" w14:paraId="0F7F1725" w14:textId="77777777" w:rsidTr="001B59CC">
        <w:tc>
          <w:tcPr>
            <w:tcW w:w="4505" w:type="dxa"/>
            <w:shd w:val="clear" w:color="auto" w:fill="D9D9D9" w:themeFill="background1" w:themeFillShade="D9"/>
          </w:tcPr>
          <w:p w14:paraId="79DD07E4" w14:textId="77777777" w:rsidR="001D58F2" w:rsidRPr="006B06BA" w:rsidRDefault="001D58F2" w:rsidP="001B59CC">
            <w:pPr>
              <w:rPr>
                <w:b/>
                <w:bCs/>
                <w:szCs w:val="22"/>
              </w:rPr>
            </w:pPr>
            <w:r w:rsidRPr="006B06BA">
              <w:rPr>
                <w:b/>
                <w:bCs/>
                <w:szCs w:val="22"/>
              </w:rPr>
              <w:t>Step</w:t>
            </w:r>
          </w:p>
        </w:tc>
        <w:tc>
          <w:tcPr>
            <w:tcW w:w="4505" w:type="dxa"/>
            <w:shd w:val="clear" w:color="auto" w:fill="D9D9D9" w:themeFill="background1" w:themeFillShade="D9"/>
          </w:tcPr>
          <w:p w14:paraId="2F84AA1E" w14:textId="77777777" w:rsidR="001D58F2" w:rsidRPr="006B06BA" w:rsidRDefault="001D58F2" w:rsidP="001B59CC">
            <w:pPr>
              <w:jc w:val="center"/>
              <w:rPr>
                <w:b/>
                <w:bCs/>
                <w:szCs w:val="22"/>
              </w:rPr>
            </w:pPr>
            <w:r w:rsidRPr="006B06BA">
              <w:rPr>
                <w:b/>
                <w:bCs/>
                <w:szCs w:val="22"/>
              </w:rPr>
              <w:t>Approximate dates</w:t>
            </w:r>
          </w:p>
        </w:tc>
      </w:tr>
      <w:tr w:rsidR="001D58F2" w:rsidRPr="00C73BCD" w14:paraId="1AD2CC4A" w14:textId="77777777" w:rsidTr="001B59CC">
        <w:tc>
          <w:tcPr>
            <w:tcW w:w="4505" w:type="dxa"/>
            <w:vAlign w:val="center"/>
          </w:tcPr>
          <w:p w14:paraId="19A79C8B" w14:textId="77777777" w:rsidR="001D58F2" w:rsidRPr="00C73BCD" w:rsidRDefault="001D58F2" w:rsidP="001B59CC">
            <w:pPr>
              <w:rPr>
                <w:szCs w:val="22"/>
              </w:rPr>
            </w:pPr>
            <w:r w:rsidRPr="00C73BCD">
              <w:rPr>
                <w:szCs w:val="22"/>
              </w:rPr>
              <w:t>Stage 1 CMP prepared and circulated to expert advisors</w:t>
            </w:r>
          </w:p>
        </w:tc>
        <w:tc>
          <w:tcPr>
            <w:tcW w:w="4505" w:type="dxa"/>
            <w:vAlign w:val="center"/>
          </w:tcPr>
          <w:p w14:paraId="4E2D3984" w14:textId="77777777" w:rsidR="001D58F2" w:rsidRDefault="001D58F2" w:rsidP="001B59CC">
            <w:pPr>
              <w:jc w:val="center"/>
              <w:rPr>
                <w:szCs w:val="22"/>
              </w:rPr>
            </w:pPr>
            <w:r w:rsidRPr="00C73BCD">
              <w:rPr>
                <w:szCs w:val="22"/>
              </w:rPr>
              <w:t xml:space="preserve">June </w:t>
            </w:r>
            <w:r>
              <w:rPr>
                <w:szCs w:val="22"/>
              </w:rPr>
              <w:t xml:space="preserve">– August </w:t>
            </w:r>
            <w:r w:rsidRPr="00C73BCD">
              <w:rPr>
                <w:szCs w:val="22"/>
              </w:rPr>
              <w:t>2023</w:t>
            </w:r>
          </w:p>
          <w:p w14:paraId="38045F8F" w14:textId="77777777" w:rsidR="001D58F2" w:rsidRPr="00C73BCD" w:rsidRDefault="001D58F2" w:rsidP="001B59CC">
            <w:pPr>
              <w:jc w:val="center"/>
              <w:rPr>
                <w:szCs w:val="22"/>
              </w:rPr>
            </w:pPr>
          </w:p>
        </w:tc>
      </w:tr>
      <w:tr w:rsidR="001D58F2" w:rsidRPr="00C73BCD" w14:paraId="08D3F6FF" w14:textId="77777777" w:rsidTr="001B59CC">
        <w:tc>
          <w:tcPr>
            <w:tcW w:w="4505" w:type="dxa"/>
            <w:vAlign w:val="center"/>
          </w:tcPr>
          <w:p w14:paraId="23F3F678" w14:textId="77777777" w:rsidR="001D58F2" w:rsidRDefault="001D58F2" w:rsidP="001B59CC">
            <w:pPr>
              <w:rPr>
                <w:szCs w:val="22"/>
              </w:rPr>
            </w:pPr>
            <w:r w:rsidRPr="00C73BCD">
              <w:rPr>
                <w:szCs w:val="22"/>
              </w:rPr>
              <w:t>Open consultation on Stage 1 CMP</w:t>
            </w:r>
          </w:p>
          <w:p w14:paraId="61432D49" w14:textId="77777777" w:rsidR="001D58F2" w:rsidRPr="00C73BCD" w:rsidRDefault="001D58F2" w:rsidP="001B59CC">
            <w:pPr>
              <w:rPr>
                <w:szCs w:val="22"/>
              </w:rPr>
            </w:pPr>
          </w:p>
        </w:tc>
        <w:tc>
          <w:tcPr>
            <w:tcW w:w="4505" w:type="dxa"/>
            <w:vAlign w:val="center"/>
          </w:tcPr>
          <w:p w14:paraId="692D4599" w14:textId="77777777" w:rsidR="001D58F2" w:rsidRPr="00C73BCD" w:rsidRDefault="001D58F2" w:rsidP="001B59CC">
            <w:pPr>
              <w:jc w:val="center"/>
              <w:rPr>
                <w:szCs w:val="22"/>
              </w:rPr>
            </w:pPr>
            <w:r w:rsidRPr="00C73BCD">
              <w:rPr>
                <w:szCs w:val="22"/>
              </w:rPr>
              <w:t xml:space="preserve">August </w:t>
            </w:r>
            <w:r>
              <w:rPr>
                <w:szCs w:val="22"/>
              </w:rPr>
              <w:t xml:space="preserve">– October </w:t>
            </w:r>
            <w:r w:rsidRPr="00C73BCD">
              <w:rPr>
                <w:szCs w:val="22"/>
              </w:rPr>
              <w:t>2023</w:t>
            </w:r>
          </w:p>
        </w:tc>
      </w:tr>
      <w:tr w:rsidR="001D58F2" w:rsidRPr="00C73BCD" w14:paraId="0532B16D" w14:textId="77777777" w:rsidTr="001B59CC">
        <w:tc>
          <w:tcPr>
            <w:tcW w:w="4505" w:type="dxa"/>
            <w:vAlign w:val="center"/>
          </w:tcPr>
          <w:p w14:paraId="46B74424" w14:textId="77777777" w:rsidR="001D58F2" w:rsidRDefault="001D58F2" w:rsidP="001B59CC">
            <w:pPr>
              <w:rPr>
                <w:szCs w:val="22"/>
              </w:rPr>
            </w:pPr>
            <w:r w:rsidRPr="00C73BCD">
              <w:rPr>
                <w:szCs w:val="22"/>
              </w:rPr>
              <w:t>Consultation analysis and response</w:t>
            </w:r>
          </w:p>
          <w:p w14:paraId="7FBDF90F" w14:textId="77777777" w:rsidR="001D58F2" w:rsidRPr="00C73BCD" w:rsidRDefault="001D58F2" w:rsidP="001B59CC">
            <w:pPr>
              <w:rPr>
                <w:szCs w:val="22"/>
              </w:rPr>
            </w:pPr>
          </w:p>
        </w:tc>
        <w:tc>
          <w:tcPr>
            <w:tcW w:w="4505" w:type="dxa"/>
            <w:vAlign w:val="center"/>
          </w:tcPr>
          <w:p w14:paraId="3608A870" w14:textId="77777777" w:rsidR="001D58F2" w:rsidRPr="00C73BCD" w:rsidRDefault="001D58F2" w:rsidP="001B59CC">
            <w:pPr>
              <w:jc w:val="center"/>
              <w:rPr>
                <w:szCs w:val="22"/>
              </w:rPr>
            </w:pPr>
            <w:r>
              <w:rPr>
                <w:szCs w:val="22"/>
              </w:rPr>
              <w:t>November</w:t>
            </w:r>
            <w:r w:rsidRPr="00C73BCD">
              <w:rPr>
                <w:szCs w:val="22"/>
              </w:rPr>
              <w:t xml:space="preserve"> – December 2023</w:t>
            </w:r>
          </w:p>
        </w:tc>
      </w:tr>
      <w:tr w:rsidR="001D58F2" w:rsidRPr="00C73BCD" w14:paraId="1615DAE5" w14:textId="77777777" w:rsidTr="001B59CC">
        <w:tc>
          <w:tcPr>
            <w:tcW w:w="4505" w:type="dxa"/>
            <w:vAlign w:val="center"/>
          </w:tcPr>
          <w:p w14:paraId="04CD42D2" w14:textId="77777777" w:rsidR="001D58F2" w:rsidRPr="00C73BCD" w:rsidRDefault="001D58F2" w:rsidP="001B59CC">
            <w:pPr>
              <w:rPr>
                <w:szCs w:val="22"/>
              </w:rPr>
            </w:pPr>
            <w:r w:rsidRPr="00C73BCD">
              <w:rPr>
                <w:szCs w:val="22"/>
              </w:rPr>
              <w:t>Stage 2 CMP – incorporati</w:t>
            </w:r>
            <w:r>
              <w:rPr>
                <w:szCs w:val="22"/>
              </w:rPr>
              <w:t>on of</w:t>
            </w:r>
            <w:r w:rsidRPr="00C73BCD">
              <w:rPr>
                <w:szCs w:val="22"/>
              </w:rPr>
              <w:t xml:space="preserve"> results of consultation and additional data</w:t>
            </w:r>
          </w:p>
        </w:tc>
        <w:tc>
          <w:tcPr>
            <w:tcW w:w="4505" w:type="dxa"/>
            <w:vAlign w:val="center"/>
          </w:tcPr>
          <w:p w14:paraId="518929CF" w14:textId="77777777" w:rsidR="001D58F2" w:rsidRPr="00C73BCD" w:rsidRDefault="001D58F2" w:rsidP="001B59CC">
            <w:pPr>
              <w:jc w:val="center"/>
              <w:rPr>
                <w:szCs w:val="22"/>
              </w:rPr>
            </w:pPr>
            <w:r w:rsidRPr="00C73BCD">
              <w:rPr>
                <w:szCs w:val="22"/>
              </w:rPr>
              <w:t>December 2023 – March 2024</w:t>
            </w:r>
          </w:p>
        </w:tc>
      </w:tr>
      <w:tr w:rsidR="001D58F2" w:rsidRPr="00C73BCD" w14:paraId="45D9F868" w14:textId="77777777" w:rsidTr="001B59CC">
        <w:tc>
          <w:tcPr>
            <w:tcW w:w="4505" w:type="dxa"/>
            <w:vAlign w:val="center"/>
          </w:tcPr>
          <w:p w14:paraId="5F7B3DDC" w14:textId="77777777" w:rsidR="001D58F2" w:rsidRDefault="001D58F2" w:rsidP="001B59CC">
            <w:pPr>
              <w:rPr>
                <w:szCs w:val="22"/>
              </w:rPr>
            </w:pPr>
            <w:r>
              <w:rPr>
                <w:szCs w:val="22"/>
              </w:rPr>
              <w:t>Preparation of Stage 2 CMP</w:t>
            </w:r>
            <w:r w:rsidRPr="00C73BCD">
              <w:rPr>
                <w:szCs w:val="22"/>
              </w:rPr>
              <w:t xml:space="preserve"> </w:t>
            </w:r>
          </w:p>
          <w:p w14:paraId="16010361" w14:textId="77777777" w:rsidR="001D58F2" w:rsidRPr="00C73BCD" w:rsidRDefault="001D58F2" w:rsidP="001B59CC">
            <w:pPr>
              <w:rPr>
                <w:szCs w:val="22"/>
              </w:rPr>
            </w:pPr>
          </w:p>
        </w:tc>
        <w:tc>
          <w:tcPr>
            <w:tcW w:w="4505" w:type="dxa"/>
            <w:vAlign w:val="center"/>
          </w:tcPr>
          <w:p w14:paraId="3FEB6DA4" w14:textId="77777777" w:rsidR="001D58F2" w:rsidRPr="00C73BCD" w:rsidRDefault="001D58F2" w:rsidP="001B59CC">
            <w:pPr>
              <w:jc w:val="center"/>
              <w:rPr>
                <w:szCs w:val="22"/>
              </w:rPr>
            </w:pPr>
            <w:r w:rsidRPr="00C73BCD">
              <w:rPr>
                <w:szCs w:val="22"/>
              </w:rPr>
              <w:t>February - March 2024</w:t>
            </w:r>
          </w:p>
        </w:tc>
      </w:tr>
      <w:tr w:rsidR="001D58F2" w:rsidRPr="00C73BCD" w14:paraId="134B4721" w14:textId="77777777" w:rsidTr="001B59CC">
        <w:tc>
          <w:tcPr>
            <w:tcW w:w="4505" w:type="dxa"/>
            <w:vAlign w:val="center"/>
          </w:tcPr>
          <w:p w14:paraId="561B80BA" w14:textId="77777777" w:rsidR="001D58F2" w:rsidRDefault="001D58F2" w:rsidP="001B59CC">
            <w:pPr>
              <w:rPr>
                <w:strike/>
                <w:szCs w:val="22"/>
              </w:rPr>
            </w:pPr>
            <w:r>
              <w:rPr>
                <w:szCs w:val="22"/>
              </w:rPr>
              <w:t>Potential s</w:t>
            </w:r>
            <w:r w:rsidRPr="008B4EC3">
              <w:rPr>
                <w:szCs w:val="22"/>
              </w:rPr>
              <w:t xml:space="preserve">ubmission of </w:t>
            </w:r>
            <w:r>
              <w:rPr>
                <w:szCs w:val="22"/>
              </w:rPr>
              <w:t>ASPA Prior Assessment Template</w:t>
            </w:r>
            <w:r w:rsidRPr="008B4EC3">
              <w:rPr>
                <w:szCs w:val="22"/>
              </w:rPr>
              <w:t xml:space="preserve"> to CEP XXVI</w:t>
            </w:r>
          </w:p>
          <w:p w14:paraId="78263C54" w14:textId="77777777" w:rsidR="001D58F2" w:rsidRPr="008B4EC3" w:rsidRDefault="001D58F2" w:rsidP="001B59CC">
            <w:pPr>
              <w:rPr>
                <w:strike/>
                <w:szCs w:val="22"/>
              </w:rPr>
            </w:pPr>
          </w:p>
        </w:tc>
        <w:tc>
          <w:tcPr>
            <w:tcW w:w="4505" w:type="dxa"/>
            <w:vAlign w:val="center"/>
          </w:tcPr>
          <w:p w14:paraId="6DE55DC5" w14:textId="77777777" w:rsidR="001D58F2" w:rsidRPr="008B4EC3" w:rsidRDefault="001D58F2" w:rsidP="001B59CC">
            <w:pPr>
              <w:jc w:val="center"/>
              <w:rPr>
                <w:szCs w:val="22"/>
              </w:rPr>
            </w:pPr>
            <w:r w:rsidRPr="008B4EC3">
              <w:rPr>
                <w:szCs w:val="22"/>
              </w:rPr>
              <w:t>May 2024 (CEP XXVI)</w:t>
            </w:r>
          </w:p>
        </w:tc>
      </w:tr>
    </w:tbl>
    <w:p w14:paraId="49F47A81" w14:textId="77777777" w:rsidR="001D58F2" w:rsidRPr="00884F7D" w:rsidRDefault="001D58F2" w:rsidP="001D58F2">
      <w:pPr>
        <w:pStyle w:val="ATSHeading2"/>
      </w:pPr>
      <w:r w:rsidRPr="00884F7D">
        <w:t>Conclusion</w:t>
      </w:r>
    </w:p>
    <w:p w14:paraId="430C8593" w14:textId="77777777" w:rsidR="001D58F2" w:rsidRPr="00C73BCD" w:rsidRDefault="001D58F2" w:rsidP="001D58F2">
      <w:pPr>
        <w:rPr>
          <w:szCs w:val="22"/>
        </w:rPr>
      </w:pPr>
      <w:r w:rsidRPr="00056602">
        <w:rPr>
          <w:szCs w:val="22"/>
        </w:rPr>
        <w:t xml:space="preserve">The preparation of a Conservation Management Plan is always a team effort. The CMP for </w:t>
      </w:r>
      <w:r w:rsidRPr="00056602">
        <w:rPr>
          <w:i/>
          <w:iCs/>
          <w:szCs w:val="22"/>
        </w:rPr>
        <w:t>Endurance</w:t>
      </w:r>
      <w:r w:rsidRPr="00056602">
        <w:rPr>
          <w:szCs w:val="22"/>
        </w:rPr>
        <w:t xml:space="preserve"> is a unique undertaking for Antarctica that will inform not only the protection of this site, but </w:t>
      </w:r>
      <w:r>
        <w:rPr>
          <w:szCs w:val="22"/>
        </w:rPr>
        <w:t xml:space="preserve">may </w:t>
      </w:r>
      <w:r w:rsidRPr="00056602">
        <w:rPr>
          <w:szCs w:val="22"/>
        </w:rPr>
        <w:t xml:space="preserve">perhaps </w:t>
      </w:r>
      <w:r>
        <w:rPr>
          <w:szCs w:val="22"/>
        </w:rPr>
        <w:t>inform how</w:t>
      </w:r>
      <w:r w:rsidRPr="00056602">
        <w:rPr>
          <w:szCs w:val="22"/>
        </w:rPr>
        <w:t xml:space="preserve"> other similar sites in the Southern Ocean</w:t>
      </w:r>
      <w:r>
        <w:rPr>
          <w:szCs w:val="22"/>
        </w:rPr>
        <w:t xml:space="preserve"> might be protected</w:t>
      </w:r>
      <w:r w:rsidRPr="00056602">
        <w:rPr>
          <w:szCs w:val="22"/>
        </w:rPr>
        <w:t xml:space="preserve">. </w:t>
      </w:r>
      <w:r>
        <w:rPr>
          <w:szCs w:val="22"/>
        </w:rPr>
        <w:t xml:space="preserve">This CMP will principally guide the UK in the future management of the wreck site, but should further protection under the Antarctic Treaty System be deemed necessary, it may provide a bedrock for future management.  </w:t>
      </w:r>
      <w:r w:rsidRPr="00C73BCD">
        <w:rPr>
          <w:szCs w:val="22"/>
        </w:rPr>
        <w:t xml:space="preserve">Expertise, data, informed opinion and stakeholder engagement is vital to the success of the creation and implementation of such a plan and the authors welcome </w:t>
      </w:r>
      <w:r>
        <w:rPr>
          <w:szCs w:val="22"/>
        </w:rPr>
        <w:t>any interest</w:t>
      </w:r>
      <w:r w:rsidRPr="00C73BCD">
        <w:rPr>
          <w:szCs w:val="22"/>
        </w:rPr>
        <w:t xml:space="preserve"> </w:t>
      </w:r>
      <w:r>
        <w:rPr>
          <w:szCs w:val="22"/>
        </w:rPr>
        <w:t>expressed by</w:t>
      </w:r>
      <w:r w:rsidRPr="00C73BCD">
        <w:rPr>
          <w:szCs w:val="22"/>
        </w:rPr>
        <w:t xml:space="preserve"> CEP </w:t>
      </w:r>
      <w:r>
        <w:rPr>
          <w:szCs w:val="22"/>
        </w:rPr>
        <w:t>Members.</w:t>
      </w:r>
    </w:p>
    <w:p w14:paraId="526D22A8" w14:textId="77777777" w:rsidR="001D58F2" w:rsidRPr="00884F7D" w:rsidRDefault="001D58F2" w:rsidP="001D58F2">
      <w:pPr>
        <w:pStyle w:val="ATSHeading2"/>
      </w:pPr>
      <w:r w:rsidRPr="00884F7D">
        <w:t>Recommendations</w:t>
      </w:r>
    </w:p>
    <w:p w14:paraId="3FD76118" w14:textId="77777777" w:rsidR="001D58F2" w:rsidRPr="00C73BCD" w:rsidRDefault="001D58F2" w:rsidP="001D58F2">
      <w:pPr>
        <w:rPr>
          <w:szCs w:val="22"/>
        </w:rPr>
      </w:pPr>
      <w:r>
        <w:rPr>
          <w:szCs w:val="22"/>
        </w:rPr>
        <w:t xml:space="preserve">It is </w:t>
      </w:r>
      <w:r w:rsidRPr="00C73BCD">
        <w:rPr>
          <w:szCs w:val="22"/>
        </w:rPr>
        <w:t>recommend</w:t>
      </w:r>
      <w:r>
        <w:rPr>
          <w:szCs w:val="22"/>
        </w:rPr>
        <w:t>ed</w:t>
      </w:r>
      <w:r w:rsidRPr="00C73BCD">
        <w:rPr>
          <w:szCs w:val="22"/>
        </w:rPr>
        <w:t xml:space="preserve"> that the CEP:</w:t>
      </w:r>
    </w:p>
    <w:p w14:paraId="44B4BC4C" w14:textId="77777777" w:rsidR="001D58F2" w:rsidRPr="00C73BCD" w:rsidRDefault="001D58F2" w:rsidP="001D58F2">
      <w:pPr>
        <w:rPr>
          <w:szCs w:val="22"/>
        </w:rPr>
      </w:pPr>
    </w:p>
    <w:p w14:paraId="64A87CA2" w14:textId="77777777" w:rsidR="001D58F2" w:rsidRPr="00C73BCD" w:rsidRDefault="001D58F2" w:rsidP="001D58F2">
      <w:pPr>
        <w:pStyle w:val="Prrafodelista"/>
        <w:numPr>
          <w:ilvl w:val="0"/>
          <w:numId w:val="22"/>
        </w:numPr>
        <w:contextualSpacing/>
        <w:rPr>
          <w:szCs w:val="22"/>
        </w:rPr>
      </w:pPr>
      <w:r>
        <w:rPr>
          <w:szCs w:val="22"/>
        </w:rPr>
        <w:t>n</w:t>
      </w:r>
      <w:r w:rsidRPr="00C73BCD">
        <w:rPr>
          <w:szCs w:val="22"/>
        </w:rPr>
        <w:t>ote</w:t>
      </w:r>
      <w:r>
        <w:rPr>
          <w:szCs w:val="22"/>
        </w:rPr>
        <w:t>s</w:t>
      </w:r>
      <w:r w:rsidRPr="00C73BCD">
        <w:rPr>
          <w:szCs w:val="22"/>
        </w:rPr>
        <w:t xml:space="preserve"> the progress made to date on the </w:t>
      </w:r>
      <w:r>
        <w:rPr>
          <w:szCs w:val="22"/>
        </w:rPr>
        <w:t>Conservation M</w:t>
      </w:r>
      <w:r w:rsidRPr="00C73BCD">
        <w:rPr>
          <w:szCs w:val="22"/>
        </w:rPr>
        <w:t xml:space="preserve">anagement </w:t>
      </w:r>
      <w:r>
        <w:rPr>
          <w:szCs w:val="22"/>
        </w:rPr>
        <w:t>P</w:t>
      </w:r>
      <w:r w:rsidRPr="00C73BCD">
        <w:rPr>
          <w:szCs w:val="22"/>
        </w:rPr>
        <w:t>lan</w:t>
      </w:r>
      <w:r>
        <w:rPr>
          <w:szCs w:val="22"/>
        </w:rPr>
        <w:t xml:space="preserve"> for</w:t>
      </w:r>
      <w:r w:rsidRPr="00C73BCD">
        <w:rPr>
          <w:szCs w:val="22"/>
        </w:rPr>
        <w:t xml:space="preserve"> </w:t>
      </w:r>
      <w:r>
        <w:rPr>
          <w:szCs w:val="22"/>
        </w:rPr>
        <w:t xml:space="preserve">HSM No. 93 </w:t>
      </w:r>
      <w:r w:rsidRPr="00C73BCD">
        <w:rPr>
          <w:szCs w:val="22"/>
        </w:rPr>
        <w:t>and proposed next steps;</w:t>
      </w:r>
    </w:p>
    <w:p w14:paraId="2EC24891" w14:textId="77777777" w:rsidR="001D58F2" w:rsidRPr="00C73BCD" w:rsidRDefault="001D58F2" w:rsidP="001D58F2">
      <w:pPr>
        <w:pStyle w:val="Prrafodelista"/>
        <w:numPr>
          <w:ilvl w:val="0"/>
          <w:numId w:val="22"/>
        </w:numPr>
        <w:contextualSpacing/>
        <w:rPr>
          <w:szCs w:val="22"/>
        </w:rPr>
      </w:pPr>
      <w:r>
        <w:rPr>
          <w:szCs w:val="22"/>
        </w:rPr>
        <w:t>notes the proposed consultation during the development of the Conservation Management</w:t>
      </w:r>
      <w:r w:rsidRPr="00C73BCD">
        <w:rPr>
          <w:szCs w:val="22"/>
        </w:rPr>
        <w:t xml:space="preserve"> </w:t>
      </w:r>
      <w:r>
        <w:rPr>
          <w:szCs w:val="22"/>
        </w:rPr>
        <w:t>P</w:t>
      </w:r>
      <w:r w:rsidRPr="00C73BCD">
        <w:rPr>
          <w:szCs w:val="22"/>
        </w:rPr>
        <w:t>lan for protecting HSM</w:t>
      </w:r>
      <w:r>
        <w:rPr>
          <w:szCs w:val="22"/>
        </w:rPr>
        <w:t xml:space="preserve"> No. </w:t>
      </w:r>
      <w:r w:rsidRPr="00C73BCD">
        <w:rPr>
          <w:szCs w:val="22"/>
        </w:rPr>
        <w:t>93; and</w:t>
      </w:r>
    </w:p>
    <w:p w14:paraId="6E66A3DC" w14:textId="77777777" w:rsidR="001D58F2" w:rsidRPr="00C73BCD" w:rsidRDefault="001D58F2" w:rsidP="001D58F2">
      <w:pPr>
        <w:pStyle w:val="Prrafodelista"/>
        <w:numPr>
          <w:ilvl w:val="0"/>
          <w:numId w:val="22"/>
        </w:numPr>
        <w:contextualSpacing/>
        <w:rPr>
          <w:szCs w:val="22"/>
        </w:rPr>
      </w:pPr>
      <w:r>
        <w:rPr>
          <w:szCs w:val="22"/>
        </w:rPr>
        <w:t>invites Members to s</w:t>
      </w:r>
      <w:r w:rsidRPr="00C73BCD">
        <w:rPr>
          <w:szCs w:val="22"/>
        </w:rPr>
        <w:t xml:space="preserve">hare </w:t>
      </w:r>
      <w:r>
        <w:rPr>
          <w:szCs w:val="22"/>
        </w:rPr>
        <w:t xml:space="preserve">any initial </w:t>
      </w:r>
      <w:r w:rsidRPr="00C73BCD">
        <w:rPr>
          <w:szCs w:val="22"/>
        </w:rPr>
        <w:t>views on</w:t>
      </w:r>
      <w:r>
        <w:rPr>
          <w:szCs w:val="22"/>
        </w:rPr>
        <w:t xml:space="preserve"> the</w:t>
      </w:r>
      <w:r w:rsidRPr="00C73BCD">
        <w:rPr>
          <w:szCs w:val="22"/>
        </w:rPr>
        <w:t xml:space="preserve"> possible</w:t>
      </w:r>
      <w:r>
        <w:rPr>
          <w:szCs w:val="22"/>
        </w:rPr>
        <w:t xml:space="preserve"> future</w:t>
      </w:r>
      <w:r w:rsidRPr="00C73BCD">
        <w:rPr>
          <w:szCs w:val="22"/>
        </w:rPr>
        <w:t xml:space="preserve"> proposal for</w:t>
      </w:r>
      <w:r>
        <w:rPr>
          <w:szCs w:val="22"/>
        </w:rPr>
        <w:t xml:space="preserve"> seeking</w:t>
      </w:r>
      <w:r w:rsidRPr="00C73BCD">
        <w:rPr>
          <w:szCs w:val="22"/>
        </w:rPr>
        <w:t xml:space="preserve"> ASPA designation for the wreck site.</w:t>
      </w:r>
    </w:p>
    <w:p w14:paraId="72A9302C" w14:textId="77777777" w:rsidR="001D58F2" w:rsidRPr="00C73BCD" w:rsidRDefault="001D58F2" w:rsidP="001D58F2">
      <w:pPr>
        <w:rPr>
          <w:szCs w:val="22"/>
        </w:rPr>
      </w:pPr>
    </w:p>
    <w:p w14:paraId="2E0B3F40" w14:textId="77777777" w:rsidR="004B4A60" w:rsidRDefault="001D58F2" w:rsidP="00952E9F"/>
    <w:sectPr w:rsidR="004B4A60" w:rsidSect="00283F0F">
      <w:headerReference w:type="default" r:id="rId11"/>
      <w:footerReference w:type="default" r:id="rId12"/>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52D5A7" w14:textId="77777777" w:rsidR="00000000" w:rsidRDefault="001D58F2">
      <w:r>
        <w:separator/>
      </w:r>
    </w:p>
  </w:endnote>
  <w:endnote w:type="continuationSeparator" w:id="0">
    <w:p w14:paraId="5181B708" w14:textId="77777777" w:rsidR="00000000" w:rsidRDefault="001D58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31913" w14:textId="77777777" w:rsidR="00FA0B9F" w:rsidRDefault="001D58F2" w:rsidP="00CF5C82">
    <w:pPr>
      <w:framePr w:wrap="around" w:vAnchor="text" w:hAnchor="margin" w:xAlign="right" w:y="1"/>
    </w:pPr>
    <w:r>
      <w:fldChar w:fldCharType="begin"/>
    </w:r>
    <w:r>
      <w:instrText xml:space="preserve">PAGE  </w:instrText>
    </w:r>
    <w:r>
      <w:fldChar w:fldCharType="separate"/>
    </w:r>
    <w:r>
      <w:fldChar w:fldCharType="end"/>
    </w:r>
  </w:p>
  <w:p w14:paraId="4585A161" w14:textId="77777777" w:rsidR="00FA0B9F" w:rsidRDefault="001D58F2"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3DF08" w14:textId="77777777" w:rsidR="00FA0B9F" w:rsidRDefault="001D58F2"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26D02A7F" w14:textId="2100D39F" w:rsidR="00FA0B9F" w:rsidRDefault="001D58F2" w:rsidP="001D58F2">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8DD18" w14:textId="77777777" w:rsidR="00E311C9" w:rsidRDefault="001D58F2"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3296A6BB" w14:textId="77777777" w:rsidR="00E311C9" w:rsidRDefault="001D58F2"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864C27" w14:textId="77777777" w:rsidR="00000000" w:rsidRDefault="001D58F2">
      <w:r>
        <w:separator/>
      </w:r>
    </w:p>
  </w:footnote>
  <w:footnote w:type="continuationSeparator" w:id="0">
    <w:p w14:paraId="7262B585" w14:textId="77777777" w:rsidR="00000000" w:rsidRDefault="001D58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DA089F" w14:paraId="6762F3AC" w14:textId="77777777" w:rsidTr="002E12EC">
      <w:trPr>
        <w:trHeight w:val="344"/>
        <w:jc w:val="center"/>
      </w:trPr>
      <w:tc>
        <w:tcPr>
          <w:tcW w:w="5495" w:type="dxa"/>
        </w:tcPr>
        <w:p w14:paraId="13B22C37" w14:textId="77777777" w:rsidR="00DB7C09" w:rsidRDefault="001D58F2" w:rsidP="00F968D4"/>
      </w:tc>
      <w:tc>
        <w:tcPr>
          <w:tcW w:w="4253" w:type="dxa"/>
          <w:gridSpan w:val="2"/>
        </w:tcPr>
        <w:p w14:paraId="3556EF8E" w14:textId="77777777" w:rsidR="00DB7C09" w:rsidRPr="00BD47E4" w:rsidRDefault="001D58F2" w:rsidP="002A07BC">
          <w:pPr>
            <w:jc w:val="right"/>
            <w:rPr>
              <w:b/>
              <w:sz w:val="32"/>
              <w:szCs w:val="32"/>
            </w:rPr>
          </w:pPr>
          <w:bookmarkStart w:id="2" w:name="type"/>
          <w:r w:rsidRPr="00BD47E4">
            <w:rPr>
              <w:b/>
              <w:sz w:val="32"/>
              <w:szCs w:val="32"/>
            </w:rPr>
            <w:t>WP</w:t>
          </w:r>
          <w:bookmarkEnd w:id="2"/>
        </w:p>
      </w:tc>
      <w:tc>
        <w:tcPr>
          <w:tcW w:w="1524" w:type="dxa"/>
          <w:gridSpan w:val="2"/>
        </w:tcPr>
        <w:p w14:paraId="6330EF8E" w14:textId="77777777" w:rsidR="00DB7C09" w:rsidRPr="00BD47E4" w:rsidRDefault="001D58F2" w:rsidP="00DB7C09">
          <w:pPr>
            <w:rPr>
              <w:b/>
              <w:sz w:val="32"/>
              <w:szCs w:val="32"/>
            </w:rPr>
          </w:pPr>
          <w:bookmarkStart w:id="3" w:name="number"/>
          <w:r w:rsidRPr="00BD47E4">
            <w:rPr>
              <w:b/>
              <w:sz w:val="32"/>
              <w:szCs w:val="32"/>
            </w:rPr>
            <w:t>53</w:t>
          </w:r>
          <w:bookmarkEnd w:id="3"/>
        </w:p>
      </w:tc>
    </w:tr>
    <w:tr w:rsidR="00DA089F" w14:paraId="1AED07B4" w14:textId="77777777" w:rsidTr="002E12EC">
      <w:trPr>
        <w:trHeight w:val="2165"/>
        <w:jc w:val="center"/>
      </w:trPr>
      <w:tc>
        <w:tcPr>
          <w:tcW w:w="5495" w:type="dxa"/>
        </w:tcPr>
        <w:p w14:paraId="5A2B0C90" w14:textId="77777777" w:rsidR="00490760" w:rsidRPr="00EE4D48" w:rsidRDefault="001D58F2" w:rsidP="002A07BC">
          <w:pPr>
            <w:rPr>
              <w:b/>
              <w:sz w:val="28"/>
              <w:szCs w:val="28"/>
            </w:rPr>
          </w:pPr>
          <w:r>
            <w:rPr>
              <w:noProof/>
            </w:rPr>
            <w:drawing>
              <wp:inline distT="0" distB="0" distL="0" distR="0" wp14:anchorId="4BA48506" wp14:editId="019016DE">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192490"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408DCC8D" w14:textId="77777777" w:rsidR="00490760" w:rsidRPr="00FE5146" w:rsidRDefault="001D58F2" w:rsidP="00490760">
          <w:pPr>
            <w:jc w:val="right"/>
            <w:rPr>
              <w:sz w:val="144"/>
              <w:szCs w:val="144"/>
            </w:rPr>
          </w:pPr>
          <w:r w:rsidRPr="00FE5146">
            <w:rPr>
              <w:sz w:val="144"/>
              <w:szCs w:val="144"/>
            </w:rPr>
            <w:t>ENG</w:t>
          </w:r>
        </w:p>
      </w:tc>
    </w:tr>
    <w:tr w:rsidR="00DA089F" w14:paraId="1B5F1C1E" w14:textId="77777777" w:rsidTr="002E12EC">
      <w:trPr>
        <w:trHeight w:val="409"/>
        <w:jc w:val="center"/>
      </w:trPr>
      <w:tc>
        <w:tcPr>
          <w:tcW w:w="8500" w:type="dxa"/>
          <w:gridSpan w:val="2"/>
        </w:tcPr>
        <w:p w14:paraId="124D4D00" w14:textId="77777777" w:rsidR="00BD47E4" w:rsidRDefault="001D58F2" w:rsidP="002C30DA">
          <w:pPr>
            <w:jc w:val="right"/>
          </w:pPr>
          <w:r>
            <w:t>Agenda Item:</w:t>
          </w:r>
        </w:p>
      </w:tc>
      <w:tc>
        <w:tcPr>
          <w:tcW w:w="2382" w:type="dxa"/>
          <w:gridSpan w:val="2"/>
        </w:tcPr>
        <w:p w14:paraId="3A8FACDA" w14:textId="77777777" w:rsidR="00BD47E4" w:rsidRDefault="001D58F2" w:rsidP="002C30DA">
          <w:pPr>
            <w:jc w:val="right"/>
          </w:pPr>
          <w:bookmarkStart w:id="4" w:name="agenda"/>
          <w:r>
            <w:t>CEP 9b</w:t>
          </w:r>
          <w:bookmarkEnd w:id="4"/>
        </w:p>
      </w:tc>
      <w:tc>
        <w:tcPr>
          <w:tcW w:w="390" w:type="dxa"/>
        </w:tcPr>
        <w:p w14:paraId="34E6F559" w14:textId="77777777" w:rsidR="00BD47E4" w:rsidRDefault="001D58F2" w:rsidP="00387A65">
          <w:pPr>
            <w:jc w:val="right"/>
          </w:pPr>
        </w:p>
      </w:tc>
    </w:tr>
    <w:tr w:rsidR="00DA089F" w14:paraId="5AC7C0EE" w14:textId="77777777" w:rsidTr="002E12EC">
      <w:trPr>
        <w:trHeight w:val="397"/>
        <w:jc w:val="center"/>
      </w:trPr>
      <w:tc>
        <w:tcPr>
          <w:tcW w:w="8500" w:type="dxa"/>
          <w:gridSpan w:val="2"/>
        </w:tcPr>
        <w:p w14:paraId="2AC67B00" w14:textId="77777777" w:rsidR="00BD47E4" w:rsidRDefault="001D58F2" w:rsidP="002C30DA">
          <w:pPr>
            <w:jc w:val="right"/>
          </w:pPr>
          <w:r>
            <w:t>Presented by:</w:t>
          </w:r>
        </w:p>
      </w:tc>
      <w:tc>
        <w:tcPr>
          <w:tcW w:w="2382" w:type="dxa"/>
          <w:gridSpan w:val="2"/>
        </w:tcPr>
        <w:p w14:paraId="1B696926" w14:textId="77777777" w:rsidR="00BD47E4" w:rsidRDefault="001D58F2" w:rsidP="002C30DA">
          <w:pPr>
            <w:jc w:val="right"/>
          </w:pPr>
          <w:bookmarkStart w:id="5" w:name="party"/>
          <w:r>
            <w:t>United Kingdom</w:t>
          </w:r>
          <w:bookmarkEnd w:id="5"/>
        </w:p>
      </w:tc>
      <w:tc>
        <w:tcPr>
          <w:tcW w:w="390" w:type="dxa"/>
        </w:tcPr>
        <w:p w14:paraId="35F3887C" w14:textId="77777777" w:rsidR="00BD47E4" w:rsidRDefault="001D58F2" w:rsidP="00387A65">
          <w:pPr>
            <w:jc w:val="right"/>
          </w:pPr>
        </w:p>
      </w:tc>
    </w:tr>
    <w:tr w:rsidR="00DA089F" w14:paraId="24B993E9" w14:textId="77777777" w:rsidTr="002E12EC">
      <w:trPr>
        <w:trHeight w:val="409"/>
        <w:jc w:val="center"/>
      </w:trPr>
      <w:tc>
        <w:tcPr>
          <w:tcW w:w="8500" w:type="dxa"/>
          <w:gridSpan w:val="2"/>
        </w:tcPr>
        <w:p w14:paraId="3C415A08" w14:textId="77777777" w:rsidR="00BD47E4" w:rsidRDefault="001D58F2" w:rsidP="002C30DA">
          <w:pPr>
            <w:jc w:val="right"/>
          </w:pPr>
          <w:r>
            <w:t>Original:</w:t>
          </w:r>
        </w:p>
      </w:tc>
      <w:tc>
        <w:tcPr>
          <w:tcW w:w="2382" w:type="dxa"/>
          <w:gridSpan w:val="2"/>
        </w:tcPr>
        <w:p w14:paraId="3227AA24" w14:textId="77777777" w:rsidR="00BD47E4" w:rsidRDefault="001D58F2" w:rsidP="002C30DA">
          <w:pPr>
            <w:jc w:val="right"/>
          </w:pPr>
          <w:bookmarkStart w:id="6" w:name="language"/>
          <w:r>
            <w:t>English</w:t>
          </w:r>
          <w:bookmarkEnd w:id="6"/>
        </w:p>
      </w:tc>
      <w:tc>
        <w:tcPr>
          <w:tcW w:w="390" w:type="dxa"/>
        </w:tcPr>
        <w:p w14:paraId="36B6FAA0" w14:textId="77777777" w:rsidR="00BD47E4" w:rsidRDefault="001D58F2" w:rsidP="00387A65">
          <w:pPr>
            <w:jc w:val="right"/>
          </w:pPr>
        </w:p>
      </w:tc>
    </w:tr>
    <w:tr w:rsidR="00DA089F" w14:paraId="72A06E6B" w14:textId="77777777" w:rsidTr="002E12EC">
      <w:trPr>
        <w:trHeight w:val="409"/>
        <w:jc w:val="center"/>
      </w:trPr>
      <w:tc>
        <w:tcPr>
          <w:tcW w:w="8500" w:type="dxa"/>
          <w:gridSpan w:val="2"/>
        </w:tcPr>
        <w:p w14:paraId="7E6C0591" w14:textId="77777777" w:rsidR="0097629D" w:rsidRDefault="001D58F2" w:rsidP="002C30DA">
          <w:pPr>
            <w:jc w:val="right"/>
          </w:pPr>
          <w:r>
            <w:t>Submitted:</w:t>
          </w:r>
        </w:p>
      </w:tc>
      <w:tc>
        <w:tcPr>
          <w:tcW w:w="2382" w:type="dxa"/>
          <w:gridSpan w:val="2"/>
        </w:tcPr>
        <w:p w14:paraId="111E8729" w14:textId="77777777" w:rsidR="0097629D" w:rsidRDefault="001D58F2" w:rsidP="0097629D">
          <w:pPr>
            <w:jc w:val="right"/>
          </w:pPr>
          <w:bookmarkStart w:id="7" w:name="date_submission"/>
          <w:r>
            <w:t>14 Apr 2023</w:t>
          </w:r>
          <w:bookmarkEnd w:id="7"/>
        </w:p>
      </w:tc>
      <w:tc>
        <w:tcPr>
          <w:tcW w:w="390" w:type="dxa"/>
        </w:tcPr>
        <w:p w14:paraId="5B33F08E" w14:textId="77777777" w:rsidR="0097629D" w:rsidRDefault="001D58F2" w:rsidP="00387A65">
          <w:pPr>
            <w:jc w:val="right"/>
          </w:pPr>
        </w:p>
      </w:tc>
    </w:tr>
  </w:tbl>
  <w:p w14:paraId="0FB90239" w14:textId="77777777" w:rsidR="00AE5DD0" w:rsidRDefault="001D58F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DA089F" w14:paraId="7821495E" w14:textId="77777777">
      <w:trPr>
        <w:trHeight w:val="354"/>
        <w:jc w:val="center"/>
      </w:trPr>
      <w:tc>
        <w:tcPr>
          <w:tcW w:w="9694" w:type="dxa"/>
        </w:tcPr>
        <w:p w14:paraId="091AB90B" w14:textId="3E53D125" w:rsidR="00AE5DD0" w:rsidRPr="00BD47E4" w:rsidRDefault="001D58F2" w:rsidP="00C26F2D">
          <w:pPr>
            <w:jc w:val="right"/>
            <w:rPr>
              <w:b/>
              <w:sz w:val="32"/>
              <w:szCs w:val="32"/>
            </w:rPr>
          </w:pPr>
          <w:r>
            <w:rPr>
              <w:b/>
              <w:sz w:val="32"/>
              <w:szCs w:val="32"/>
            </w:rPr>
            <w:t>WP</w:t>
          </w:r>
        </w:p>
      </w:tc>
      <w:tc>
        <w:tcPr>
          <w:tcW w:w="1332" w:type="dxa"/>
        </w:tcPr>
        <w:p w14:paraId="61398E9F" w14:textId="070ED53C" w:rsidR="00AE5DD0" w:rsidRPr="00BD47E4" w:rsidRDefault="001D58F2" w:rsidP="00080F4C">
          <w:pPr>
            <w:rPr>
              <w:b/>
              <w:sz w:val="32"/>
              <w:szCs w:val="32"/>
            </w:rPr>
          </w:pPr>
          <w:r>
            <w:rPr>
              <w:b/>
              <w:sz w:val="32"/>
              <w:szCs w:val="32"/>
            </w:rPr>
            <w:t>53</w:t>
          </w:r>
        </w:p>
      </w:tc>
    </w:tr>
  </w:tbl>
  <w:p w14:paraId="300892A9" w14:textId="77777777" w:rsidR="00AE5DD0" w:rsidRDefault="001D58F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A72CD186">
      <w:start w:val="1"/>
      <w:numFmt w:val="bullet"/>
      <w:pStyle w:val="ATSBullet1"/>
      <w:lvlText w:val=""/>
      <w:lvlJc w:val="left"/>
      <w:pPr>
        <w:tabs>
          <w:tab w:val="num" w:pos="360"/>
        </w:tabs>
        <w:ind w:left="360" w:hanging="360"/>
      </w:pPr>
      <w:rPr>
        <w:rFonts w:ascii="Symbol" w:hAnsi="Symbol" w:hint="default"/>
        <w:color w:val="auto"/>
      </w:rPr>
    </w:lvl>
    <w:lvl w:ilvl="1" w:tplc="861EC94E" w:tentative="1">
      <w:start w:val="1"/>
      <w:numFmt w:val="bullet"/>
      <w:lvlText w:val="o"/>
      <w:lvlJc w:val="left"/>
      <w:pPr>
        <w:tabs>
          <w:tab w:val="num" w:pos="1440"/>
        </w:tabs>
        <w:ind w:left="1440" w:hanging="360"/>
      </w:pPr>
      <w:rPr>
        <w:rFonts w:ascii="Courier New" w:hAnsi="Courier New" w:cs="Courier New" w:hint="default"/>
      </w:rPr>
    </w:lvl>
    <w:lvl w:ilvl="2" w:tplc="423A4134" w:tentative="1">
      <w:start w:val="1"/>
      <w:numFmt w:val="bullet"/>
      <w:lvlText w:val=""/>
      <w:lvlJc w:val="left"/>
      <w:pPr>
        <w:tabs>
          <w:tab w:val="num" w:pos="2160"/>
        </w:tabs>
        <w:ind w:left="2160" w:hanging="360"/>
      </w:pPr>
      <w:rPr>
        <w:rFonts w:ascii="Wingdings" w:hAnsi="Wingdings" w:hint="default"/>
      </w:rPr>
    </w:lvl>
    <w:lvl w:ilvl="3" w:tplc="C4020928" w:tentative="1">
      <w:start w:val="1"/>
      <w:numFmt w:val="bullet"/>
      <w:lvlText w:val=""/>
      <w:lvlJc w:val="left"/>
      <w:pPr>
        <w:tabs>
          <w:tab w:val="num" w:pos="2880"/>
        </w:tabs>
        <w:ind w:left="2880" w:hanging="360"/>
      </w:pPr>
      <w:rPr>
        <w:rFonts w:ascii="Symbol" w:hAnsi="Symbol" w:hint="default"/>
      </w:rPr>
    </w:lvl>
    <w:lvl w:ilvl="4" w:tplc="C1F0B956" w:tentative="1">
      <w:start w:val="1"/>
      <w:numFmt w:val="bullet"/>
      <w:lvlText w:val="o"/>
      <w:lvlJc w:val="left"/>
      <w:pPr>
        <w:tabs>
          <w:tab w:val="num" w:pos="3600"/>
        </w:tabs>
        <w:ind w:left="3600" w:hanging="360"/>
      </w:pPr>
      <w:rPr>
        <w:rFonts w:ascii="Courier New" w:hAnsi="Courier New" w:cs="Courier New" w:hint="default"/>
      </w:rPr>
    </w:lvl>
    <w:lvl w:ilvl="5" w:tplc="CD280AAA" w:tentative="1">
      <w:start w:val="1"/>
      <w:numFmt w:val="bullet"/>
      <w:lvlText w:val=""/>
      <w:lvlJc w:val="left"/>
      <w:pPr>
        <w:tabs>
          <w:tab w:val="num" w:pos="4320"/>
        </w:tabs>
        <w:ind w:left="4320" w:hanging="360"/>
      </w:pPr>
      <w:rPr>
        <w:rFonts w:ascii="Wingdings" w:hAnsi="Wingdings" w:hint="default"/>
      </w:rPr>
    </w:lvl>
    <w:lvl w:ilvl="6" w:tplc="7B364BC2" w:tentative="1">
      <w:start w:val="1"/>
      <w:numFmt w:val="bullet"/>
      <w:lvlText w:val=""/>
      <w:lvlJc w:val="left"/>
      <w:pPr>
        <w:tabs>
          <w:tab w:val="num" w:pos="5040"/>
        </w:tabs>
        <w:ind w:left="5040" w:hanging="360"/>
      </w:pPr>
      <w:rPr>
        <w:rFonts w:ascii="Symbol" w:hAnsi="Symbol" w:hint="default"/>
      </w:rPr>
    </w:lvl>
    <w:lvl w:ilvl="7" w:tplc="E8BC3326" w:tentative="1">
      <w:start w:val="1"/>
      <w:numFmt w:val="bullet"/>
      <w:lvlText w:val="o"/>
      <w:lvlJc w:val="left"/>
      <w:pPr>
        <w:tabs>
          <w:tab w:val="num" w:pos="5760"/>
        </w:tabs>
        <w:ind w:left="5760" w:hanging="360"/>
      </w:pPr>
      <w:rPr>
        <w:rFonts w:ascii="Courier New" w:hAnsi="Courier New" w:cs="Courier New" w:hint="default"/>
      </w:rPr>
    </w:lvl>
    <w:lvl w:ilvl="8" w:tplc="B68A5CB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9AD7E2B"/>
    <w:multiLevelType w:val="hybridMultilevel"/>
    <w:tmpl w:val="A738A746"/>
    <w:lvl w:ilvl="0" w:tplc="875676E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9D35C15"/>
    <w:multiLevelType w:val="hybridMultilevel"/>
    <w:tmpl w:val="A8A2E45C"/>
    <w:lvl w:ilvl="0" w:tplc="7C96F246">
      <w:start w:val="1"/>
      <w:numFmt w:val="decimal"/>
      <w:lvlText w:val="%1)"/>
      <w:lvlJc w:val="left"/>
      <w:pPr>
        <w:tabs>
          <w:tab w:val="num" w:pos="340"/>
        </w:tabs>
        <w:ind w:left="340" w:hanging="340"/>
      </w:pPr>
      <w:rPr>
        <w:rFonts w:hint="default"/>
      </w:rPr>
    </w:lvl>
    <w:lvl w:ilvl="1" w:tplc="1E0ADB3E" w:tentative="1">
      <w:start w:val="1"/>
      <w:numFmt w:val="lowerLetter"/>
      <w:lvlText w:val="%2."/>
      <w:lvlJc w:val="left"/>
      <w:pPr>
        <w:tabs>
          <w:tab w:val="num" w:pos="1440"/>
        </w:tabs>
        <w:ind w:left="1440" w:hanging="360"/>
      </w:pPr>
    </w:lvl>
    <w:lvl w:ilvl="2" w:tplc="8F24BE62" w:tentative="1">
      <w:start w:val="1"/>
      <w:numFmt w:val="lowerRoman"/>
      <w:lvlText w:val="%3."/>
      <w:lvlJc w:val="right"/>
      <w:pPr>
        <w:tabs>
          <w:tab w:val="num" w:pos="2160"/>
        </w:tabs>
        <w:ind w:left="2160" w:hanging="180"/>
      </w:pPr>
    </w:lvl>
    <w:lvl w:ilvl="3" w:tplc="353CA070" w:tentative="1">
      <w:start w:val="1"/>
      <w:numFmt w:val="decimal"/>
      <w:lvlText w:val="%4."/>
      <w:lvlJc w:val="left"/>
      <w:pPr>
        <w:tabs>
          <w:tab w:val="num" w:pos="2880"/>
        </w:tabs>
        <w:ind w:left="2880" w:hanging="360"/>
      </w:pPr>
    </w:lvl>
    <w:lvl w:ilvl="4" w:tplc="7A1C20D0" w:tentative="1">
      <w:start w:val="1"/>
      <w:numFmt w:val="lowerLetter"/>
      <w:lvlText w:val="%5."/>
      <w:lvlJc w:val="left"/>
      <w:pPr>
        <w:tabs>
          <w:tab w:val="num" w:pos="3600"/>
        </w:tabs>
        <w:ind w:left="3600" w:hanging="360"/>
      </w:pPr>
    </w:lvl>
    <w:lvl w:ilvl="5" w:tplc="29B43CA8" w:tentative="1">
      <w:start w:val="1"/>
      <w:numFmt w:val="lowerRoman"/>
      <w:lvlText w:val="%6."/>
      <w:lvlJc w:val="right"/>
      <w:pPr>
        <w:tabs>
          <w:tab w:val="num" w:pos="4320"/>
        </w:tabs>
        <w:ind w:left="4320" w:hanging="180"/>
      </w:pPr>
    </w:lvl>
    <w:lvl w:ilvl="6" w:tplc="8428574C" w:tentative="1">
      <w:start w:val="1"/>
      <w:numFmt w:val="decimal"/>
      <w:lvlText w:val="%7."/>
      <w:lvlJc w:val="left"/>
      <w:pPr>
        <w:tabs>
          <w:tab w:val="num" w:pos="5040"/>
        </w:tabs>
        <w:ind w:left="5040" w:hanging="360"/>
      </w:pPr>
    </w:lvl>
    <w:lvl w:ilvl="7" w:tplc="55C83608" w:tentative="1">
      <w:start w:val="1"/>
      <w:numFmt w:val="lowerLetter"/>
      <w:lvlText w:val="%8."/>
      <w:lvlJc w:val="left"/>
      <w:pPr>
        <w:tabs>
          <w:tab w:val="num" w:pos="5760"/>
        </w:tabs>
        <w:ind w:left="5760" w:hanging="360"/>
      </w:pPr>
    </w:lvl>
    <w:lvl w:ilvl="8" w:tplc="1952ABE4" w:tentative="1">
      <w:start w:val="1"/>
      <w:numFmt w:val="lowerRoman"/>
      <w:lvlText w:val="%9."/>
      <w:lvlJc w:val="right"/>
      <w:pPr>
        <w:tabs>
          <w:tab w:val="num" w:pos="6480"/>
        </w:tabs>
        <w:ind w:left="6480" w:hanging="180"/>
      </w:pPr>
    </w:lvl>
  </w:abstractNum>
  <w:abstractNum w:abstractNumId="14" w15:restartNumberingAfterBreak="0">
    <w:nsid w:val="642F3AFA"/>
    <w:multiLevelType w:val="hybridMultilevel"/>
    <w:tmpl w:val="9DF09BE6"/>
    <w:lvl w:ilvl="0" w:tplc="7558142C">
      <w:start w:val="1"/>
      <w:numFmt w:val="decimal"/>
      <w:lvlText w:val="%1."/>
      <w:lvlJc w:val="left"/>
      <w:pPr>
        <w:tabs>
          <w:tab w:val="num" w:pos="1057"/>
        </w:tabs>
        <w:ind w:left="1057" w:hanging="360"/>
      </w:pPr>
      <w:rPr>
        <w:rFonts w:hint="default"/>
      </w:rPr>
    </w:lvl>
    <w:lvl w:ilvl="1" w:tplc="3E84DF86" w:tentative="1">
      <w:start w:val="1"/>
      <w:numFmt w:val="lowerLetter"/>
      <w:lvlText w:val="%2."/>
      <w:lvlJc w:val="left"/>
      <w:pPr>
        <w:tabs>
          <w:tab w:val="num" w:pos="2137"/>
        </w:tabs>
        <w:ind w:left="2137" w:hanging="360"/>
      </w:pPr>
    </w:lvl>
    <w:lvl w:ilvl="2" w:tplc="A970B800" w:tentative="1">
      <w:start w:val="1"/>
      <w:numFmt w:val="lowerRoman"/>
      <w:lvlText w:val="%3."/>
      <w:lvlJc w:val="right"/>
      <w:pPr>
        <w:tabs>
          <w:tab w:val="num" w:pos="2857"/>
        </w:tabs>
        <w:ind w:left="2857" w:hanging="180"/>
      </w:pPr>
    </w:lvl>
    <w:lvl w:ilvl="3" w:tplc="7EA4BBFE" w:tentative="1">
      <w:start w:val="1"/>
      <w:numFmt w:val="decimal"/>
      <w:lvlText w:val="%4."/>
      <w:lvlJc w:val="left"/>
      <w:pPr>
        <w:tabs>
          <w:tab w:val="num" w:pos="3577"/>
        </w:tabs>
        <w:ind w:left="3577" w:hanging="360"/>
      </w:pPr>
    </w:lvl>
    <w:lvl w:ilvl="4" w:tplc="97728B1A" w:tentative="1">
      <w:start w:val="1"/>
      <w:numFmt w:val="lowerLetter"/>
      <w:lvlText w:val="%5."/>
      <w:lvlJc w:val="left"/>
      <w:pPr>
        <w:tabs>
          <w:tab w:val="num" w:pos="4297"/>
        </w:tabs>
        <w:ind w:left="4297" w:hanging="360"/>
      </w:pPr>
    </w:lvl>
    <w:lvl w:ilvl="5" w:tplc="FEB88F08" w:tentative="1">
      <w:start w:val="1"/>
      <w:numFmt w:val="lowerRoman"/>
      <w:lvlText w:val="%6."/>
      <w:lvlJc w:val="right"/>
      <w:pPr>
        <w:tabs>
          <w:tab w:val="num" w:pos="5017"/>
        </w:tabs>
        <w:ind w:left="5017" w:hanging="180"/>
      </w:pPr>
    </w:lvl>
    <w:lvl w:ilvl="6" w:tplc="B3CE779A" w:tentative="1">
      <w:start w:val="1"/>
      <w:numFmt w:val="decimal"/>
      <w:lvlText w:val="%7."/>
      <w:lvlJc w:val="left"/>
      <w:pPr>
        <w:tabs>
          <w:tab w:val="num" w:pos="5737"/>
        </w:tabs>
        <w:ind w:left="5737" w:hanging="360"/>
      </w:pPr>
    </w:lvl>
    <w:lvl w:ilvl="7" w:tplc="B06C9B12" w:tentative="1">
      <w:start w:val="1"/>
      <w:numFmt w:val="lowerLetter"/>
      <w:lvlText w:val="%8."/>
      <w:lvlJc w:val="left"/>
      <w:pPr>
        <w:tabs>
          <w:tab w:val="num" w:pos="6457"/>
        </w:tabs>
        <w:ind w:left="6457" w:hanging="360"/>
      </w:pPr>
    </w:lvl>
    <w:lvl w:ilvl="8" w:tplc="7666B0EA" w:tentative="1">
      <w:start w:val="1"/>
      <w:numFmt w:val="lowerRoman"/>
      <w:lvlText w:val="%9."/>
      <w:lvlJc w:val="right"/>
      <w:pPr>
        <w:tabs>
          <w:tab w:val="num" w:pos="7177"/>
        </w:tabs>
        <w:ind w:left="7177" w:hanging="180"/>
      </w:pPr>
    </w:lvl>
  </w:abstractNum>
  <w:abstractNum w:abstractNumId="15" w15:restartNumberingAfterBreak="0">
    <w:nsid w:val="6DE23CA0"/>
    <w:multiLevelType w:val="hybridMultilevel"/>
    <w:tmpl w:val="A738A746"/>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212657C"/>
    <w:multiLevelType w:val="hybridMultilevel"/>
    <w:tmpl w:val="0A8E2A84"/>
    <w:lvl w:ilvl="0" w:tplc="2BB62FE4">
      <w:start w:val="1"/>
      <w:numFmt w:val="decimal"/>
      <w:pStyle w:val="ATSNumber1"/>
      <w:lvlText w:val="%1)"/>
      <w:lvlJc w:val="left"/>
      <w:pPr>
        <w:tabs>
          <w:tab w:val="num" w:pos="720"/>
        </w:tabs>
        <w:ind w:left="720" w:hanging="360"/>
      </w:pPr>
    </w:lvl>
    <w:lvl w:ilvl="1" w:tplc="99968B2E" w:tentative="1">
      <w:start w:val="1"/>
      <w:numFmt w:val="lowerLetter"/>
      <w:lvlText w:val="%2."/>
      <w:lvlJc w:val="left"/>
      <w:pPr>
        <w:tabs>
          <w:tab w:val="num" w:pos="1440"/>
        </w:tabs>
        <w:ind w:left="1440" w:hanging="360"/>
      </w:pPr>
    </w:lvl>
    <w:lvl w:ilvl="2" w:tplc="E6863E30" w:tentative="1">
      <w:start w:val="1"/>
      <w:numFmt w:val="lowerRoman"/>
      <w:lvlText w:val="%3."/>
      <w:lvlJc w:val="right"/>
      <w:pPr>
        <w:tabs>
          <w:tab w:val="num" w:pos="2160"/>
        </w:tabs>
        <w:ind w:left="2160" w:hanging="180"/>
      </w:pPr>
    </w:lvl>
    <w:lvl w:ilvl="3" w:tplc="29A86BF2" w:tentative="1">
      <w:start w:val="1"/>
      <w:numFmt w:val="decimal"/>
      <w:lvlText w:val="%4."/>
      <w:lvlJc w:val="left"/>
      <w:pPr>
        <w:tabs>
          <w:tab w:val="num" w:pos="2880"/>
        </w:tabs>
        <w:ind w:left="2880" w:hanging="360"/>
      </w:pPr>
    </w:lvl>
    <w:lvl w:ilvl="4" w:tplc="9454FF28" w:tentative="1">
      <w:start w:val="1"/>
      <w:numFmt w:val="lowerLetter"/>
      <w:lvlText w:val="%5."/>
      <w:lvlJc w:val="left"/>
      <w:pPr>
        <w:tabs>
          <w:tab w:val="num" w:pos="3600"/>
        </w:tabs>
        <w:ind w:left="3600" w:hanging="360"/>
      </w:pPr>
    </w:lvl>
    <w:lvl w:ilvl="5" w:tplc="53E4B4CA" w:tentative="1">
      <w:start w:val="1"/>
      <w:numFmt w:val="lowerRoman"/>
      <w:lvlText w:val="%6."/>
      <w:lvlJc w:val="right"/>
      <w:pPr>
        <w:tabs>
          <w:tab w:val="num" w:pos="4320"/>
        </w:tabs>
        <w:ind w:left="4320" w:hanging="180"/>
      </w:pPr>
    </w:lvl>
    <w:lvl w:ilvl="6" w:tplc="5DF27144" w:tentative="1">
      <w:start w:val="1"/>
      <w:numFmt w:val="decimal"/>
      <w:lvlText w:val="%7."/>
      <w:lvlJc w:val="left"/>
      <w:pPr>
        <w:tabs>
          <w:tab w:val="num" w:pos="5040"/>
        </w:tabs>
        <w:ind w:left="5040" w:hanging="360"/>
      </w:pPr>
    </w:lvl>
    <w:lvl w:ilvl="7" w:tplc="C16013FE" w:tentative="1">
      <w:start w:val="1"/>
      <w:numFmt w:val="lowerLetter"/>
      <w:lvlText w:val="%8."/>
      <w:lvlJc w:val="left"/>
      <w:pPr>
        <w:tabs>
          <w:tab w:val="num" w:pos="5760"/>
        </w:tabs>
        <w:ind w:left="5760" w:hanging="360"/>
      </w:pPr>
    </w:lvl>
    <w:lvl w:ilvl="8" w:tplc="776E5244" w:tentative="1">
      <w:start w:val="1"/>
      <w:numFmt w:val="lowerRoman"/>
      <w:lvlText w:val="%9."/>
      <w:lvlJc w:val="right"/>
      <w:pPr>
        <w:tabs>
          <w:tab w:val="num" w:pos="6480"/>
        </w:tabs>
        <w:ind w:left="6480" w:hanging="180"/>
      </w:pPr>
    </w:lvl>
  </w:abstractNum>
  <w:abstractNum w:abstractNumId="17" w15:restartNumberingAfterBreak="0">
    <w:nsid w:val="743D2161"/>
    <w:multiLevelType w:val="hybridMultilevel"/>
    <w:tmpl w:val="B0868D9E"/>
    <w:lvl w:ilvl="0" w:tplc="14205A88">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828A6B48" w:tentative="1">
      <w:start w:val="1"/>
      <w:numFmt w:val="bullet"/>
      <w:lvlText w:val="o"/>
      <w:lvlJc w:val="left"/>
      <w:pPr>
        <w:tabs>
          <w:tab w:val="num" w:pos="2517"/>
        </w:tabs>
        <w:ind w:left="2517" w:hanging="360"/>
      </w:pPr>
      <w:rPr>
        <w:rFonts w:ascii="Courier New" w:hAnsi="Courier New" w:cs="Courier New" w:hint="default"/>
      </w:rPr>
    </w:lvl>
    <w:lvl w:ilvl="2" w:tplc="17F0A0FC" w:tentative="1">
      <w:start w:val="1"/>
      <w:numFmt w:val="bullet"/>
      <w:lvlText w:val=""/>
      <w:lvlJc w:val="left"/>
      <w:pPr>
        <w:tabs>
          <w:tab w:val="num" w:pos="3237"/>
        </w:tabs>
        <w:ind w:left="3237" w:hanging="360"/>
      </w:pPr>
      <w:rPr>
        <w:rFonts w:ascii="Wingdings" w:hAnsi="Wingdings" w:hint="default"/>
      </w:rPr>
    </w:lvl>
    <w:lvl w:ilvl="3" w:tplc="8028FC68" w:tentative="1">
      <w:start w:val="1"/>
      <w:numFmt w:val="bullet"/>
      <w:lvlText w:val=""/>
      <w:lvlJc w:val="left"/>
      <w:pPr>
        <w:tabs>
          <w:tab w:val="num" w:pos="3957"/>
        </w:tabs>
        <w:ind w:left="3957" w:hanging="360"/>
      </w:pPr>
      <w:rPr>
        <w:rFonts w:ascii="Symbol" w:hAnsi="Symbol" w:hint="default"/>
      </w:rPr>
    </w:lvl>
    <w:lvl w:ilvl="4" w:tplc="BE94A9D2" w:tentative="1">
      <w:start w:val="1"/>
      <w:numFmt w:val="bullet"/>
      <w:lvlText w:val="o"/>
      <w:lvlJc w:val="left"/>
      <w:pPr>
        <w:tabs>
          <w:tab w:val="num" w:pos="4677"/>
        </w:tabs>
        <w:ind w:left="4677" w:hanging="360"/>
      </w:pPr>
      <w:rPr>
        <w:rFonts w:ascii="Courier New" w:hAnsi="Courier New" w:cs="Courier New" w:hint="default"/>
      </w:rPr>
    </w:lvl>
    <w:lvl w:ilvl="5" w:tplc="53E29486" w:tentative="1">
      <w:start w:val="1"/>
      <w:numFmt w:val="bullet"/>
      <w:lvlText w:val=""/>
      <w:lvlJc w:val="left"/>
      <w:pPr>
        <w:tabs>
          <w:tab w:val="num" w:pos="5397"/>
        </w:tabs>
        <w:ind w:left="5397" w:hanging="360"/>
      </w:pPr>
      <w:rPr>
        <w:rFonts w:ascii="Wingdings" w:hAnsi="Wingdings" w:hint="default"/>
      </w:rPr>
    </w:lvl>
    <w:lvl w:ilvl="6" w:tplc="660431A2" w:tentative="1">
      <w:start w:val="1"/>
      <w:numFmt w:val="bullet"/>
      <w:lvlText w:val=""/>
      <w:lvlJc w:val="left"/>
      <w:pPr>
        <w:tabs>
          <w:tab w:val="num" w:pos="6117"/>
        </w:tabs>
        <w:ind w:left="6117" w:hanging="360"/>
      </w:pPr>
      <w:rPr>
        <w:rFonts w:ascii="Symbol" w:hAnsi="Symbol" w:hint="default"/>
      </w:rPr>
    </w:lvl>
    <w:lvl w:ilvl="7" w:tplc="7A7EABCA" w:tentative="1">
      <w:start w:val="1"/>
      <w:numFmt w:val="bullet"/>
      <w:lvlText w:val="o"/>
      <w:lvlJc w:val="left"/>
      <w:pPr>
        <w:tabs>
          <w:tab w:val="num" w:pos="6837"/>
        </w:tabs>
        <w:ind w:left="6837" w:hanging="360"/>
      </w:pPr>
      <w:rPr>
        <w:rFonts w:ascii="Courier New" w:hAnsi="Courier New" w:cs="Courier New" w:hint="default"/>
      </w:rPr>
    </w:lvl>
    <w:lvl w:ilvl="8" w:tplc="18C48AA4" w:tentative="1">
      <w:start w:val="1"/>
      <w:numFmt w:val="bullet"/>
      <w:lvlText w:val=""/>
      <w:lvlJc w:val="left"/>
      <w:pPr>
        <w:tabs>
          <w:tab w:val="num" w:pos="7557"/>
        </w:tabs>
        <w:ind w:left="7557" w:hanging="360"/>
      </w:pPr>
      <w:rPr>
        <w:rFonts w:ascii="Wingdings" w:hAnsi="Wingdings" w:hint="default"/>
      </w:rPr>
    </w:lvl>
  </w:abstractNum>
  <w:abstractNum w:abstractNumId="18" w15:restartNumberingAfterBreak="0">
    <w:nsid w:val="7C866FC0"/>
    <w:multiLevelType w:val="hybridMultilevel"/>
    <w:tmpl w:val="57EA2900"/>
    <w:lvl w:ilvl="0" w:tplc="D982DEC2">
      <w:start w:val="1"/>
      <w:numFmt w:val="decimal"/>
      <w:pStyle w:val="ATSNumber2"/>
      <w:lvlText w:val="%1."/>
      <w:lvlJc w:val="left"/>
      <w:pPr>
        <w:tabs>
          <w:tab w:val="num" w:pos="720"/>
        </w:tabs>
        <w:ind w:left="720" w:hanging="360"/>
      </w:pPr>
      <w:rPr>
        <w:rFonts w:hint="default"/>
      </w:rPr>
    </w:lvl>
    <w:lvl w:ilvl="1" w:tplc="6D6428FA" w:tentative="1">
      <w:start w:val="1"/>
      <w:numFmt w:val="lowerLetter"/>
      <w:lvlText w:val="%2."/>
      <w:lvlJc w:val="left"/>
      <w:pPr>
        <w:tabs>
          <w:tab w:val="num" w:pos="1440"/>
        </w:tabs>
        <w:ind w:left="1440" w:hanging="360"/>
      </w:pPr>
    </w:lvl>
    <w:lvl w:ilvl="2" w:tplc="6700C132" w:tentative="1">
      <w:start w:val="1"/>
      <w:numFmt w:val="lowerRoman"/>
      <w:lvlText w:val="%3."/>
      <w:lvlJc w:val="right"/>
      <w:pPr>
        <w:tabs>
          <w:tab w:val="num" w:pos="2160"/>
        </w:tabs>
        <w:ind w:left="2160" w:hanging="180"/>
      </w:pPr>
    </w:lvl>
    <w:lvl w:ilvl="3" w:tplc="153AAA54" w:tentative="1">
      <w:start w:val="1"/>
      <w:numFmt w:val="decimal"/>
      <w:lvlText w:val="%4."/>
      <w:lvlJc w:val="left"/>
      <w:pPr>
        <w:tabs>
          <w:tab w:val="num" w:pos="2880"/>
        </w:tabs>
        <w:ind w:left="2880" w:hanging="360"/>
      </w:pPr>
    </w:lvl>
    <w:lvl w:ilvl="4" w:tplc="CAEC789C" w:tentative="1">
      <w:start w:val="1"/>
      <w:numFmt w:val="lowerLetter"/>
      <w:lvlText w:val="%5."/>
      <w:lvlJc w:val="left"/>
      <w:pPr>
        <w:tabs>
          <w:tab w:val="num" w:pos="3600"/>
        </w:tabs>
        <w:ind w:left="3600" w:hanging="360"/>
      </w:pPr>
    </w:lvl>
    <w:lvl w:ilvl="5" w:tplc="6F1286E2" w:tentative="1">
      <w:start w:val="1"/>
      <w:numFmt w:val="lowerRoman"/>
      <w:lvlText w:val="%6."/>
      <w:lvlJc w:val="right"/>
      <w:pPr>
        <w:tabs>
          <w:tab w:val="num" w:pos="4320"/>
        </w:tabs>
        <w:ind w:left="4320" w:hanging="180"/>
      </w:pPr>
    </w:lvl>
    <w:lvl w:ilvl="6" w:tplc="03B44C84" w:tentative="1">
      <w:start w:val="1"/>
      <w:numFmt w:val="decimal"/>
      <w:lvlText w:val="%7."/>
      <w:lvlJc w:val="left"/>
      <w:pPr>
        <w:tabs>
          <w:tab w:val="num" w:pos="5040"/>
        </w:tabs>
        <w:ind w:left="5040" w:hanging="360"/>
      </w:pPr>
    </w:lvl>
    <w:lvl w:ilvl="7" w:tplc="B57CD91E" w:tentative="1">
      <w:start w:val="1"/>
      <w:numFmt w:val="lowerLetter"/>
      <w:lvlText w:val="%8."/>
      <w:lvlJc w:val="left"/>
      <w:pPr>
        <w:tabs>
          <w:tab w:val="num" w:pos="5760"/>
        </w:tabs>
        <w:ind w:left="5760" w:hanging="360"/>
      </w:pPr>
    </w:lvl>
    <w:lvl w:ilvl="8" w:tplc="F39A1F76" w:tentative="1">
      <w:start w:val="1"/>
      <w:numFmt w:val="lowerRoman"/>
      <w:lvlText w:val="%9."/>
      <w:lvlJc w:val="right"/>
      <w:pPr>
        <w:tabs>
          <w:tab w:val="num" w:pos="6480"/>
        </w:tabs>
        <w:ind w:left="6480" w:hanging="180"/>
      </w:pPr>
    </w:lvl>
  </w:abstractNum>
  <w:num w:numId="1" w16cid:durableId="1546873597">
    <w:abstractNumId w:val="9"/>
  </w:num>
  <w:num w:numId="2" w16cid:durableId="1176268582">
    <w:abstractNumId w:val="7"/>
  </w:num>
  <w:num w:numId="3" w16cid:durableId="2136436603">
    <w:abstractNumId w:val="6"/>
  </w:num>
  <w:num w:numId="4" w16cid:durableId="1577015530">
    <w:abstractNumId w:val="5"/>
  </w:num>
  <w:num w:numId="5" w16cid:durableId="2091731709">
    <w:abstractNumId w:val="4"/>
  </w:num>
  <w:num w:numId="6" w16cid:durableId="1086271565">
    <w:abstractNumId w:val="8"/>
  </w:num>
  <w:num w:numId="7" w16cid:durableId="1768498100">
    <w:abstractNumId w:val="3"/>
  </w:num>
  <w:num w:numId="8" w16cid:durableId="1067653931">
    <w:abstractNumId w:val="2"/>
  </w:num>
  <w:num w:numId="9" w16cid:durableId="1598252547">
    <w:abstractNumId w:val="1"/>
  </w:num>
  <w:num w:numId="10" w16cid:durableId="307442200">
    <w:abstractNumId w:val="0"/>
  </w:num>
  <w:num w:numId="11" w16cid:durableId="1696273564">
    <w:abstractNumId w:val="11"/>
  </w:num>
  <w:num w:numId="12" w16cid:durableId="1287472711">
    <w:abstractNumId w:val="17"/>
  </w:num>
  <w:num w:numId="13" w16cid:durableId="1957442764">
    <w:abstractNumId w:val="16"/>
  </w:num>
  <w:num w:numId="14" w16cid:durableId="1266574859">
    <w:abstractNumId w:val="13"/>
  </w:num>
  <w:num w:numId="15" w16cid:durableId="888346920">
    <w:abstractNumId w:val="14"/>
  </w:num>
  <w:num w:numId="16" w16cid:durableId="1045300537">
    <w:abstractNumId w:val="10"/>
  </w:num>
  <w:num w:numId="17" w16cid:durableId="1110514529">
    <w:abstractNumId w:val="11"/>
  </w:num>
  <w:num w:numId="18" w16cid:durableId="339282560">
    <w:abstractNumId w:val="17"/>
  </w:num>
  <w:num w:numId="19" w16cid:durableId="353924027">
    <w:abstractNumId w:val="16"/>
  </w:num>
  <w:num w:numId="20" w16cid:durableId="1863057699">
    <w:abstractNumId w:val="18"/>
  </w:num>
  <w:num w:numId="21" w16cid:durableId="2012752861">
    <w:abstractNumId w:val="12"/>
  </w:num>
  <w:num w:numId="22" w16cid:durableId="43298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89F"/>
    <w:rsid w:val="001D58F2"/>
    <w:rsid w:val="00DA089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B1DE46"/>
  <w15:chartTrackingRefBased/>
  <w15:docId w15:val="{A88B1834-4A39-4FDB-ACA2-E8C569523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link w:val="ATSHeading2Char"/>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uiPriority w:val="39"/>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qFormat/>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Heading2Char">
    <w:name w:val="ATS Heading 2 Char"/>
    <w:link w:val="ATSHeading2"/>
    <w:locked/>
    <w:rsid w:val="001D58F2"/>
    <w:rPr>
      <w:rFonts w:ascii="Arial" w:hAnsi="Arial"/>
      <w:b/>
      <w:i/>
      <w:sz w:val="24"/>
      <w:szCs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1336</Words>
  <Characters>7107</Characters>
  <Application>Microsoft Office Word</Application>
  <DocSecurity>0</DocSecurity>
  <Lines>59</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8427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3</cp:revision>
  <cp:lastPrinted>2008-01-22T18:20:00Z</cp:lastPrinted>
  <dcterms:created xsi:type="dcterms:W3CDTF">2022-10-28T13:16:00Z</dcterms:created>
  <dcterms:modified xsi:type="dcterms:W3CDTF">2023-04-18T12:45:00Z</dcterms:modified>
</cp:coreProperties>
</file>