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D0BEF" w14:textId="77777777" w:rsidR="00C26F2D" w:rsidRPr="00BF077B" w:rsidRDefault="0063393F" w:rsidP="00BF077B">
      <w:pPr>
        <w:pStyle w:val="ATSNormal"/>
        <w:rPr>
          <w:rStyle w:val="Ttulodellibro"/>
        </w:rPr>
      </w:pPr>
    </w:p>
    <w:p w14:paraId="550F9150" w14:textId="77777777" w:rsidR="002F0A13" w:rsidRDefault="0063393F" w:rsidP="004B4A60">
      <w:pPr>
        <w:rPr>
          <w:b/>
          <w:u w:val="single"/>
          <w:lang w:val="es-ES_tradnl"/>
        </w:rPr>
      </w:pPr>
    </w:p>
    <w:p w14:paraId="51467A76" w14:textId="77777777" w:rsidR="002F0A13" w:rsidRDefault="0063393F" w:rsidP="004B4A60">
      <w:pPr>
        <w:rPr>
          <w:b/>
          <w:u w:val="single"/>
          <w:lang w:val="es-ES_tradnl"/>
        </w:rPr>
      </w:pPr>
    </w:p>
    <w:p w14:paraId="17D4D6E3" w14:textId="77777777" w:rsidR="002F0A13" w:rsidRDefault="0063393F" w:rsidP="004B4A60">
      <w:pPr>
        <w:rPr>
          <w:b/>
          <w:u w:val="single"/>
          <w:lang w:val="es-ES_tradnl"/>
        </w:rPr>
      </w:pPr>
    </w:p>
    <w:p w14:paraId="5B448A05" w14:textId="77777777" w:rsidR="002F0A13" w:rsidRDefault="0063393F" w:rsidP="004B4A60">
      <w:pPr>
        <w:rPr>
          <w:b/>
          <w:u w:val="single"/>
          <w:lang w:val="es-ES_tradnl"/>
        </w:rPr>
      </w:pPr>
    </w:p>
    <w:p w14:paraId="6F6FCD90" w14:textId="77777777" w:rsidR="00C26F2D" w:rsidRDefault="0063393F" w:rsidP="004B4A60">
      <w:pPr>
        <w:rPr>
          <w:b/>
          <w:u w:val="single"/>
          <w:lang w:val="es-ES_tradnl"/>
        </w:rPr>
      </w:pPr>
    </w:p>
    <w:p w14:paraId="2F2DEECC" w14:textId="77777777" w:rsidR="004B4A60" w:rsidRPr="0057246E" w:rsidRDefault="00FE3B53" w:rsidP="001B789F">
      <w:pPr>
        <w:pStyle w:val="ATSTitle"/>
      </w:pPr>
      <w:bookmarkStart w:id="0" w:name="name"/>
      <w:r>
        <w:t>Reaffirmation of Commitment to Environmental Protocol Article 7</w:t>
      </w:r>
      <w:bookmarkEnd w:id="0"/>
    </w:p>
    <w:p w14:paraId="102EC7BA" w14:textId="77777777" w:rsidR="004B4A60" w:rsidRPr="0057246E" w:rsidRDefault="0063393F" w:rsidP="00F75424">
      <w:pPr>
        <w:jc w:val="center"/>
      </w:pPr>
    </w:p>
    <w:p w14:paraId="6DB0E636" w14:textId="77777777" w:rsidR="004B4A60" w:rsidRPr="002F0A13" w:rsidRDefault="0063393F" w:rsidP="002F0A13"/>
    <w:p w14:paraId="367C95F0" w14:textId="77777777" w:rsidR="004B4A60" w:rsidRDefault="0063393F" w:rsidP="00F75424">
      <w:pPr>
        <w:jc w:val="center"/>
      </w:pPr>
      <w:bookmarkStart w:id="1" w:name="memo"/>
      <w:bookmarkEnd w:id="1"/>
    </w:p>
    <w:p w14:paraId="6490D673" w14:textId="77777777" w:rsidR="0097629D" w:rsidRDefault="0063393F" w:rsidP="00F75424">
      <w:pPr>
        <w:jc w:val="center"/>
      </w:pPr>
    </w:p>
    <w:p w14:paraId="237FF7CF" w14:textId="77777777" w:rsidR="0097629D" w:rsidRDefault="0063393F" w:rsidP="00F75424">
      <w:pPr>
        <w:jc w:val="center"/>
      </w:pPr>
    </w:p>
    <w:p w14:paraId="7F52879A" w14:textId="77777777" w:rsidR="0097629D" w:rsidRDefault="0063393F" w:rsidP="00F75424">
      <w:pPr>
        <w:jc w:val="center"/>
      </w:pPr>
    </w:p>
    <w:p w14:paraId="1C29231F" w14:textId="77777777" w:rsidR="0097629D" w:rsidRPr="00C26F2D" w:rsidRDefault="0063393F" w:rsidP="00F75424">
      <w:pPr>
        <w:jc w:val="center"/>
      </w:pPr>
    </w:p>
    <w:p w14:paraId="71351F9F" w14:textId="77777777" w:rsidR="004B4A60" w:rsidRPr="0057246E" w:rsidRDefault="0063393F" w:rsidP="004B4A60"/>
    <w:p w14:paraId="1E0AFBEB" w14:textId="77777777" w:rsidR="00C26F2D" w:rsidRDefault="0063393F"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1D1BC550" w14:textId="77777777" w:rsidR="00FE3B53" w:rsidRPr="00DE77E5" w:rsidRDefault="00FE3B53" w:rsidP="00FE3B53">
      <w:pPr>
        <w:pStyle w:val="ATSHeading1"/>
        <w:spacing w:before="0" w:after="0"/>
      </w:pPr>
      <w:r>
        <w:lastRenderedPageBreak/>
        <w:t xml:space="preserve">Reaffirmation of Commitment to </w:t>
      </w:r>
    </w:p>
    <w:p w14:paraId="4D6D5F36" w14:textId="77777777" w:rsidR="00FE3B53" w:rsidRPr="00DE77E5" w:rsidRDefault="00FE3B53" w:rsidP="00FE3B53">
      <w:pPr>
        <w:pStyle w:val="ATSHeading1"/>
        <w:spacing w:before="0" w:after="0"/>
      </w:pPr>
      <w:r>
        <w:t>Environmental Protocol Article 7</w:t>
      </w:r>
    </w:p>
    <w:p w14:paraId="77EA6997" w14:textId="77777777" w:rsidR="00FE3B53" w:rsidRPr="00DE77E5" w:rsidRDefault="00FE3B53" w:rsidP="00FE3B53">
      <w:pPr>
        <w:pStyle w:val="ATSHeading2"/>
      </w:pPr>
      <w:r>
        <w:t>Summary</w:t>
      </w:r>
    </w:p>
    <w:p w14:paraId="76E1B0ED" w14:textId="77777777" w:rsidR="00FE3B53" w:rsidRDefault="00FE3B53" w:rsidP="00FE3B53">
      <w:pPr>
        <w:pStyle w:val="ATSNormal"/>
        <w:spacing w:before="0" w:after="0"/>
      </w:pPr>
      <w:r>
        <w:t xml:space="preserve">In </w:t>
      </w:r>
      <w:hyperlink r:id="rId14">
        <w:r w:rsidRPr="2CBDA3A6">
          <w:rPr>
            <w:rStyle w:val="Hipervnculo"/>
          </w:rPr>
          <w:t>WP 38 (2016)</w:t>
        </w:r>
      </w:hyperlink>
      <w:r>
        <w:t>, Consultative Parties used the occasion of the 25</w:t>
      </w:r>
      <w:r w:rsidRPr="00F23359">
        <w:rPr>
          <w:vertAlign w:val="superscript"/>
        </w:rPr>
        <w:t>th</w:t>
      </w:r>
      <w:r>
        <w:t xml:space="preserve"> anniversary of the signing of the Environmental Protocol to the Antarctic Treaty to acknowledge the benefit of Protocol Article 7, reaffirm their commitment to Article 7, and declare their firm commitment to retain and continue to implement Article 7.  This resulted in </w:t>
      </w:r>
      <w:hyperlink r:id="rId15">
        <w:r w:rsidRPr="2CBDA3A6">
          <w:rPr>
            <w:rStyle w:val="Hipervnculo"/>
          </w:rPr>
          <w:t>Resolution 6 (2016)</w:t>
        </w:r>
      </w:hyperlink>
      <w:r>
        <w:t xml:space="preserve">.  As WP 38 (2016) noted, the mining prohibition under Article 7 remains in force “unless there is in force a binding legal regime on Antarctic mineral resource activities that includes an agreed means for determining whether, and, if so, under which conditions, any such activities would be acceptable.”  </w:t>
      </w:r>
    </w:p>
    <w:p w14:paraId="4B4D63AA" w14:textId="77777777" w:rsidR="00FE3B53" w:rsidRDefault="00FE3B53" w:rsidP="00FE3B53">
      <w:pPr>
        <w:pStyle w:val="ATSNormal"/>
        <w:spacing w:before="0" w:after="0"/>
      </w:pPr>
      <w:r>
        <w:t xml:space="preserve"> </w:t>
      </w:r>
    </w:p>
    <w:p w14:paraId="72F55C6D" w14:textId="77777777" w:rsidR="00FE3B53" w:rsidRDefault="00FE3B53" w:rsidP="00FE3B53">
      <w:pPr>
        <w:pStyle w:val="ATSNormal"/>
        <w:spacing w:before="0" w:after="0"/>
      </w:pPr>
      <w:r>
        <w:t xml:space="preserve">While WP 38 (2016) demonstrated the strong support for retaining the mining prohibition, it was unable to dispel the erroneous belief that the Protocol will expire in 2048 or that action is necessary to maintain Article 7.  Since the introduction of WP38 (2016), the ATCM has gone on record multiple times reaffirming their commitment to Article 7, notably the </w:t>
      </w:r>
      <w:hyperlink r:id="rId16">
        <w:r w:rsidRPr="2CBDA3A6">
          <w:rPr>
            <w:rStyle w:val="Hipervnculo"/>
          </w:rPr>
          <w:t>Santiago Declaration (2016)</w:t>
        </w:r>
      </w:hyperlink>
      <w:r>
        <w:t xml:space="preserve">, </w:t>
      </w:r>
      <w:hyperlink r:id="rId17">
        <w:r w:rsidRPr="2CBDA3A6">
          <w:rPr>
            <w:rStyle w:val="Hipervnculo"/>
          </w:rPr>
          <w:t>Prague Declaration (2019)</w:t>
        </w:r>
      </w:hyperlink>
      <w:r>
        <w:t xml:space="preserve">, and </w:t>
      </w:r>
      <w:hyperlink r:id="rId18">
        <w:r w:rsidRPr="2CBDA3A6">
          <w:rPr>
            <w:rStyle w:val="Hipervnculo"/>
          </w:rPr>
          <w:t>Paris Declaration (2021)</w:t>
        </w:r>
      </w:hyperlink>
      <w:r>
        <w:t xml:space="preserve">.  Additionally, numerous Antarctic Treaty Consultative Parties joined the </w:t>
      </w:r>
      <w:hyperlink r:id="rId19">
        <w:r w:rsidRPr="2CBDA3A6">
          <w:rPr>
            <w:rStyle w:val="Hipervnculo"/>
          </w:rPr>
          <w:t>Madrid Declaration (2021)</w:t>
        </w:r>
      </w:hyperlink>
      <w:r>
        <w:t xml:space="preserve">.  </w:t>
      </w:r>
    </w:p>
    <w:p w14:paraId="49E7C279" w14:textId="77777777" w:rsidR="00FE3B53" w:rsidRDefault="00FE3B53" w:rsidP="00FE3B53">
      <w:pPr>
        <w:pStyle w:val="ATSNormal"/>
        <w:spacing w:before="0" w:after="0"/>
      </w:pPr>
      <w:r>
        <w:t xml:space="preserve"> </w:t>
      </w:r>
    </w:p>
    <w:p w14:paraId="5B1C85FB" w14:textId="77777777" w:rsidR="00FE3B53" w:rsidRDefault="00FE3B53" w:rsidP="00FE3B53">
      <w:pPr>
        <w:pStyle w:val="ATSNormal"/>
        <w:spacing w:before="0" w:after="0"/>
      </w:pPr>
      <w:r>
        <w:t>In recognition of the 25</w:t>
      </w:r>
      <w:r w:rsidRPr="00F23359">
        <w:rPr>
          <w:vertAlign w:val="superscript"/>
        </w:rPr>
        <w:t>th</w:t>
      </w:r>
      <w:r>
        <w:t xml:space="preserve"> anniversary of the entry into force of the Environmental Protocol, the United States and cosponsors propose that a resolution be adopted similar to the draft provided in the attachment to this paper to combat misinformation and reaffirm our unchanging dedication to preserving Antarctica for peace and science and to protecting the Antarctic environment and dependent and associated ecosystems by reaffirming our collective commitment to Article 7.  </w:t>
      </w:r>
    </w:p>
    <w:p w14:paraId="704CC8D8" w14:textId="77777777" w:rsidR="00FE3B53" w:rsidRDefault="00FE3B53" w:rsidP="00FE3B53">
      <w:pPr>
        <w:pStyle w:val="ATSNormal"/>
        <w:spacing w:before="0" w:after="0"/>
      </w:pPr>
    </w:p>
    <w:p w14:paraId="4CC1FE6E" w14:textId="77777777" w:rsidR="00FE3B53" w:rsidRDefault="00FE3B53" w:rsidP="00FE3B53">
      <w:pPr>
        <w:pStyle w:val="ATSNormal"/>
      </w:pPr>
      <w:bookmarkStart w:id="8" w:name="_Toc240949337"/>
      <w:bookmarkStart w:id="9" w:name="_Toc95477549"/>
    </w:p>
    <w:p w14:paraId="494A9475" w14:textId="77777777" w:rsidR="00FE3B53" w:rsidRDefault="00FE3B53" w:rsidP="00FE3B53">
      <w:pPr>
        <w:jc w:val="center"/>
        <w:rPr>
          <w:b/>
          <w:bCs/>
        </w:rPr>
      </w:pPr>
    </w:p>
    <w:p w14:paraId="4D2E25D1" w14:textId="77777777" w:rsidR="00FE3B53" w:rsidRDefault="00FE3B53" w:rsidP="00FE3B53">
      <w:pPr>
        <w:jc w:val="center"/>
        <w:rPr>
          <w:b/>
          <w:bCs/>
        </w:rPr>
      </w:pPr>
      <w:r w:rsidRPr="2CBDA3A6">
        <w:rPr>
          <w:b/>
          <w:bCs/>
        </w:rPr>
        <w:br w:type="page"/>
      </w:r>
    </w:p>
    <w:p w14:paraId="7E6DB08B" w14:textId="77777777" w:rsidR="00FE3B53" w:rsidRPr="00FE3B53" w:rsidRDefault="00FE3B53" w:rsidP="00FE3B53">
      <w:pPr>
        <w:pStyle w:val="ATSHeading1"/>
      </w:pPr>
      <w:bookmarkStart w:id="10" w:name="_Toc157852877"/>
      <w:bookmarkStart w:id="11" w:name="_Toc156642461"/>
      <w:bookmarkStart w:id="12" w:name="_Toc149537710"/>
      <w:bookmarkStart w:id="13" w:name="_Toc149537628"/>
      <w:bookmarkStart w:id="14" w:name="_Toc108923644"/>
      <w:bookmarkEnd w:id="8"/>
      <w:bookmarkEnd w:id="9"/>
      <w:r w:rsidRPr="00FE3B53">
        <w:lastRenderedPageBreak/>
        <w:t>Draft Resolution X (2023)</w:t>
      </w:r>
      <w:bookmarkStart w:id="15" w:name="_Toc107821604"/>
      <w:bookmarkEnd w:id="10"/>
      <w:bookmarkEnd w:id="11"/>
      <w:bookmarkEnd w:id="12"/>
      <w:bookmarkEnd w:id="13"/>
      <w:bookmarkEnd w:id="14"/>
    </w:p>
    <w:p w14:paraId="511ABABB" w14:textId="77777777" w:rsidR="00FE3B53" w:rsidRPr="00FE3B53" w:rsidRDefault="00FE3B53" w:rsidP="00FE3B53">
      <w:pPr>
        <w:pStyle w:val="ATSHeading1"/>
      </w:pPr>
      <w:bookmarkStart w:id="16" w:name="_Toc157852878"/>
      <w:bookmarkStart w:id="17" w:name="_Toc156642462"/>
      <w:bookmarkStart w:id="18" w:name="_Toc149537711"/>
      <w:bookmarkStart w:id="19" w:name="_Toc149537629"/>
      <w:bookmarkEnd w:id="15"/>
      <w:r w:rsidRPr="00FE3B53">
        <w:t>Reaffirming ongoing commitment to the prohibition on Antarctic mineral resource activities, other than for scientific research</w:t>
      </w:r>
      <w:bookmarkEnd w:id="16"/>
      <w:bookmarkEnd w:id="17"/>
      <w:bookmarkEnd w:id="18"/>
      <w:bookmarkEnd w:id="19"/>
    </w:p>
    <w:p w14:paraId="097A8A0E" w14:textId="77777777" w:rsidR="00FE3B53" w:rsidRPr="00A24780" w:rsidRDefault="00FE3B53" w:rsidP="00FE3B53">
      <w:pPr>
        <w:pStyle w:val="ASNormal"/>
        <w:rPr>
          <w:b/>
          <w:bCs/>
        </w:rPr>
      </w:pPr>
      <w:r w:rsidRPr="2CBDA3A6">
        <w:rPr>
          <w:b/>
          <w:bCs/>
        </w:rPr>
        <w:t>The Representatives,</w:t>
      </w:r>
    </w:p>
    <w:p w14:paraId="3D0EE0B3" w14:textId="77777777" w:rsidR="00FE3B53" w:rsidRDefault="00FE3B53" w:rsidP="00FE3B53">
      <w:pPr>
        <w:pStyle w:val="ASNormal"/>
      </w:pPr>
      <w:r w:rsidRPr="2CBDA3A6">
        <w:rPr>
          <w:i/>
          <w:iCs/>
        </w:rPr>
        <w:t>Recognizing</w:t>
      </w:r>
      <w:r>
        <w:t xml:space="preserve"> that the Protocol on Environmental Protection to the Antarctic Treaty (“the Protocol”), which has been in force for more than two decades, is an essential element of current efforts to protect the Antarctic environment; </w:t>
      </w:r>
    </w:p>
    <w:p w14:paraId="7ECF13E8" w14:textId="77777777" w:rsidR="00FE3B53" w:rsidRDefault="00FE3B53" w:rsidP="00FE3B53">
      <w:pPr>
        <w:pStyle w:val="ASNormal"/>
      </w:pPr>
      <w:r w:rsidRPr="2CBDA3A6">
        <w:rPr>
          <w:i/>
          <w:iCs/>
        </w:rPr>
        <w:t>Noting</w:t>
      </w:r>
      <w:r>
        <w:t xml:space="preserve"> that Article 7 of the Protocol prohibits any activity relating to mineral resources, other than scientific research, in the Antarctic Treaty area; </w:t>
      </w:r>
    </w:p>
    <w:p w14:paraId="693BA629" w14:textId="77777777" w:rsidR="00FE3B53" w:rsidRDefault="00FE3B53" w:rsidP="00FE3B53">
      <w:pPr>
        <w:pStyle w:val="ASNormal"/>
      </w:pPr>
      <w:r w:rsidRPr="2CBDA3A6">
        <w:rPr>
          <w:i/>
          <w:iCs/>
        </w:rPr>
        <w:t>Taking</w:t>
      </w:r>
      <w:r>
        <w:t xml:space="preserve"> into account that, outside the Antarctic Treaty system, many hold the mistaken belief that the Protocol expires in 2048; </w:t>
      </w:r>
    </w:p>
    <w:p w14:paraId="30626EE7" w14:textId="77777777" w:rsidR="00FE3B53" w:rsidRDefault="00FE3B53" w:rsidP="00FE3B53">
      <w:pPr>
        <w:pStyle w:val="ASNormal"/>
      </w:pPr>
      <w:r w:rsidRPr="2CBDA3A6">
        <w:rPr>
          <w:i/>
          <w:iCs/>
        </w:rPr>
        <w:t>Recalling</w:t>
      </w:r>
      <w:r>
        <w:t xml:space="preserve"> that the Protocol contains no expiration date and that Article 25 relates solely to the possibility of a review conference at the request of any Antarctic Treaty Consultative Party after the Protocol has been in force for 50 years; </w:t>
      </w:r>
    </w:p>
    <w:p w14:paraId="4B455EFF" w14:textId="77777777" w:rsidR="00FE3B53" w:rsidRDefault="00FE3B53" w:rsidP="00FE3B53">
      <w:pPr>
        <w:pStyle w:val="ASNormal"/>
      </w:pPr>
      <w:r w:rsidRPr="2CBDA3A6">
        <w:rPr>
          <w:b/>
          <w:bCs/>
        </w:rPr>
        <w:t>Recommend</w:t>
      </w:r>
      <w:r>
        <w:t xml:space="preserve"> that their Governments publicly: </w:t>
      </w:r>
    </w:p>
    <w:p w14:paraId="3F5A36A0" w14:textId="77777777" w:rsidR="00FE3B53" w:rsidRDefault="00FE3B53" w:rsidP="00FE3B53">
      <w:pPr>
        <w:pStyle w:val="ASNormal"/>
      </w:pPr>
      <w:r>
        <w:t xml:space="preserve">1. acknowledge the benefits to the Antarctic environment and dependent and associated ecosystems that have resulted from the prohibition on activities relating to mineral resources, other than scientific research, under Article 7 of the Protocol; </w:t>
      </w:r>
    </w:p>
    <w:p w14:paraId="02EE77BD" w14:textId="77777777" w:rsidR="00FE3B53" w:rsidRDefault="00FE3B53" w:rsidP="00FE3B53">
      <w:pPr>
        <w:pStyle w:val="ASNormal"/>
      </w:pPr>
      <w:r>
        <w:t xml:space="preserve">2. reaffirm their commitment to Article 7 of the Protocol; and </w:t>
      </w:r>
    </w:p>
    <w:p w14:paraId="11743873" w14:textId="77777777" w:rsidR="00FE3B53" w:rsidRDefault="00FE3B53" w:rsidP="00FE3B53">
      <w:pPr>
        <w:pStyle w:val="ASNormal"/>
      </w:pPr>
      <w:r>
        <w:t xml:space="preserve">3. declare their firm commitment to continue to implement this prohibition as a matter of highest priority to achieve the comprehensive protection of the Antarctic environment and dependent and associated ecosystems. </w:t>
      </w:r>
    </w:p>
    <w:p w14:paraId="32A63C64" w14:textId="77777777" w:rsidR="00FE3B53" w:rsidRDefault="00FE3B53" w:rsidP="00FE3B53">
      <w:pPr>
        <w:pStyle w:val="ASNormal"/>
      </w:pPr>
    </w:p>
    <w:p w14:paraId="266F223E" w14:textId="77777777" w:rsidR="004B4A60" w:rsidRPr="00FE3B53" w:rsidRDefault="0063393F" w:rsidP="00952E9F">
      <w:pPr>
        <w:rPr>
          <w:lang w:val="en-US"/>
        </w:rPr>
      </w:pPr>
    </w:p>
    <w:sectPr w:rsidR="004B4A60" w:rsidRPr="00FE3B53" w:rsidSect="00073997">
      <w:headerReference w:type="default" r:id="rId20"/>
      <w:footerReference w:type="default" r:id="rId21"/>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846B" w14:textId="77777777" w:rsidR="00086B28" w:rsidRDefault="00FE3B53">
      <w:r>
        <w:separator/>
      </w:r>
    </w:p>
  </w:endnote>
  <w:endnote w:type="continuationSeparator" w:id="0">
    <w:p w14:paraId="4E62EA98" w14:textId="77777777" w:rsidR="00086B28" w:rsidRDefault="00FE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ABA1" w14:textId="77777777" w:rsidR="00FA0B9F" w:rsidRDefault="00FE3B53" w:rsidP="00CF5C82">
    <w:pPr>
      <w:framePr w:wrap="around" w:vAnchor="text" w:hAnchor="margin" w:xAlign="right" w:y="1"/>
    </w:pPr>
    <w:r>
      <w:fldChar w:fldCharType="begin"/>
    </w:r>
    <w:r>
      <w:instrText xml:space="preserve">PAGE  </w:instrText>
    </w:r>
    <w:r w:rsidR="0063393F">
      <w:fldChar w:fldCharType="separate"/>
    </w:r>
    <w:r>
      <w:fldChar w:fldCharType="end"/>
    </w:r>
  </w:p>
  <w:p w14:paraId="11242AB7" w14:textId="77777777" w:rsidR="00FA0B9F" w:rsidRDefault="0063393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B6A75" w14:textId="77777777" w:rsidR="00FA0B9F" w:rsidRDefault="00FE3B5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D100949" w14:textId="0C433168" w:rsidR="00FA0B9F" w:rsidRDefault="00FE3B53" w:rsidP="00FE3B53">
    <w:pPr>
      <w:ind w:right="360"/>
    </w:pPr>
    <w:r>
      <w:t>Attachment: Draft Resolution (included)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F418" w14:textId="77777777" w:rsidR="0063393F" w:rsidRDefault="0063393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337A" w14:textId="77777777" w:rsidR="00E311C9" w:rsidRDefault="00FE3B53" w:rsidP="00CF5C82">
    <w:pPr>
      <w:framePr w:wrap="around" w:vAnchor="text" w:hAnchor="margin" w:xAlign="right" w:y="1"/>
    </w:pPr>
    <w:r>
      <w:fldChar w:fldCharType="begin"/>
    </w:r>
    <w:r>
      <w:instrText xml:space="preserve">PAGE  </w:instrText>
    </w:r>
    <w:r>
      <w:fldChar w:fldCharType="separate"/>
    </w:r>
    <w:r>
      <w:t>3</w:t>
    </w:r>
    <w:r>
      <w:fldChar w:fldCharType="end"/>
    </w:r>
  </w:p>
  <w:p w14:paraId="7112924E" w14:textId="77777777" w:rsidR="00E311C9" w:rsidRDefault="0063393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5D06" w14:textId="77777777" w:rsidR="00086B28" w:rsidRDefault="00FE3B53">
      <w:r>
        <w:separator/>
      </w:r>
    </w:p>
  </w:footnote>
  <w:footnote w:type="continuationSeparator" w:id="0">
    <w:p w14:paraId="4DC85B8C" w14:textId="77777777" w:rsidR="00086B28" w:rsidRDefault="00FE3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E06" w14:textId="77777777" w:rsidR="0063393F" w:rsidRDefault="0063393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8D11CF" w14:paraId="46D22D5C" w14:textId="77777777" w:rsidTr="002E12EC">
      <w:trPr>
        <w:trHeight w:val="344"/>
        <w:jc w:val="center"/>
      </w:trPr>
      <w:tc>
        <w:tcPr>
          <w:tcW w:w="5495" w:type="dxa"/>
        </w:tcPr>
        <w:p w14:paraId="6AA8AE3F" w14:textId="77777777" w:rsidR="00DB7C09" w:rsidRDefault="0063393F" w:rsidP="00F968D4"/>
      </w:tc>
      <w:tc>
        <w:tcPr>
          <w:tcW w:w="4253" w:type="dxa"/>
          <w:gridSpan w:val="2"/>
        </w:tcPr>
        <w:p w14:paraId="6431939B" w14:textId="77777777" w:rsidR="00DB7C09" w:rsidRPr="00BD47E4" w:rsidRDefault="00FE3B53" w:rsidP="002A07BC">
          <w:pPr>
            <w:jc w:val="right"/>
            <w:rPr>
              <w:b/>
              <w:sz w:val="32"/>
              <w:szCs w:val="32"/>
            </w:rPr>
          </w:pPr>
          <w:bookmarkStart w:id="2" w:name="type"/>
          <w:r w:rsidRPr="00BD47E4">
            <w:rPr>
              <w:b/>
              <w:sz w:val="32"/>
              <w:szCs w:val="32"/>
            </w:rPr>
            <w:t>WP</w:t>
          </w:r>
          <w:bookmarkEnd w:id="2"/>
        </w:p>
      </w:tc>
      <w:tc>
        <w:tcPr>
          <w:tcW w:w="1524" w:type="dxa"/>
          <w:gridSpan w:val="2"/>
        </w:tcPr>
        <w:p w14:paraId="5CF890A7" w14:textId="77777777" w:rsidR="00DB7C09" w:rsidRPr="00BD47E4" w:rsidRDefault="00FE3B53" w:rsidP="00DB7C09">
          <w:pPr>
            <w:rPr>
              <w:b/>
              <w:sz w:val="32"/>
              <w:szCs w:val="32"/>
            </w:rPr>
          </w:pPr>
          <w:bookmarkStart w:id="3" w:name="number"/>
          <w:r w:rsidRPr="00BD47E4">
            <w:rPr>
              <w:b/>
              <w:sz w:val="32"/>
              <w:szCs w:val="32"/>
            </w:rPr>
            <w:t>55</w:t>
          </w:r>
          <w:bookmarkEnd w:id="3"/>
        </w:p>
      </w:tc>
    </w:tr>
    <w:tr w:rsidR="008D11CF" w14:paraId="76CE959F" w14:textId="77777777" w:rsidTr="002E12EC">
      <w:trPr>
        <w:trHeight w:val="2165"/>
        <w:jc w:val="center"/>
      </w:trPr>
      <w:tc>
        <w:tcPr>
          <w:tcW w:w="5495" w:type="dxa"/>
        </w:tcPr>
        <w:p w14:paraId="08230255" w14:textId="77777777" w:rsidR="00490760" w:rsidRPr="00EE4D48" w:rsidRDefault="00FE3B53" w:rsidP="002A07BC">
          <w:pPr>
            <w:rPr>
              <w:b/>
              <w:sz w:val="28"/>
              <w:szCs w:val="28"/>
            </w:rPr>
          </w:pPr>
          <w:r>
            <w:rPr>
              <w:noProof/>
            </w:rPr>
            <w:drawing>
              <wp:inline distT="0" distB="0" distL="0" distR="0" wp14:anchorId="686B074F" wp14:editId="6D04459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10249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21D3D89" w14:textId="77777777" w:rsidR="00490760" w:rsidRPr="00FE5146" w:rsidRDefault="00FE3B53" w:rsidP="00490760">
          <w:pPr>
            <w:jc w:val="right"/>
            <w:rPr>
              <w:sz w:val="144"/>
              <w:szCs w:val="144"/>
            </w:rPr>
          </w:pPr>
          <w:r w:rsidRPr="00FE5146">
            <w:rPr>
              <w:sz w:val="144"/>
              <w:szCs w:val="144"/>
            </w:rPr>
            <w:t>ENG</w:t>
          </w:r>
        </w:p>
      </w:tc>
    </w:tr>
    <w:tr w:rsidR="008D11CF" w14:paraId="36DD3110" w14:textId="77777777" w:rsidTr="002E12EC">
      <w:trPr>
        <w:trHeight w:val="409"/>
        <w:jc w:val="center"/>
      </w:trPr>
      <w:tc>
        <w:tcPr>
          <w:tcW w:w="8500" w:type="dxa"/>
          <w:gridSpan w:val="2"/>
        </w:tcPr>
        <w:p w14:paraId="6E4EE155" w14:textId="77777777" w:rsidR="00BD47E4" w:rsidRDefault="00FE3B53" w:rsidP="002C30DA">
          <w:pPr>
            <w:jc w:val="right"/>
          </w:pPr>
          <w:r>
            <w:t>Agenda Item:</w:t>
          </w:r>
        </w:p>
      </w:tc>
      <w:tc>
        <w:tcPr>
          <w:tcW w:w="2382" w:type="dxa"/>
          <w:gridSpan w:val="2"/>
        </w:tcPr>
        <w:p w14:paraId="63275B5C" w14:textId="77777777" w:rsidR="00BD47E4" w:rsidRDefault="00FE3B53" w:rsidP="002C30DA">
          <w:pPr>
            <w:jc w:val="right"/>
          </w:pPr>
          <w:bookmarkStart w:id="4" w:name="agenda"/>
          <w:r>
            <w:t>ATCM 6d, ATCM 6e</w:t>
          </w:r>
          <w:bookmarkEnd w:id="4"/>
        </w:p>
      </w:tc>
      <w:tc>
        <w:tcPr>
          <w:tcW w:w="390" w:type="dxa"/>
        </w:tcPr>
        <w:p w14:paraId="77E8BE65" w14:textId="77777777" w:rsidR="00BD47E4" w:rsidRDefault="0063393F" w:rsidP="00387A65">
          <w:pPr>
            <w:jc w:val="right"/>
          </w:pPr>
        </w:p>
      </w:tc>
    </w:tr>
    <w:tr w:rsidR="008D11CF" w14:paraId="3FF287E0" w14:textId="77777777" w:rsidTr="002E12EC">
      <w:trPr>
        <w:trHeight w:val="397"/>
        <w:jc w:val="center"/>
      </w:trPr>
      <w:tc>
        <w:tcPr>
          <w:tcW w:w="8500" w:type="dxa"/>
          <w:gridSpan w:val="2"/>
        </w:tcPr>
        <w:p w14:paraId="5EAFFCC4" w14:textId="77777777" w:rsidR="00BD47E4" w:rsidRDefault="00FE3B53" w:rsidP="002C30DA">
          <w:pPr>
            <w:jc w:val="right"/>
          </w:pPr>
          <w:r>
            <w:t>Presented by:</w:t>
          </w:r>
        </w:p>
      </w:tc>
      <w:tc>
        <w:tcPr>
          <w:tcW w:w="2382" w:type="dxa"/>
          <w:gridSpan w:val="2"/>
        </w:tcPr>
        <w:p w14:paraId="152B8D6C" w14:textId="6E2A1BD2" w:rsidR="00FE3B53" w:rsidRDefault="00FE3B53" w:rsidP="002C30DA">
          <w:pPr>
            <w:jc w:val="right"/>
          </w:pPr>
          <w:bookmarkStart w:id="5" w:name="party"/>
          <w:r>
            <w:t>United States, Argentina, Australia, Belgium,</w:t>
          </w:r>
          <w:r w:rsidR="0063393F">
            <w:t xml:space="preserve"> Bulgaria,</w:t>
          </w:r>
          <w:r>
            <w:t xml:space="preserve"> Chile, </w:t>
          </w:r>
          <w:r w:rsidR="0063393F">
            <w:t xml:space="preserve">Czechia, </w:t>
          </w:r>
          <w:r>
            <w:t xml:space="preserve">Finland, France, Germany, India, Italy, Japan, Korea (ROK), Netherlands, </w:t>
          </w:r>
        </w:p>
        <w:p w14:paraId="2080CFC2" w14:textId="6870F0F6" w:rsidR="00BD47E4" w:rsidRDefault="00FE3B53" w:rsidP="002C30DA">
          <w:pPr>
            <w:jc w:val="right"/>
          </w:pPr>
          <w:r>
            <w:t>New Zealand, Norway,</w:t>
          </w:r>
          <w:r w:rsidR="0063393F">
            <w:t xml:space="preserve"> Peru,</w:t>
          </w:r>
          <w:r>
            <w:t xml:space="preserve"> Poland, Spain, Sweden, </w:t>
          </w:r>
          <w:r w:rsidR="0063393F">
            <w:t xml:space="preserve">Ukraine, </w:t>
          </w:r>
          <w:r>
            <w:t>United Kingdom, Uruguay</w:t>
          </w:r>
          <w:bookmarkEnd w:id="5"/>
        </w:p>
      </w:tc>
      <w:tc>
        <w:tcPr>
          <w:tcW w:w="390" w:type="dxa"/>
        </w:tcPr>
        <w:p w14:paraId="08AF162E" w14:textId="77777777" w:rsidR="00BD47E4" w:rsidRDefault="0063393F" w:rsidP="00387A65">
          <w:pPr>
            <w:jc w:val="right"/>
          </w:pPr>
        </w:p>
      </w:tc>
    </w:tr>
    <w:tr w:rsidR="008D11CF" w14:paraId="5BCD8C68" w14:textId="77777777" w:rsidTr="002E12EC">
      <w:trPr>
        <w:trHeight w:val="409"/>
        <w:jc w:val="center"/>
      </w:trPr>
      <w:tc>
        <w:tcPr>
          <w:tcW w:w="8500" w:type="dxa"/>
          <w:gridSpan w:val="2"/>
        </w:tcPr>
        <w:p w14:paraId="565379CF" w14:textId="77777777" w:rsidR="00BD47E4" w:rsidRDefault="00FE3B53" w:rsidP="002C30DA">
          <w:pPr>
            <w:jc w:val="right"/>
          </w:pPr>
          <w:r>
            <w:t>Original:</w:t>
          </w:r>
        </w:p>
      </w:tc>
      <w:tc>
        <w:tcPr>
          <w:tcW w:w="2382" w:type="dxa"/>
          <w:gridSpan w:val="2"/>
        </w:tcPr>
        <w:p w14:paraId="5B74E771" w14:textId="77777777" w:rsidR="00BD47E4" w:rsidRDefault="00FE3B53" w:rsidP="002C30DA">
          <w:pPr>
            <w:jc w:val="right"/>
          </w:pPr>
          <w:bookmarkStart w:id="6" w:name="language"/>
          <w:r>
            <w:t>English</w:t>
          </w:r>
          <w:bookmarkEnd w:id="6"/>
        </w:p>
      </w:tc>
      <w:tc>
        <w:tcPr>
          <w:tcW w:w="390" w:type="dxa"/>
        </w:tcPr>
        <w:p w14:paraId="2EDFD3D0" w14:textId="77777777" w:rsidR="00BD47E4" w:rsidRDefault="0063393F" w:rsidP="00387A65">
          <w:pPr>
            <w:jc w:val="right"/>
          </w:pPr>
        </w:p>
      </w:tc>
    </w:tr>
    <w:tr w:rsidR="008D11CF" w14:paraId="2DBA050B" w14:textId="77777777" w:rsidTr="002E12EC">
      <w:trPr>
        <w:trHeight w:val="409"/>
        <w:jc w:val="center"/>
      </w:trPr>
      <w:tc>
        <w:tcPr>
          <w:tcW w:w="8500" w:type="dxa"/>
          <w:gridSpan w:val="2"/>
        </w:tcPr>
        <w:p w14:paraId="7790544F" w14:textId="77777777" w:rsidR="0097629D" w:rsidRDefault="00FE3B53" w:rsidP="002C30DA">
          <w:pPr>
            <w:jc w:val="right"/>
          </w:pPr>
          <w:r>
            <w:t>Submitted:</w:t>
          </w:r>
        </w:p>
      </w:tc>
      <w:tc>
        <w:tcPr>
          <w:tcW w:w="2382" w:type="dxa"/>
          <w:gridSpan w:val="2"/>
        </w:tcPr>
        <w:p w14:paraId="76FF556E" w14:textId="77777777" w:rsidR="0097629D" w:rsidRDefault="00FE3B53" w:rsidP="0097629D">
          <w:pPr>
            <w:jc w:val="right"/>
          </w:pPr>
          <w:bookmarkStart w:id="7" w:name="date_submission"/>
          <w:r>
            <w:t>14 Apr 2023</w:t>
          </w:r>
          <w:bookmarkEnd w:id="7"/>
        </w:p>
      </w:tc>
      <w:tc>
        <w:tcPr>
          <w:tcW w:w="390" w:type="dxa"/>
        </w:tcPr>
        <w:p w14:paraId="3C7D4B2E" w14:textId="77777777" w:rsidR="0097629D" w:rsidRDefault="0063393F" w:rsidP="00387A65">
          <w:pPr>
            <w:jc w:val="right"/>
          </w:pPr>
        </w:p>
      </w:tc>
    </w:tr>
  </w:tbl>
  <w:p w14:paraId="54604EF6" w14:textId="77777777" w:rsidR="00AE5DD0" w:rsidRDefault="0063393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4CD8E" w14:textId="77777777" w:rsidR="0063393F" w:rsidRDefault="0063393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047BA" w14:paraId="61E1F6E6" w14:textId="77777777" w:rsidTr="2CBDA3A6">
      <w:trPr>
        <w:trHeight w:val="354"/>
        <w:jc w:val="center"/>
      </w:trPr>
      <w:tc>
        <w:tcPr>
          <w:tcW w:w="9694" w:type="dxa"/>
        </w:tcPr>
        <w:p w14:paraId="2E67A40B" w14:textId="77777777" w:rsidR="00AE5DD0" w:rsidRPr="00BD47E4" w:rsidRDefault="00FE3B53" w:rsidP="61534364">
          <w:pPr>
            <w:jc w:val="right"/>
            <w:rPr>
              <w:b/>
              <w:bCs/>
              <w:sz w:val="32"/>
              <w:szCs w:val="32"/>
            </w:rPr>
          </w:pPr>
          <w:r w:rsidRPr="2CBDA3A6">
            <w:rPr>
              <w:b/>
              <w:bCs/>
              <w:sz w:val="32"/>
              <w:szCs w:val="32"/>
            </w:rPr>
            <w:t>WP</w:t>
          </w:r>
        </w:p>
      </w:tc>
      <w:tc>
        <w:tcPr>
          <w:tcW w:w="1332" w:type="dxa"/>
        </w:tcPr>
        <w:p w14:paraId="590CFA0F" w14:textId="5085DA3C" w:rsidR="00AE5DD0" w:rsidRPr="00BD47E4" w:rsidRDefault="00FE3B53" w:rsidP="61534364">
          <w:pPr>
            <w:rPr>
              <w:b/>
              <w:bCs/>
              <w:sz w:val="32"/>
              <w:szCs w:val="32"/>
            </w:rPr>
          </w:pPr>
          <w:r>
            <w:rPr>
              <w:b/>
              <w:bCs/>
              <w:sz w:val="32"/>
              <w:szCs w:val="32"/>
            </w:rPr>
            <w:t>55</w:t>
          </w:r>
        </w:p>
      </w:tc>
    </w:tr>
  </w:tbl>
  <w:p w14:paraId="34C9D383" w14:textId="77777777" w:rsidR="00AE5DD0" w:rsidRDefault="006339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F86C4B8">
      <w:start w:val="1"/>
      <w:numFmt w:val="bullet"/>
      <w:pStyle w:val="ATSBullet1"/>
      <w:lvlText w:val=""/>
      <w:lvlJc w:val="left"/>
      <w:pPr>
        <w:tabs>
          <w:tab w:val="num" w:pos="360"/>
        </w:tabs>
        <w:ind w:left="360" w:hanging="360"/>
      </w:pPr>
      <w:rPr>
        <w:rFonts w:ascii="Symbol" w:hAnsi="Symbol" w:hint="default"/>
        <w:color w:val="auto"/>
      </w:rPr>
    </w:lvl>
    <w:lvl w:ilvl="1" w:tplc="737A94BC" w:tentative="1">
      <w:start w:val="1"/>
      <w:numFmt w:val="bullet"/>
      <w:lvlText w:val="o"/>
      <w:lvlJc w:val="left"/>
      <w:pPr>
        <w:tabs>
          <w:tab w:val="num" w:pos="1440"/>
        </w:tabs>
        <w:ind w:left="1440" w:hanging="360"/>
      </w:pPr>
      <w:rPr>
        <w:rFonts w:ascii="Courier New" w:hAnsi="Courier New" w:cs="Courier New" w:hint="default"/>
      </w:rPr>
    </w:lvl>
    <w:lvl w:ilvl="2" w:tplc="886ACBAA" w:tentative="1">
      <w:start w:val="1"/>
      <w:numFmt w:val="bullet"/>
      <w:lvlText w:val=""/>
      <w:lvlJc w:val="left"/>
      <w:pPr>
        <w:tabs>
          <w:tab w:val="num" w:pos="2160"/>
        </w:tabs>
        <w:ind w:left="2160" w:hanging="360"/>
      </w:pPr>
      <w:rPr>
        <w:rFonts w:ascii="Wingdings" w:hAnsi="Wingdings" w:hint="default"/>
      </w:rPr>
    </w:lvl>
    <w:lvl w:ilvl="3" w:tplc="E89C6D9C" w:tentative="1">
      <w:start w:val="1"/>
      <w:numFmt w:val="bullet"/>
      <w:lvlText w:val=""/>
      <w:lvlJc w:val="left"/>
      <w:pPr>
        <w:tabs>
          <w:tab w:val="num" w:pos="2880"/>
        </w:tabs>
        <w:ind w:left="2880" w:hanging="360"/>
      </w:pPr>
      <w:rPr>
        <w:rFonts w:ascii="Symbol" w:hAnsi="Symbol" w:hint="default"/>
      </w:rPr>
    </w:lvl>
    <w:lvl w:ilvl="4" w:tplc="8ECA82DE" w:tentative="1">
      <w:start w:val="1"/>
      <w:numFmt w:val="bullet"/>
      <w:lvlText w:val="o"/>
      <w:lvlJc w:val="left"/>
      <w:pPr>
        <w:tabs>
          <w:tab w:val="num" w:pos="3600"/>
        </w:tabs>
        <w:ind w:left="3600" w:hanging="360"/>
      </w:pPr>
      <w:rPr>
        <w:rFonts w:ascii="Courier New" w:hAnsi="Courier New" w:cs="Courier New" w:hint="default"/>
      </w:rPr>
    </w:lvl>
    <w:lvl w:ilvl="5" w:tplc="0204B9DA" w:tentative="1">
      <w:start w:val="1"/>
      <w:numFmt w:val="bullet"/>
      <w:lvlText w:val=""/>
      <w:lvlJc w:val="left"/>
      <w:pPr>
        <w:tabs>
          <w:tab w:val="num" w:pos="4320"/>
        </w:tabs>
        <w:ind w:left="4320" w:hanging="360"/>
      </w:pPr>
      <w:rPr>
        <w:rFonts w:ascii="Wingdings" w:hAnsi="Wingdings" w:hint="default"/>
      </w:rPr>
    </w:lvl>
    <w:lvl w:ilvl="6" w:tplc="9760E598" w:tentative="1">
      <w:start w:val="1"/>
      <w:numFmt w:val="bullet"/>
      <w:lvlText w:val=""/>
      <w:lvlJc w:val="left"/>
      <w:pPr>
        <w:tabs>
          <w:tab w:val="num" w:pos="5040"/>
        </w:tabs>
        <w:ind w:left="5040" w:hanging="360"/>
      </w:pPr>
      <w:rPr>
        <w:rFonts w:ascii="Symbol" w:hAnsi="Symbol" w:hint="default"/>
      </w:rPr>
    </w:lvl>
    <w:lvl w:ilvl="7" w:tplc="8AECF954" w:tentative="1">
      <w:start w:val="1"/>
      <w:numFmt w:val="bullet"/>
      <w:lvlText w:val="o"/>
      <w:lvlJc w:val="left"/>
      <w:pPr>
        <w:tabs>
          <w:tab w:val="num" w:pos="5760"/>
        </w:tabs>
        <w:ind w:left="5760" w:hanging="360"/>
      </w:pPr>
      <w:rPr>
        <w:rFonts w:ascii="Courier New" w:hAnsi="Courier New" w:cs="Courier New" w:hint="default"/>
      </w:rPr>
    </w:lvl>
    <w:lvl w:ilvl="8" w:tplc="8E26CBF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466D0A8">
      <w:start w:val="1"/>
      <w:numFmt w:val="decimal"/>
      <w:lvlText w:val="%1)"/>
      <w:lvlJc w:val="left"/>
      <w:pPr>
        <w:tabs>
          <w:tab w:val="num" w:pos="340"/>
        </w:tabs>
        <w:ind w:left="340" w:hanging="340"/>
      </w:pPr>
      <w:rPr>
        <w:rFonts w:hint="default"/>
      </w:rPr>
    </w:lvl>
    <w:lvl w:ilvl="1" w:tplc="4C6E9822" w:tentative="1">
      <w:start w:val="1"/>
      <w:numFmt w:val="lowerLetter"/>
      <w:lvlText w:val="%2."/>
      <w:lvlJc w:val="left"/>
      <w:pPr>
        <w:tabs>
          <w:tab w:val="num" w:pos="1440"/>
        </w:tabs>
        <w:ind w:left="1440" w:hanging="360"/>
      </w:pPr>
    </w:lvl>
    <w:lvl w:ilvl="2" w:tplc="D88ACDBE" w:tentative="1">
      <w:start w:val="1"/>
      <w:numFmt w:val="lowerRoman"/>
      <w:lvlText w:val="%3."/>
      <w:lvlJc w:val="right"/>
      <w:pPr>
        <w:tabs>
          <w:tab w:val="num" w:pos="2160"/>
        </w:tabs>
        <w:ind w:left="2160" w:hanging="180"/>
      </w:pPr>
    </w:lvl>
    <w:lvl w:ilvl="3" w:tplc="76E21716" w:tentative="1">
      <w:start w:val="1"/>
      <w:numFmt w:val="decimal"/>
      <w:lvlText w:val="%4."/>
      <w:lvlJc w:val="left"/>
      <w:pPr>
        <w:tabs>
          <w:tab w:val="num" w:pos="2880"/>
        </w:tabs>
        <w:ind w:left="2880" w:hanging="360"/>
      </w:pPr>
    </w:lvl>
    <w:lvl w:ilvl="4" w:tplc="05527044" w:tentative="1">
      <w:start w:val="1"/>
      <w:numFmt w:val="lowerLetter"/>
      <w:lvlText w:val="%5."/>
      <w:lvlJc w:val="left"/>
      <w:pPr>
        <w:tabs>
          <w:tab w:val="num" w:pos="3600"/>
        </w:tabs>
        <w:ind w:left="3600" w:hanging="360"/>
      </w:pPr>
    </w:lvl>
    <w:lvl w:ilvl="5" w:tplc="64104858" w:tentative="1">
      <w:start w:val="1"/>
      <w:numFmt w:val="lowerRoman"/>
      <w:lvlText w:val="%6."/>
      <w:lvlJc w:val="right"/>
      <w:pPr>
        <w:tabs>
          <w:tab w:val="num" w:pos="4320"/>
        </w:tabs>
        <w:ind w:left="4320" w:hanging="180"/>
      </w:pPr>
    </w:lvl>
    <w:lvl w:ilvl="6" w:tplc="A8983CF4" w:tentative="1">
      <w:start w:val="1"/>
      <w:numFmt w:val="decimal"/>
      <w:lvlText w:val="%7."/>
      <w:lvlJc w:val="left"/>
      <w:pPr>
        <w:tabs>
          <w:tab w:val="num" w:pos="5040"/>
        </w:tabs>
        <w:ind w:left="5040" w:hanging="360"/>
      </w:pPr>
    </w:lvl>
    <w:lvl w:ilvl="7" w:tplc="B7BC27A8" w:tentative="1">
      <w:start w:val="1"/>
      <w:numFmt w:val="lowerLetter"/>
      <w:lvlText w:val="%8."/>
      <w:lvlJc w:val="left"/>
      <w:pPr>
        <w:tabs>
          <w:tab w:val="num" w:pos="5760"/>
        </w:tabs>
        <w:ind w:left="5760" w:hanging="360"/>
      </w:pPr>
    </w:lvl>
    <w:lvl w:ilvl="8" w:tplc="D946DBE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38679D4">
      <w:start w:val="1"/>
      <w:numFmt w:val="decimal"/>
      <w:lvlText w:val="%1."/>
      <w:lvlJc w:val="left"/>
      <w:pPr>
        <w:tabs>
          <w:tab w:val="num" w:pos="1057"/>
        </w:tabs>
        <w:ind w:left="1057" w:hanging="360"/>
      </w:pPr>
      <w:rPr>
        <w:rFonts w:hint="default"/>
      </w:rPr>
    </w:lvl>
    <w:lvl w:ilvl="1" w:tplc="2280F374" w:tentative="1">
      <w:start w:val="1"/>
      <w:numFmt w:val="lowerLetter"/>
      <w:lvlText w:val="%2."/>
      <w:lvlJc w:val="left"/>
      <w:pPr>
        <w:tabs>
          <w:tab w:val="num" w:pos="2137"/>
        </w:tabs>
        <w:ind w:left="2137" w:hanging="360"/>
      </w:pPr>
    </w:lvl>
    <w:lvl w:ilvl="2" w:tplc="5A608354" w:tentative="1">
      <w:start w:val="1"/>
      <w:numFmt w:val="lowerRoman"/>
      <w:lvlText w:val="%3."/>
      <w:lvlJc w:val="right"/>
      <w:pPr>
        <w:tabs>
          <w:tab w:val="num" w:pos="2857"/>
        </w:tabs>
        <w:ind w:left="2857" w:hanging="180"/>
      </w:pPr>
    </w:lvl>
    <w:lvl w:ilvl="3" w:tplc="A198F62A" w:tentative="1">
      <w:start w:val="1"/>
      <w:numFmt w:val="decimal"/>
      <w:lvlText w:val="%4."/>
      <w:lvlJc w:val="left"/>
      <w:pPr>
        <w:tabs>
          <w:tab w:val="num" w:pos="3577"/>
        </w:tabs>
        <w:ind w:left="3577" w:hanging="360"/>
      </w:pPr>
    </w:lvl>
    <w:lvl w:ilvl="4" w:tplc="3620E750" w:tentative="1">
      <w:start w:val="1"/>
      <w:numFmt w:val="lowerLetter"/>
      <w:lvlText w:val="%5."/>
      <w:lvlJc w:val="left"/>
      <w:pPr>
        <w:tabs>
          <w:tab w:val="num" w:pos="4297"/>
        </w:tabs>
        <w:ind w:left="4297" w:hanging="360"/>
      </w:pPr>
    </w:lvl>
    <w:lvl w:ilvl="5" w:tplc="8F320914" w:tentative="1">
      <w:start w:val="1"/>
      <w:numFmt w:val="lowerRoman"/>
      <w:lvlText w:val="%6."/>
      <w:lvlJc w:val="right"/>
      <w:pPr>
        <w:tabs>
          <w:tab w:val="num" w:pos="5017"/>
        </w:tabs>
        <w:ind w:left="5017" w:hanging="180"/>
      </w:pPr>
    </w:lvl>
    <w:lvl w:ilvl="6" w:tplc="BAA291CE" w:tentative="1">
      <w:start w:val="1"/>
      <w:numFmt w:val="decimal"/>
      <w:lvlText w:val="%7."/>
      <w:lvlJc w:val="left"/>
      <w:pPr>
        <w:tabs>
          <w:tab w:val="num" w:pos="5737"/>
        </w:tabs>
        <w:ind w:left="5737" w:hanging="360"/>
      </w:pPr>
    </w:lvl>
    <w:lvl w:ilvl="7" w:tplc="225A3308" w:tentative="1">
      <w:start w:val="1"/>
      <w:numFmt w:val="lowerLetter"/>
      <w:lvlText w:val="%8."/>
      <w:lvlJc w:val="left"/>
      <w:pPr>
        <w:tabs>
          <w:tab w:val="num" w:pos="6457"/>
        </w:tabs>
        <w:ind w:left="6457" w:hanging="360"/>
      </w:pPr>
    </w:lvl>
    <w:lvl w:ilvl="8" w:tplc="1F8828F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C6CC978">
      <w:start w:val="1"/>
      <w:numFmt w:val="decimal"/>
      <w:pStyle w:val="ATSNumber1"/>
      <w:lvlText w:val="%1)"/>
      <w:lvlJc w:val="left"/>
      <w:pPr>
        <w:tabs>
          <w:tab w:val="num" w:pos="720"/>
        </w:tabs>
        <w:ind w:left="720" w:hanging="360"/>
      </w:pPr>
    </w:lvl>
    <w:lvl w:ilvl="1" w:tplc="7BE8D79E" w:tentative="1">
      <w:start w:val="1"/>
      <w:numFmt w:val="lowerLetter"/>
      <w:lvlText w:val="%2."/>
      <w:lvlJc w:val="left"/>
      <w:pPr>
        <w:tabs>
          <w:tab w:val="num" w:pos="1440"/>
        </w:tabs>
        <w:ind w:left="1440" w:hanging="360"/>
      </w:pPr>
    </w:lvl>
    <w:lvl w:ilvl="2" w:tplc="534A9B80" w:tentative="1">
      <w:start w:val="1"/>
      <w:numFmt w:val="lowerRoman"/>
      <w:lvlText w:val="%3."/>
      <w:lvlJc w:val="right"/>
      <w:pPr>
        <w:tabs>
          <w:tab w:val="num" w:pos="2160"/>
        </w:tabs>
        <w:ind w:left="2160" w:hanging="180"/>
      </w:pPr>
    </w:lvl>
    <w:lvl w:ilvl="3" w:tplc="1CD68036" w:tentative="1">
      <w:start w:val="1"/>
      <w:numFmt w:val="decimal"/>
      <w:lvlText w:val="%4."/>
      <w:lvlJc w:val="left"/>
      <w:pPr>
        <w:tabs>
          <w:tab w:val="num" w:pos="2880"/>
        </w:tabs>
        <w:ind w:left="2880" w:hanging="360"/>
      </w:pPr>
    </w:lvl>
    <w:lvl w:ilvl="4" w:tplc="0B4CD07A" w:tentative="1">
      <w:start w:val="1"/>
      <w:numFmt w:val="lowerLetter"/>
      <w:lvlText w:val="%5."/>
      <w:lvlJc w:val="left"/>
      <w:pPr>
        <w:tabs>
          <w:tab w:val="num" w:pos="3600"/>
        </w:tabs>
        <w:ind w:left="3600" w:hanging="360"/>
      </w:pPr>
    </w:lvl>
    <w:lvl w:ilvl="5" w:tplc="7CC0791C" w:tentative="1">
      <w:start w:val="1"/>
      <w:numFmt w:val="lowerRoman"/>
      <w:lvlText w:val="%6."/>
      <w:lvlJc w:val="right"/>
      <w:pPr>
        <w:tabs>
          <w:tab w:val="num" w:pos="4320"/>
        </w:tabs>
        <w:ind w:left="4320" w:hanging="180"/>
      </w:pPr>
    </w:lvl>
    <w:lvl w:ilvl="6" w:tplc="91C23CC6" w:tentative="1">
      <w:start w:val="1"/>
      <w:numFmt w:val="decimal"/>
      <w:lvlText w:val="%7."/>
      <w:lvlJc w:val="left"/>
      <w:pPr>
        <w:tabs>
          <w:tab w:val="num" w:pos="5040"/>
        </w:tabs>
        <w:ind w:left="5040" w:hanging="360"/>
      </w:pPr>
    </w:lvl>
    <w:lvl w:ilvl="7" w:tplc="DFDEF08A" w:tentative="1">
      <w:start w:val="1"/>
      <w:numFmt w:val="lowerLetter"/>
      <w:lvlText w:val="%8."/>
      <w:lvlJc w:val="left"/>
      <w:pPr>
        <w:tabs>
          <w:tab w:val="num" w:pos="5760"/>
        </w:tabs>
        <w:ind w:left="5760" w:hanging="360"/>
      </w:pPr>
    </w:lvl>
    <w:lvl w:ilvl="8" w:tplc="89B8C16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DDA0D39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C752341A" w:tentative="1">
      <w:start w:val="1"/>
      <w:numFmt w:val="bullet"/>
      <w:lvlText w:val="o"/>
      <w:lvlJc w:val="left"/>
      <w:pPr>
        <w:tabs>
          <w:tab w:val="num" w:pos="2517"/>
        </w:tabs>
        <w:ind w:left="2517" w:hanging="360"/>
      </w:pPr>
      <w:rPr>
        <w:rFonts w:ascii="Courier New" w:hAnsi="Courier New" w:cs="Courier New" w:hint="default"/>
      </w:rPr>
    </w:lvl>
    <w:lvl w:ilvl="2" w:tplc="355EB74C" w:tentative="1">
      <w:start w:val="1"/>
      <w:numFmt w:val="bullet"/>
      <w:lvlText w:val=""/>
      <w:lvlJc w:val="left"/>
      <w:pPr>
        <w:tabs>
          <w:tab w:val="num" w:pos="3237"/>
        </w:tabs>
        <w:ind w:left="3237" w:hanging="360"/>
      </w:pPr>
      <w:rPr>
        <w:rFonts w:ascii="Wingdings" w:hAnsi="Wingdings" w:hint="default"/>
      </w:rPr>
    </w:lvl>
    <w:lvl w:ilvl="3" w:tplc="8A7A15F0" w:tentative="1">
      <w:start w:val="1"/>
      <w:numFmt w:val="bullet"/>
      <w:lvlText w:val=""/>
      <w:lvlJc w:val="left"/>
      <w:pPr>
        <w:tabs>
          <w:tab w:val="num" w:pos="3957"/>
        </w:tabs>
        <w:ind w:left="3957" w:hanging="360"/>
      </w:pPr>
      <w:rPr>
        <w:rFonts w:ascii="Symbol" w:hAnsi="Symbol" w:hint="default"/>
      </w:rPr>
    </w:lvl>
    <w:lvl w:ilvl="4" w:tplc="E684ED92" w:tentative="1">
      <w:start w:val="1"/>
      <w:numFmt w:val="bullet"/>
      <w:lvlText w:val="o"/>
      <w:lvlJc w:val="left"/>
      <w:pPr>
        <w:tabs>
          <w:tab w:val="num" w:pos="4677"/>
        </w:tabs>
        <w:ind w:left="4677" w:hanging="360"/>
      </w:pPr>
      <w:rPr>
        <w:rFonts w:ascii="Courier New" w:hAnsi="Courier New" w:cs="Courier New" w:hint="default"/>
      </w:rPr>
    </w:lvl>
    <w:lvl w:ilvl="5" w:tplc="BEA6621A" w:tentative="1">
      <w:start w:val="1"/>
      <w:numFmt w:val="bullet"/>
      <w:lvlText w:val=""/>
      <w:lvlJc w:val="left"/>
      <w:pPr>
        <w:tabs>
          <w:tab w:val="num" w:pos="5397"/>
        </w:tabs>
        <w:ind w:left="5397" w:hanging="360"/>
      </w:pPr>
      <w:rPr>
        <w:rFonts w:ascii="Wingdings" w:hAnsi="Wingdings" w:hint="default"/>
      </w:rPr>
    </w:lvl>
    <w:lvl w:ilvl="6" w:tplc="E8886E52" w:tentative="1">
      <w:start w:val="1"/>
      <w:numFmt w:val="bullet"/>
      <w:lvlText w:val=""/>
      <w:lvlJc w:val="left"/>
      <w:pPr>
        <w:tabs>
          <w:tab w:val="num" w:pos="6117"/>
        </w:tabs>
        <w:ind w:left="6117" w:hanging="360"/>
      </w:pPr>
      <w:rPr>
        <w:rFonts w:ascii="Symbol" w:hAnsi="Symbol" w:hint="default"/>
      </w:rPr>
    </w:lvl>
    <w:lvl w:ilvl="7" w:tplc="D0641956" w:tentative="1">
      <w:start w:val="1"/>
      <w:numFmt w:val="bullet"/>
      <w:lvlText w:val="o"/>
      <w:lvlJc w:val="left"/>
      <w:pPr>
        <w:tabs>
          <w:tab w:val="num" w:pos="6837"/>
        </w:tabs>
        <w:ind w:left="6837" w:hanging="360"/>
      </w:pPr>
      <w:rPr>
        <w:rFonts w:ascii="Courier New" w:hAnsi="Courier New" w:cs="Courier New" w:hint="default"/>
      </w:rPr>
    </w:lvl>
    <w:lvl w:ilvl="8" w:tplc="7960CD7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FD346190">
      <w:start w:val="1"/>
      <w:numFmt w:val="decimal"/>
      <w:pStyle w:val="ATSNumber2"/>
      <w:lvlText w:val="%1."/>
      <w:lvlJc w:val="left"/>
      <w:pPr>
        <w:tabs>
          <w:tab w:val="num" w:pos="720"/>
        </w:tabs>
        <w:ind w:left="720" w:hanging="360"/>
      </w:pPr>
      <w:rPr>
        <w:rFonts w:hint="default"/>
      </w:rPr>
    </w:lvl>
    <w:lvl w:ilvl="1" w:tplc="33022878" w:tentative="1">
      <w:start w:val="1"/>
      <w:numFmt w:val="lowerLetter"/>
      <w:lvlText w:val="%2."/>
      <w:lvlJc w:val="left"/>
      <w:pPr>
        <w:tabs>
          <w:tab w:val="num" w:pos="1440"/>
        </w:tabs>
        <w:ind w:left="1440" w:hanging="360"/>
      </w:pPr>
    </w:lvl>
    <w:lvl w:ilvl="2" w:tplc="FC68C202" w:tentative="1">
      <w:start w:val="1"/>
      <w:numFmt w:val="lowerRoman"/>
      <w:lvlText w:val="%3."/>
      <w:lvlJc w:val="right"/>
      <w:pPr>
        <w:tabs>
          <w:tab w:val="num" w:pos="2160"/>
        </w:tabs>
        <w:ind w:left="2160" w:hanging="180"/>
      </w:pPr>
    </w:lvl>
    <w:lvl w:ilvl="3" w:tplc="7F5A2C94" w:tentative="1">
      <w:start w:val="1"/>
      <w:numFmt w:val="decimal"/>
      <w:lvlText w:val="%4."/>
      <w:lvlJc w:val="left"/>
      <w:pPr>
        <w:tabs>
          <w:tab w:val="num" w:pos="2880"/>
        </w:tabs>
        <w:ind w:left="2880" w:hanging="360"/>
      </w:pPr>
    </w:lvl>
    <w:lvl w:ilvl="4" w:tplc="A9465092" w:tentative="1">
      <w:start w:val="1"/>
      <w:numFmt w:val="lowerLetter"/>
      <w:lvlText w:val="%5."/>
      <w:lvlJc w:val="left"/>
      <w:pPr>
        <w:tabs>
          <w:tab w:val="num" w:pos="3600"/>
        </w:tabs>
        <w:ind w:left="3600" w:hanging="360"/>
      </w:pPr>
    </w:lvl>
    <w:lvl w:ilvl="5" w:tplc="7F6003FA" w:tentative="1">
      <w:start w:val="1"/>
      <w:numFmt w:val="lowerRoman"/>
      <w:lvlText w:val="%6."/>
      <w:lvlJc w:val="right"/>
      <w:pPr>
        <w:tabs>
          <w:tab w:val="num" w:pos="4320"/>
        </w:tabs>
        <w:ind w:left="4320" w:hanging="180"/>
      </w:pPr>
    </w:lvl>
    <w:lvl w:ilvl="6" w:tplc="F21A72F4" w:tentative="1">
      <w:start w:val="1"/>
      <w:numFmt w:val="decimal"/>
      <w:lvlText w:val="%7."/>
      <w:lvlJc w:val="left"/>
      <w:pPr>
        <w:tabs>
          <w:tab w:val="num" w:pos="5040"/>
        </w:tabs>
        <w:ind w:left="5040" w:hanging="360"/>
      </w:pPr>
    </w:lvl>
    <w:lvl w:ilvl="7" w:tplc="5A6C7B36" w:tentative="1">
      <w:start w:val="1"/>
      <w:numFmt w:val="lowerLetter"/>
      <w:lvlText w:val="%8."/>
      <w:lvlJc w:val="left"/>
      <w:pPr>
        <w:tabs>
          <w:tab w:val="num" w:pos="5760"/>
        </w:tabs>
        <w:ind w:left="5760" w:hanging="360"/>
      </w:pPr>
    </w:lvl>
    <w:lvl w:ilvl="8" w:tplc="57526D66" w:tentative="1">
      <w:start w:val="1"/>
      <w:numFmt w:val="lowerRoman"/>
      <w:lvlText w:val="%9."/>
      <w:lvlJc w:val="right"/>
      <w:pPr>
        <w:tabs>
          <w:tab w:val="num" w:pos="6480"/>
        </w:tabs>
        <w:ind w:left="6480" w:hanging="180"/>
      </w:pPr>
    </w:lvl>
  </w:abstractNum>
  <w:num w:numId="1" w16cid:durableId="687215983">
    <w:abstractNumId w:val="9"/>
  </w:num>
  <w:num w:numId="2" w16cid:durableId="585113613">
    <w:abstractNumId w:val="7"/>
  </w:num>
  <w:num w:numId="3" w16cid:durableId="1382246748">
    <w:abstractNumId w:val="6"/>
  </w:num>
  <w:num w:numId="4" w16cid:durableId="1921405595">
    <w:abstractNumId w:val="5"/>
  </w:num>
  <w:num w:numId="5" w16cid:durableId="1327975195">
    <w:abstractNumId w:val="4"/>
  </w:num>
  <w:num w:numId="6" w16cid:durableId="1690718502">
    <w:abstractNumId w:val="8"/>
  </w:num>
  <w:num w:numId="7" w16cid:durableId="576667869">
    <w:abstractNumId w:val="3"/>
  </w:num>
  <w:num w:numId="8" w16cid:durableId="972295473">
    <w:abstractNumId w:val="2"/>
  </w:num>
  <w:num w:numId="9" w16cid:durableId="361370582">
    <w:abstractNumId w:val="1"/>
  </w:num>
  <w:num w:numId="10" w16cid:durableId="596519002">
    <w:abstractNumId w:val="0"/>
  </w:num>
  <w:num w:numId="11" w16cid:durableId="465857155">
    <w:abstractNumId w:val="11"/>
  </w:num>
  <w:num w:numId="12" w16cid:durableId="833880785">
    <w:abstractNumId w:val="15"/>
  </w:num>
  <w:num w:numId="13" w16cid:durableId="1474444453">
    <w:abstractNumId w:val="14"/>
  </w:num>
  <w:num w:numId="14" w16cid:durableId="1542396243">
    <w:abstractNumId w:val="12"/>
  </w:num>
  <w:num w:numId="15" w16cid:durableId="1184171794">
    <w:abstractNumId w:val="13"/>
  </w:num>
  <w:num w:numId="16" w16cid:durableId="1803769274">
    <w:abstractNumId w:val="10"/>
  </w:num>
  <w:num w:numId="17" w16cid:durableId="789589628">
    <w:abstractNumId w:val="11"/>
  </w:num>
  <w:num w:numId="18" w16cid:durableId="2079202473">
    <w:abstractNumId w:val="15"/>
  </w:num>
  <w:num w:numId="19" w16cid:durableId="1878816395">
    <w:abstractNumId w:val="14"/>
  </w:num>
  <w:num w:numId="20" w16cid:durableId="12548203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1CF"/>
    <w:rsid w:val="00086B28"/>
    <w:rsid w:val="0063393F"/>
    <w:rsid w:val="008D11CF"/>
    <w:rsid w:val="00FE3B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ED9B93"/>
  <w15:chartTrackingRefBased/>
  <w15:docId w15:val="{85C4086A-91F8-4488-8EE7-234F2C8E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uiPriority w:val="1"/>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uiPriority w:val="1"/>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uiPriority w:val="1"/>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uiPriority w:val="1"/>
    <w:qFormat/>
    <w:rsid w:val="00FE3B53"/>
    <w:pPr>
      <w:spacing w:before="120" w:after="120"/>
    </w:pPr>
    <w:rPr>
      <w:szCs w:val="22"/>
      <w:lang w:val="en-US" w:eastAsia="en-GB"/>
    </w:rPr>
  </w:style>
  <w:style w:type="character" w:customStyle="1" w:styleId="ASNormalChar">
    <w:name w:val="AS Normal Char"/>
    <w:link w:val="ASNormal"/>
    <w:uiPriority w:val="1"/>
    <w:rsid w:val="00FE3B53"/>
    <w:rPr>
      <w:sz w:val="22"/>
      <w:szCs w:val="22"/>
      <w:lang w:val="en-US" w:eastAsia="en-GB"/>
    </w:rPr>
  </w:style>
  <w:style w:type="character" w:customStyle="1" w:styleId="ATSHeading2Char">
    <w:name w:val="ATS Heading 2 Char"/>
    <w:link w:val="ATSHeading2"/>
    <w:uiPriority w:val="1"/>
    <w:rsid w:val="00FE3B53"/>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cuments.ats.aq/ATCM43/ad/ATCM43_ad004_e.docx"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cuments.ats.aq/ATCM42/ad/ATCM42_ad006_e.doc" TargetMode="External"/><Relationship Id="rId2" Type="http://schemas.openxmlformats.org/officeDocument/2006/relationships/numbering" Target="numbering.xml"/><Relationship Id="rId16" Type="http://schemas.openxmlformats.org/officeDocument/2006/relationships/hyperlink" Target="https://documents.ats.aq/ATCM39/ad/ATCM39_ad003_e.pdf"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ts.aq/devAS/Meetings/Measure/642"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lamoncloa.gob.es/serviciosdeprensa/notasprensa/transicion-ecologica/Documents/2021/041021-DeclarationofMadridAntarctica.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uments.ats.aq/ATCM39/wp/ATCM39_wp038_e.doc"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495</Words>
  <Characters>3374</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2023-05-23T04:33:00Z</dcterms:modified>
</cp:coreProperties>
</file>