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DF31" w14:textId="77777777" w:rsidR="00C26F2D" w:rsidRDefault="00241910" w:rsidP="009E619D">
      <w:pPr>
        <w:rPr>
          <w:lang w:val="es-ES_tradnl"/>
        </w:rPr>
      </w:pPr>
    </w:p>
    <w:p w14:paraId="55AA3B75" w14:textId="77777777" w:rsidR="002F0A13" w:rsidRDefault="00241910" w:rsidP="004B4A60">
      <w:pPr>
        <w:rPr>
          <w:b/>
          <w:u w:val="single"/>
          <w:lang w:val="es-ES_tradnl"/>
        </w:rPr>
      </w:pPr>
    </w:p>
    <w:p w14:paraId="7EB7DD7A" w14:textId="77777777" w:rsidR="002F0A13" w:rsidRDefault="00241910" w:rsidP="004B4A60">
      <w:pPr>
        <w:rPr>
          <w:b/>
          <w:u w:val="single"/>
          <w:lang w:val="es-ES_tradnl"/>
        </w:rPr>
      </w:pPr>
    </w:p>
    <w:p w14:paraId="6EB899B0" w14:textId="77777777" w:rsidR="002F0A13" w:rsidRDefault="00241910" w:rsidP="004B4A60">
      <w:pPr>
        <w:rPr>
          <w:b/>
          <w:u w:val="single"/>
          <w:lang w:val="es-ES_tradnl"/>
        </w:rPr>
      </w:pPr>
    </w:p>
    <w:p w14:paraId="3AECE541" w14:textId="77777777" w:rsidR="002F0A13" w:rsidRDefault="00241910" w:rsidP="004B4A60">
      <w:pPr>
        <w:rPr>
          <w:b/>
          <w:u w:val="single"/>
          <w:lang w:val="es-ES_tradnl"/>
        </w:rPr>
      </w:pPr>
    </w:p>
    <w:p w14:paraId="2D23D33E" w14:textId="77777777" w:rsidR="00C26F2D" w:rsidRDefault="00241910" w:rsidP="004B4A60">
      <w:pPr>
        <w:rPr>
          <w:b/>
          <w:u w:val="single"/>
          <w:lang w:val="es-ES_tradnl"/>
        </w:rPr>
      </w:pPr>
    </w:p>
    <w:p w14:paraId="526BC930" w14:textId="77777777" w:rsidR="004B4A60" w:rsidRPr="007F0C84" w:rsidRDefault="007F0C84" w:rsidP="001B789F">
      <w:pPr>
        <w:pStyle w:val="ATSTitle"/>
      </w:pPr>
      <w:bookmarkStart w:id="0" w:name="name"/>
      <w:r>
        <w:t>Proposal for the improvement of observations of sea ice and icebergs in polar and subpolar waters for the development of nautical safety products by Ice Services</w:t>
      </w:r>
      <w:bookmarkEnd w:id="0"/>
    </w:p>
    <w:p w14:paraId="0C122436" w14:textId="77777777" w:rsidR="004B4A60" w:rsidRPr="00241910" w:rsidRDefault="00241910" w:rsidP="00F75424">
      <w:pPr>
        <w:jc w:val="center"/>
        <w:rPr>
          <w:lang w:val="en-US"/>
        </w:rPr>
      </w:pPr>
    </w:p>
    <w:p w14:paraId="2F03E311" w14:textId="77777777" w:rsidR="004B4A60" w:rsidRPr="00241910" w:rsidRDefault="00241910" w:rsidP="002F0A13">
      <w:pPr>
        <w:rPr>
          <w:lang w:val="en-US"/>
        </w:rPr>
      </w:pPr>
    </w:p>
    <w:p w14:paraId="432AC689" w14:textId="77777777" w:rsidR="004B4A60" w:rsidRPr="007F0C84" w:rsidRDefault="00241910" w:rsidP="00F75424">
      <w:pPr>
        <w:jc w:val="center"/>
      </w:pPr>
      <w:bookmarkStart w:id="1" w:name="memo"/>
      <w:bookmarkEnd w:id="1"/>
    </w:p>
    <w:p w14:paraId="5B0F5AEC" w14:textId="77777777" w:rsidR="004B4A60" w:rsidRPr="00241910" w:rsidRDefault="00241910" w:rsidP="004B4A60">
      <w:pPr>
        <w:rPr>
          <w:lang w:val="en-US"/>
        </w:rPr>
      </w:pPr>
    </w:p>
    <w:p w14:paraId="771FF1D0" w14:textId="77777777" w:rsidR="00C26F2D" w:rsidRPr="00241910" w:rsidRDefault="00241910" w:rsidP="00952E9F">
      <w:pPr>
        <w:rPr>
          <w:lang w:val="en-US"/>
        </w:rPr>
        <w:sectPr w:rsidR="00C26F2D" w:rsidRPr="00241910"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57BB7E3B" w14:textId="77777777" w:rsidR="007F0C84" w:rsidRPr="00760B88" w:rsidRDefault="007F0C84" w:rsidP="007F0C84">
      <w:pPr>
        <w:pStyle w:val="ATSHeading1"/>
      </w:pPr>
      <w:r>
        <w:lastRenderedPageBreak/>
        <w:t>Proposal for the improvement of observations of sea ice and icebergs in polar and subpolar waters for the development of nautical safety products by Ice Services</w:t>
      </w:r>
    </w:p>
    <w:p w14:paraId="4EE6905F" w14:textId="77777777" w:rsidR="007F0C84" w:rsidRPr="00760B88" w:rsidRDefault="007F0C84" w:rsidP="007F0C84">
      <w:pPr>
        <w:pStyle w:val="ATSHeading2"/>
      </w:pPr>
      <w:r>
        <w:t xml:space="preserve">Summary </w:t>
      </w:r>
    </w:p>
    <w:p w14:paraId="7E3D7EC6" w14:textId="77777777" w:rsidR="007F0C84" w:rsidRPr="001C7458" w:rsidRDefault="007F0C84" w:rsidP="007F0C84">
      <w:pPr>
        <w:spacing w:before="100" w:beforeAutospacing="1" w:after="100" w:afterAutospacing="1"/>
        <w:jc w:val="both"/>
        <w:rPr>
          <w:sz w:val="20"/>
          <w:szCs w:val="20"/>
        </w:rPr>
      </w:pPr>
      <w:r>
        <w:t>It is possible for ships navigating in Antarctic Treaty waters to share the information they collect through ice observations under standard conditions, and this information can be used as field information for the interpretation and validation of satellite images. These images are used, among other purposes, to generate sea ice charts that provide updated and georeferenced information on the glaciological situation to the Ice Services of the countries that offer this service for the Antarctic Treaty area.</w:t>
      </w:r>
    </w:p>
    <w:p w14:paraId="18357236" w14:textId="77777777" w:rsidR="007F0C84" w:rsidRPr="005D1630" w:rsidRDefault="007F0C84" w:rsidP="007F0C84">
      <w:pPr>
        <w:pStyle w:val="ATSHeading2"/>
      </w:pPr>
      <w:r>
        <w:t>Introduction</w:t>
      </w:r>
    </w:p>
    <w:p w14:paraId="556B33E5" w14:textId="77777777" w:rsidR="007F0C84" w:rsidRPr="002B0E71" w:rsidRDefault="007F0C84" w:rsidP="007F0C84">
      <w:pPr>
        <w:spacing w:before="100" w:beforeAutospacing="1" w:after="100" w:afterAutospacing="1"/>
        <w:jc w:val="both"/>
      </w:pPr>
      <w:r>
        <w:t>The observation, recording and reporting in operational times of the characteristics of sea ice and icebergs by ships in waters with the presence of ice are of fundamental importance for the preparation of sea ice charts, iceberg risk charts and the validation of forecasts and sea ice concentration and iceberg drift models. These products are routinely generated on a daily, weekly and/or monthly basis by the Ice Services with the sole purpose of contributing to nautical safety, preventing environmental damage due to collisions or ice pressure and generating better tools for the planning of shipping routes, scientific and/or tourist activities. In addition, the observations of the floating ice contribute to validate the information obtained from satellites and allow subsequent climatological studies and gaining insights in the current context of climate change.</w:t>
      </w:r>
    </w:p>
    <w:p w14:paraId="0CB2AD77" w14:textId="77777777" w:rsidR="007F0C84" w:rsidRPr="002B0E71" w:rsidRDefault="007F0C84" w:rsidP="007F0C84">
      <w:pPr>
        <w:autoSpaceDE w:val="0"/>
        <w:autoSpaceDN w:val="0"/>
        <w:adjustRightInd w:val="0"/>
        <w:jc w:val="both"/>
      </w:pPr>
      <w:r>
        <w:t xml:space="preserve">These observations can be made from a ship, from the coast, from an aircraft or from the interpretation of data from remote sensors on satellites. </w:t>
      </w:r>
    </w:p>
    <w:p w14:paraId="3DB55678" w14:textId="77777777" w:rsidR="007F0C84" w:rsidRPr="00241910" w:rsidRDefault="007F0C84" w:rsidP="007F0C84">
      <w:pPr>
        <w:autoSpaceDE w:val="0"/>
        <w:autoSpaceDN w:val="0"/>
        <w:adjustRightInd w:val="0"/>
        <w:jc w:val="both"/>
        <w:rPr>
          <w:lang w:val="en-US"/>
        </w:rPr>
      </w:pPr>
    </w:p>
    <w:p w14:paraId="70C301D2" w14:textId="77777777" w:rsidR="007F0C84" w:rsidRPr="002B0E71" w:rsidRDefault="007F0C84" w:rsidP="007F0C84">
      <w:pPr>
        <w:autoSpaceDE w:val="0"/>
        <w:autoSpaceDN w:val="0"/>
        <w:adjustRightInd w:val="0"/>
        <w:jc w:val="both"/>
      </w:pPr>
      <w:r>
        <w:t>Ice observations have multiple functionalities. An ice spotter aboard a polar-capable ship or icebreaker can provide direct advice to the commander, as can a spotter located at an Antarctic base when a ship is sailing nearby. In turn, the observations are used as field information for the interpretation and validation of satellite images, which are used, among other purposes, to generate ice charts that provide updated and georeferenced data on the glaciological situation (</w:t>
      </w:r>
      <w:proofErr w:type="spellStart"/>
      <w:r>
        <w:t>Scardilli</w:t>
      </w:r>
      <w:proofErr w:type="spellEnd"/>
      <w:r>
        <w:t xml:space="preserve"> </w:t>
      </w:r>
      <w:r>
        <w:rPr>
          <w:i/>
          <w:iCs/>
        </w:rPr>
        <w:t>et al.</w:t>
      </w:r>
      <w:r>
        <w:t>, 2022).</w:t>
      </w:r>
    </w:p>
    <w:p w14:paraId="0429D964" w14:textId="77777777" w:rsidR="007F0C84" w:rsidRPr="00241910" w:rsidRDefault="007F0C84" w:rsidP="007F0C84">
      <w:pPr>
        <w:autoSpaceDE w:val="0"/>
        <w:autoSpaceDN w:val="0"/>
        <w:adjustRightInd w:val="0"/>
        <w:jc w:val="both"/>
        <w:rPr>
          <w:lang w:val="en-US"/>
        </w:rPr>
      </w:pPr>
    </w:p>
    <w:p w14:paraId="54858DCB" w14:textId="77777777" w:rsidR="007F0C84" w:rsidRPr="002B0E71" w:rsidRDefault="007F0C84" w:rsidP="007F0C84">
      <w:pPr>
        <w:autoSpaceDE w:val="0"/>
        <w:autoSpaceDN w:val="0"/>
        <w:adjustRightInd w:val="0"/>
        <w:jc w:val="both"/>
      </w:pPr>
      <w:r>
        <w:t>Glaciological observations are relevant for advice on decision-making in navigation. Any ice records made contribute to nourish the statistics of each area that are later made available to interested users.</w:t>
      </w:r>
    </w:p>
    <w:p w14:paraId="229D94FE" w14:textId="77777777" w:rsidR="007F0C84" w:rsidRPr="00241910" w:rsidRDefault="007F0C84" w:rsidP="007F0C84">
      <w:pPr>
        <w:autoSpaceDE w:val="0"/>
        <w:autoSpaceDN w:val="0"/>
        <w:adjustRightInd w:val="0"/>
        <w:jc w:val="both"/>
        <w:rPr>
          <w:lang w:val="en-US"/>
        </w:rPr>
      </w:pPr>
    </w:p>
    <w:p w14:paraId="12698B80" w14:textId="77777777" w:rsidR="007F0C84" w:rsidRPr="002B0E71" w:rsidRDefault="007F0C84" w:rsidP="007F0C84">
      <w:pPr>
        <w:autoSpaceDE w:val="0"/>
        <w:autoSpaceDN w:val="0"/>
        <w:adjustRightInd w:val="0"/>
        <w:jc w:val="both"/>
      </w:pPr>
      <w:r>
        <w:t>Therefore, having information from observations from ships or bases is essential for the tasks of the Ice Services in their permanent challenge of generating products and services to help nautical safety in the least populated region of the world and, therefore, with a paucity of significant information.</w:t>
      </w:r>
    </w:p>
    <w:p w14:paraId="76195BF4" w14:textId="77777777" w:rsidR="007F0C84" w:rsidRPr="00241910" w:rsidRDefault="007F0C84" w:rsidP="007F0C84">
      <w:pPr>
        <w:autoSpaceDE w:val="0"/>
        <w:autoSpaceDN w:val="0"/>
        <w:adjustRightInd w:val="0"/>
        <w:jc w:val="both"/>
        <w:rPr>
          <w:lang w:val="en-US"/>
        </w:rPr>
      </w:pPr>
    </w:p>
    <w:p w14:paraId="45E99128" w14:textId="77777777" w:rsidR="007F0C84" w:rsidRPr="002B0E71" w:rsidRDefault="007F0C84" w:rsidP="007F0C84">
      <w:pPr>
        <w:autoSpaceDE w:val="0"/>
        <w:autoSpaceDN w:val="0"/>
        <w:adjustRightInd w:val="0"/>
        <w:jc w:val="both"/>
      </w:pPr>
      <w:r>
        <w:t xml:space="preserve">As far as possible, these observations should be made as frequently as possible, routinely and periodically, following international terminology and standards (according to the publications of the World Meteorological Organization WMO 1215, 259 and 574), and shared with the Ice </w:t>
      </w:r>
      <w:r>
        <w:lastRenderedPageBreak/>
        <w:t>Services within operating times so that they can be useful in preparing ice charts and other products.</w:t>
      </w:r>
    </w:p>
    <w:p w14:paraId="2C728C91" w14:textId="77777777" w:rsidR="007F0C84" w:rsidRPr="00241910" w:rsidRDefault="007F0C84" w:rsidP="007F0C84">
      <w:pPr>
        <w:autoSpaceDE w:val="0"/>
        <w:autoSpaceDN w:val="0"/>
        <w:adjustRightInd w:val="0"/>
        <w:jc w:val="both"/>
        <w:rPr>
          <w:lang w:val="en-US"/>
        </w:rPr>
      </w:pPr>
    </w:p>
    <w:p w14:paraId="418752C5" w14:textId="77777777" w:rsidR="007F0C84" w:rsidRPr="002B0E71" w:rsidRDefault="007F0C84" w:rsidP="007F0C84">
      <w:pPr>
        <w:autoSpaceDE w:val="0"/>
        <w:autoSpaceDN w:val="0"/>
        <w:adjustRightInd w:val="0"/>
        <w:jc w:val="both"/>
        <w:rPr>
          <w:b/>
          <w:bCs/>
        </w:rPr>
      </w:pPr>
      <w:r>
        <w:rPr>
          <w:b/>
        </w:rPr>
        <w:t>Contributing actions</w:t>
      </w:r>
    </w:p>
    <w:p w14:paraId="7F7F1CF7" w14:textId="77777777" w:rsidR="007F0C84" w:rsidRPr="00241910" w:rsidRDefault="007F0C84" w:rsidP="007F0C84">
      <w:pPr>
        <w:autoSpaceDE w:val="0"/>
        <w:autoSpaceDN w:val="0"/>
        <w:adjustRightInd w:val="0"/>
        <w:jc w:val="both"/>
        <w:rPr>
          <w:lang w:val="en-US"/>
        </w:rPr>
      </w:pPr>
    </w:p>
    <w:p w14:paraId="4A8721EC" w14:textId="77777777" w:rsidR="007F0C84" w:rsidRPr="002B0E71" w:rsidRDefault="007F0C84" w:rsidP="007F0C84">
      <w:pPr>
        <w:autoSpaceDE w:val="0"/>
        <w:autoSpaceDN w:val="0"/>
        <w:adjustRightInd w:val="0"/>
        <w:jc w:val="both"/>
      </w:pPr>
      <w:r>
        <w:t>Argentina, through its Naval Hydrography Service (NHS), is responsible for nautical safety in NAVAREA VI, a region that includes the Antarctic Peninsula, which is the most visited part of Antarctica by research, logistics and tourism vessels. For this reason, one of the major actions in terms of the provision of aids to navigation is the preparation of ice charts and the generation of models and forecasts of sea ice concentration and iceberg drift.</w:t>
      </w:r>
    </w:p>
    <w:p w14:paraId="3D2D2DAE" w14:textId="77777777" w:rsidR="007F0C84" w:rsidRPr="00241910" w:rsidRDefault="007F0C84" w:rsidP="007F0C84">
      <w:pPr>
        <w:autoSpaceDE w:val="0"/>
        <w:autoSpaceDN w:val="0"/>
        <w:adjustRightInd w:val="0"/>
        <w:jc w:val="both"/>
        <w:rPr>
          <w:lang w:val="en-US"/>
        </w:rPr>
      </w:pPr>
    </w:p>
    <w:p w14:paraId="093E48FA" w14:textId="77777777" w:rsidR="007F0C84" w:rsidRPr="002B0E71" w:rsidRDefault="007F0C84" w:rsidP="007F0C84">
      <w:pPr>
        <w:autoSpaceDE w:val="0"/>
        <w:autoSpaceDN w:val="0"/>
        <w:adjustRightInd w:val="0"/>
        <w:jc w:val="both"/>
      </w:pPr>
      <w:r>
        <w:t xml:space="preserve">Other countries other than Argentina also generate ice charts for aids to navigation in the Antarctic region, so sharing ice observations would be beneficial to many Parties to the Antarctic Treaty. </w:t>
      </w:r>
    </w:p>
    <w:p w14:paraId="35824D5A" w14:textId="77777777" w:rsidR="007F0C84" w:rsidRPr="00241910" w:rsidRDefault="007F0C84" w:rsidP="007F0C84">
      <w:pPr>
        <w:autoSpaceDE w:val="0"/>
        <w:autoSpaceDN w:val="0"/>
        <w:adjustRightInd w:val="0"/>
        <w:jc w:val="both"/>
        <w:rPr>
          <w:lang w:val="en-US"/>
        </w:rPr>
      </w:pPr>
    </w:p>
    <w:p w14:paraId="62DE47D1" w14:textId="77777777" w:rsidR="007F0C84" w:rsidRPr="002B0E71" w:rsidRDefault="007F0C84" w:rsidP="007F0C84">
      <w:pPr>
        <w:autoSpaceDE w:val="0"/>
        <w:autoSpaceDN w:val="0"/>
        <w:adjustRightInd w:val="0"/>
        <w:jc w:val="both"/>
      </w:pPr>
      <w:r>
        <w:t xml:space="preserve">To ensure the observation, recording and reporting of the characteristics of sea ice and icebergs, Argentina, through the NHS, makes available to the Parties a Sea Ice and Iceberg Observer’s Manual (free download available in Spanish at: </w:t>
      </w:r>
      <w:hyperlink r:id="rId10" w:history="1">
        <w:r>
          <w:rPr>
            <w:rStyle w:val="Hyperlink"/>
          </w:rPr>
          <w:t>http://www.hidro.gov.ar/Download/Download.asp</w:t>
        </w:r>
      </w:hyperlink>
      <w:r>
        <w:t xml:space="preserve">), software developed for the simple recording and reporting of observations called SIGLAC-C (free download available in Spanish and English at: </w:t>
      </w:r>
      <w:hyperlink r:id="rId11" w:history="1">
        <w:r>
          <w:rPr>
            <w:rStyle w:val="Hyperlink"/>
          </w:rPr>
          <w:t>http://www.hidro.gov.ar/Download/Download.asp</w:t>
        </w:r>
      </w:hyperlink>
      <w:r>
        <w:t>) and training for the role of ice observer through the UNESCO Intergovernmental Oceanographic Commission’s (IOC) Ocean Teacher Global Academy (OTGA) virtual platform.</w:t>
      </w:r>
    </w:p>
    <w:p w14:paraId="0475F9C4" w14:textId="77777777" w:rsidR="007F0C84" w:rsidRPr="00241910" w:rsidRDefault="007F0C84" w:rsidP="007F0C84">
      <w:pPr>
        <w:autoSpaceDE w:val="0"/>
        <w:autoSpaceDN w:val="0"/>
        <w:adjustRightInd w:val="0"/>
        <w:jc w:val="both"/>
        <w:rPr>
          <w:lang w:val="en-US"/>
        </w:rPr>
      </w:pPr>
    </w:p>
    <w:p w14:paraId="3CFB89B4" w14:textId="77777777" w:rsidR="007F0C84" w:rsidRPr="002B0E71" w:rsidRDefault="007F0C84" w:rsidP="007F0C84">
      <w:pPr>
        <w:autoSpaceDE w:val="0"/>
        <w:autoSpaceDN w:val="0"/>
        <w:adjustRightInd w:val="0"/>
        <w:jc w:val="both"/>
      </w:pPr>
      <w:r>
        <w:t>Regarding training, it is important to highlight that at the moment two international courses have been taught in Spanish through the OTGA and for this academic year of 2023 one course will be taught in Spanish and one in English.</w:t>
      </w:r>
    </w:p>
    <w:p w14:paraId="18DE8C65" w14:textId="77777777" w:rsidR="007F0C84" w:rsidRPr="00241910" w:rsidRDefault="007F0C84" w:rsidP="007F0C84">
      <w:pPr>
        <w:autoSpaceDE w:val="0"/>
        <w:autoSpaceDN w:val="0"/>
        <w:adjustRightInd w:val="0"/>
        <w:jc w:val="both"/>
        <w:rPr>
          <w:lang w:val="en-US"/>
        </w:rPr>
      </w:pPr>
    </w:p>
    <w:p w14:paraId="2CBCB58A" w14:textId="77777777" w:rsidR="007F0C84" w:rsidRPr="002B0E71" w:rsidRDefault="007F0C84" w:rsidP="007F0C84">
      <w:pPr>
        <w:autoSpaceDE w:val="0"/>
        <w:autoSpaceDN w:val="0"/>
        <w:adjustRightInd w:val="0"/>
        <w:jc w:val="both"/>
      </w:pPr>
      <w:r>
        <w:t>Argentina considers that access to material, software and training for the personnel of the ships navigating in the Antarctic Treaty area will contribute effectively to an increase in the observations of sea ice and icebergs and in their subsequent communication to the Ice Services, and therefore in the production of ice charts and forecasts that are used by seafarers in icy waters in Antarctica. These observations may also be useful for scientific organisations in the generation of knowledge regarding the climatic variability of floating ice.</w:t>
      </w:r>
    </w:p>
    <w:p w14:paraId="5E8D4779" w14:textId="77777777" w:rsidR="007F0C84" w:rsidRPr="00241910" w:rsidRDefault="007F0C84" w:rsidP="007F0C84">
      <w:pPr>
        <w:autoSpaceDE w:val="0"/>
        <w:autoSpaceDN w:val="0"/>
        <w:adjustRightInd w:val="0"/>
        <w:jc w:val="both"/>
        <w:rPr>
          <w:lang w:val="en-US"/>
        </w:rPr>
      </w:pPr>
    </w:p>
    <w:p w14:paraId="6CFBCCB7" w14:textId="77777777" w:rsidR="007F0C84" w:rsidRPr="002B0E71" w:rsidRDefault="007F0C84" w:rsidP="007F0C84">
      <w:pPr>
        <w:jc w:val="both"/>
      </w:pPr>
      <w:r>
        <w:t>Argentina recommends to the Parties that:</w:t>
      </w:r>
    </w:p>
    <w:p w14:paraId="12E96791" w14:textId="77777777" w:rsidR="007F0C84" w:rsidRPr="002B0E71" w:rsidRDefault="007F0C84" w:rsidP="007F0C84">
      <w:pPr>
        <w:pStyle w:val="ListParagraph"/>
        <w:numPr>
          <w:ilvl w:val="0"/>
          <w:numId w:val="21"/>
        </w:numPr>
        <w:spacing w:after="160" w:line="259" w:lineRule="auto"/>
        <w:jc w:val="both"/>
        <w:rPr>
          <w:rFonts w:ascii="Times New Roman" w:hAnsi="Times New Roman"/>
        </w:rPr>
      </w:pPr>
      <w:r>
        <w:rPr>
          <w:rFonts w:ascii="Times New Roman" w:hAnsi="Times New Roman"/>
        </w:rPr>
        <w:t xml:space="preserve">Any Parties that operate ships in the Antarctic Treaty area, routinely observe, record and report within operational times to the Ice Services that make charts and forecasts the characteristics of sea ice and icebergs when they are in polar waters, in order to improve the navigation safety. </w:t>
      </w:r>
    </w:p>
    <w:p w14:paraId="1F36EC7C" w14:textId="77777777" w:rsidR="007F0C84" w:rsidRPr="002B0E71" w:rsidRDefault="007F0C84" w:rsidP="007F0C84">
      <w:pPr>
        <w:pStyle w:val="ListParagraph"/>
        <w:numPr>
          <w:ilvl w:val="0"/>
          <w:numId w:val="21"/>
        </w:numPr>
        <w:spacing w:after="160" w:line="259" w:lineRule="auto"/>
        <w:jc w:val="both"/>
        <w:rPr>
          <w:rFonts w:ascii="Times New Roman" w:hAnsi="Times New Roman"/>
        </w:rPr>
      </w:pPr>
      <w:r>
        <w:rPr>
          <w:rFonts w:ascii="Times New Roman" w:hAnsi="Times New Roman"/>
        </w:rPr>
        <w:t xml:space="preserve">They invite their non-governmental ship and sailboat operators to take up this practice.  </w:t>
      </w:r>
    </w:p>
    <w:p w14:paraId="191B1D7A" w14:textId="77777777" w:rsidR="007F0C84" w:rsidRPr="002B0E71" w:rsidRDefault="007F0C84" w:rsidP="007F0C84">
      <w:pPr>
        <w:pStyle w:val="ListParagraph"/>
        <w:numPr>
          <w:ilvl w:val="0"/>
          <w:numId w:val="21"/>
        </w:numPr>
        <w:spacing w:after="160" w:line="259" w:lineRule="auto"/>
        <w:jc w:val="both"/>
        <w:rPr>
          <w:rFonts w:ascii="Times New Roman" w:hAnsi="Times New Roman"/>
        </w:rPr>
      </w:pPr>
      <w:r>
        <w:rPr>
          <w:rFonts w:ascii="Times New Roman" w:hAnsi="Times New Roman"/>
        </w:rPr>
        <w:t>They promote, to this effect, the training of ship personnel to carry out observations of sea ice and icebergs so that these are performed properly and in accordance with international standards through the OTGA virtual platform.</w:t>
      </w:r>
    </w:p>
    <w:p w14:paraId="40468F49" w14:textId="77777777" w:rsidR="007F0C84" w:rsidRPr="00241910" w:rsidRDefault="007F0C84" w:rsidP="007F0C84">
      <w:pPr>
        <w:autoSpaceDE w:val="0"/>
        <w:autoSpaceDN w:val="0"/>
        <w:adjustRightInd w:val="0"/>
        <w:jc w:val="both"/>
        <w:rPr>
          <w:sz w:val="20"/>
          <w:szCs w:val="20"/>
          <w:lang w:val="en-US"/>
        </w:rPr>
      </w:pPr>
    </w:p>
    <w:p w14:paraId="6DF3C5AC" w14:textId="77777777" w:rsidR="007F0C84" w:rsidRPr="002B0E71" w:rsidRDefault="007F0C84" w:rsidP="007F0C84">
      <w:pPr>
        <w:jc w:val="both"/>
        <w:rPr>
          <w:b/>
          <w:bCs/>
        </w:rPr>
      </w:pPr>
      <w:r>
        <w:rPr>
          <w:b/>
        </w:rPr>
        <w:t>References</w:t>
      </w:r>
    </w:p>
    <w:p w14:paraId="3BF355BD" w14:textId="77777777" w:rsidR="007F0C84" w:rsidRDefault="007F0C84" w:rsidP="007F0C84">
      <w:pPr>
        <w:jc w:val="both"/>
        <w:rPr>
          <w:i/>
          <w:iCs/>
        </w:rPr>
      </w:pPr>
      <w:r>
        <w:rPr>
          <w:i/>
        </w:rPr>
        <w:t xml:space="preserve">Manual de </w:t>
      </w:r>
      <w:proofErr w:type="spellStart"/>
      <w:r>
        <w:rPr>
          <w:i/>
        </w:rPr>
        <w:t>Observador</w:t>
      </w:r>
      <w:proofErr w:type="spellEnd"/>
      <w:r>
        <w:rPr>
          <w:i/>
        </w:rPr>
        <w:t xml:space="preserve"> de </w:t>
      </w:r>
      <w:proofErr w:type="spellStart"/>
      <w:r>
        <w:rPr>
          <w:i/>
        </w:rPr>
        <w:t>Hielo</w:t>
      </w:r>
      <w:proofErr w:type="spellEnd"/>
      <w:r>
        <w:rPr>
          <w:i/>
        </w:rPr>
        <w:t xml:space="preserve"> Marino y </w:t>
      </w:r>
      <w:proofErr w:type="spellStart"/>
      <w:r>
        <w:rPr>
          <w:i/>
        </w:rPr>
        <w:t>Témpanos</w:t>
      </w:r>
      <w:proofErr w:type="spellEnd"/>
      <w:r>
        <w:rPr>
          <w:i/>
        </w:rPr>
        <w:t xml:space="preserve"> – H419 [Sea Ice and Iceberg Observer’s Manual] (2020). 1st Edition. Naval Hydrography </w:t>
      </w:r>
      <w:proofErr w:type="spellStart"/>
      <w:r>
        <w:rPr>
          <w:i/>
        </w:rPr>
        <w:t>Service.</w:t>
      </w:r>
      <w:hyperlink r:id="rId12" w:history="1">
        <w:r>
          <w:rPr>
            <w:rStyle w:val="Hyperlink"/>
            <w:i/>
          </w:rPr>
          <w:t>http</w:t>
        </w:r>
        <w:proofErr w:type="spellEnd"/>
        <w:r>
          <w:rPr>
            <w:rStyle w:val="Hyperlink"/>
            <w:i/>
          </w:rPr>
          <w:t>://www.hidro.gov.ar/Download/Download.asp</w:t>
        </w:r>
      </w:hyperlink>
      <w:r>
        <w:rPr>
          <w:i/>
        </w:rPr>
        <w:t xml:space="preserve"> </w:t>
      </w:r>
    </w:p>
    <w:p w14:paraId="012D100D" w14:textId="77777777" w:rsidR="007F0C84" w:rsidRPr="00241910" w:rsidRDefault="007F0C84" w:rsidP="007F0C84">
      <w:pPr>
        <w:jc w:val="both"/>
        <w:rPr>
          <w:i/>
          <w:iCs/>
        </w:rPr>
      </w:pPr>
    </w:p>
    <w:p w14:paraId="38CD74C7" w14:textId="77777777" w:rsidR="007F0C84" w:rsidRPr="002B0E71" w:rsidRDefault="007F0C84" w:rsidP="007F0C84">
      <w:pPr>
        <w:jc w:val="both"/>
        <w:rPr>
          <w:i/>
          <w:iCs/>
          <w:color w:val="FF0000"/>
        </w:rPr>
      </w:pPr>
      <w:proofErr w:type="spellStart"/>
      <w:r>
        <w:rPr>
          <w:i/>
        </w:rPr>
        <w:t>OceanTeacher</w:t>
      </w:r>
      <w:proofErr w:type="spellEnd"/>
      <w:r>
        <w:rPr>
          <w:i/>
        </w:rPr>
        <w:t xml:space="preserve"> Global Academy (OTGA) </w:t>
      </w:r>
      <w:hyperlink r:id="rId13" w:history="1">
        <w:r>
          <w:rPr>
            <w:rStyle w:val="Hyperlink"/>
            <w:i/>
          </w:rPr>
          <w:t>https://classroom.oceanteacher.org/</w:t>
        </w:r>
      </w:hyperlink>
      <w:r>
        <w:rPr>
          <w:i/>
          <w:color w:val="FF0000"/>
        </w:rPr>
        <w:t xml:space="preserve"> </w:t>
      </w:r>
      <w:proofErr w:type="spellStart"/>
      <w:r>
        <w:rPr>
          <w:i/>
        </w:rPr>
        <w:t>Curso</w:t>
      </w:r>
      <w:proofErr w:type="spellEnd"/>
      <w:r>
        <w:rPr>
          <w:i/>
        </w:rPr>
        <w:t xml:space="preserve"> de </w:t>
      </w:r>
      <w:proofErr w:type="spellStart"/>
      <w:r>
        <w:rPr>
          <w:i/>
        </w:rPr>
        <w:t>Observador</w:t>
      </w:r>
      <w:proofErr w:type="spellEnd"/>
      <w:r>
        <w:rPr>
          <w:i/>
        </w:rPr>
        <w:t xml:space="preserve"> de </w:t>
      </w:r>
      <w:proofErr w:type="spellStart"/>
      <w:r>
        <w:rPr>
          <w:i/>
        </w:rPr>
        <w:t>Hielo</w:t>
      </w:r>
      <w:proofErr w:type="spellEnd"/>
      <w:r>
        <w:rPr>
          <w:i/>
        </w:rPr>
        <w:t xml:space="preserve"> Marino y </w:t>
      </w:r>
      <w:proofErr w:type="spellStart"/>
      <w:r>
        <w:rPr>
          <w:i/>
        </w:rPr>
        <w:t>Témpanos</w:t>
      </w:r>
      <w:proofErr w:type="spellEnd"/>
      <w:r>
        <w:rPr>
          <w:i/>
        </w:rPr>
        <w:t xml:space="preserve"> [Sea Ice and Iceberg Observer Course] – 2022 Edition: </w:t>
      </w:r>
      <w:hyperlink r:id="rId14" w:history="1">
        <w:r>
          <w:rPr>
            <w:rStyle w:val="Hyperlink"/>
            <w:i/>
          </w:rPr>
          <w:t>https://oceanexpert.org/event/3542</w:t>
        </w:r>
      </w:hyperlink>
    </w:p>
    <w:p w14:paraId="3D05B6A8" w14:textId="77777777" w:rsidR="007F0C84" w:rsidRPr="00241910" w:rsidRDefault="007F0C84" w:rsidP="007F0C84">
      <w:pPr>
        <w:jc w:val="both"/>
        <w:rPr>
          <w:i/>
          <w:iCs/>
        </w:rPr>
      </w:pPr>
    </w:p>
    <w:p w14:paraId="1F3D3176" w14:textId="77777777" w:rsidR="007F0C84" w:rsidRPr="00241910" w:rsidRDefault="007F0C84" w:rsidP="007F0C84">
      <w:pPr>
        <w:jc w:val="both"/>
        <w:rPr>
          <w:i/>
          <w:iCs/>
          <w:lang w:val="es-ES"/>
        </w:rPr>
      </w:pPr>
      <w:proofErr w:type="spellStart"/>
      <w:r>
        <w:rPr>
          <w:i/>
        </w:rPr>
        <w:lastRenderedPageBreak/>
        <w:t>Scardilli</w:t>
      </w:r>
      <w:proofErr w:type="spellEnd"/>
      <w:r>
        <w:rPr>
          <w:i/>
        </w:rPr>
        <w:t xml:space="preserve">, A., </w:t>
      </w:r>
      <w:proofErr w:type="spellStart"/>
      <w:r>
        <w:rPr>
          <w:i/>
        </w:rPr>
        <w:t>Salvó</w:t>
      </w:r>
      <w:proofErr w:type="spellEnd"/>
      <w:r>
        <w:rPr>
          <w:i/>
        </w:rPr>
        <w:t xml:space="preserve">, C. and Gomez </w:t>
      </w:r>
      <w:proofErr w:type="spellStart"/>
      <w:r>
        <w:rPr>
          <w:i/>
        </w:rPr>
        <w:t>Saez</w:t>
      </w:r>
      <w:proofErr w:type="spellEnd"/>
      <w:r>
        <w:rPr>
          <w:i/>
        </w:rPr>
        <w:t xml:space="preserve">, L. (2022) Southern Ocean ice charts at the Argentine Naval Hydrographic Service and their impact on safety of navigation. </w:t>
      </w:r>
      <w:r w:rsidRPr="00241910">
        <w:rPr>
          <w:i/>
          <w:lang w:val="es-ES"/>
        </w:rPr>
        <w:t>Front. Mar. Sci. 9:971894. Doi: 10.3389/fmars.2022.971894</w:t>
      </w:r>
    </w:p>
    <w:p w14:paraId="099F3AF6" w14:textId="77777777" w:rsidR="007F0C84" w:rsidRDefault="007F0C84" w:rsidP="007F0C84">
      <w:pPr>
        <w:jc w:val="both"/>
        <w:rPr>
          <w:i/>
          <w:iCs/>
          <w:lang w:val="es-MX"/>
        </w:rPr>
      </w:pPr>
    </w:p>
    <w:p w14:paraId="3CA5A098" w14:textId="77777777" w:rsidR="007F0C84" w:rsidRPr="002B0E71" w:rsidRDefault="007F0C84" w:rsidP="007F0C84">
      <w:pPr>
        <w:jc w:val="both"/>
        <w:rPr>
          <w:i/>
          <w:iCs/>
        </w:rPr>
      </w:pPr>
      <w:r w:rsidRPr="00241910">
        <w:rPr>
          <w:i/>
          <w:lang w:val="es-ES"/>
        </w:rPr>
        <w:t xml:space="preserve">Sistema de Información Glaciológica C (SIGLAC-C). </w:t>
      </w:r>
      <w:r>
        <w:rPr>
          <w:i/>
        </w:rPr>
        <w:t xml:space="preserve">Naval Hydrography </w:t>
      </w:r>
      <w:proofErr w:type="spellStart"/>
      <w:r>
        <w:rPr>
          <w:i/>
        </w:rPr>
        <w:t>Service.</w:t>
      </w:r>
      <w:hyperlink r:id="rId15" w:history="1">
        <w:r>
          <w:rPr>
            <w:rStyle w:val="Hyperlink"/>
            <w:i/>
          </w:rPr>
          <w:t>http</w:t>
        </w:r>
        <w:proofErr w:type="spellEnd"/>
        <w:r>
          <w:rPr>
            <w:rStyle w:val="Hyperlink"/>
            <w:i/>
          </w:rPr>
          <w:t>://www.hidro.gov.ar/Download/Download.asp</w:t>
        </w:r>
      </w:hyperlink>
      <w:r>
        <w:rPr>
          <w:i/>
        </w:rPr>
        <w:t xml:space="preserve"> </w:t>
      </w:r>
    </w:p>
    <w:p w14:paraId="390ECE05" w14:textId="77777777" w:rsidR="007F0C84" w:rsidRPr="00241910" w:rsidRDefault="007F0C84" w:rsidP="007F0C84">
      <w:pPr>
        <w:jc w:val="both"/>
        <w:rPr>
          <w:i/>
          <w:iCs/>
          <w:lang w:val="en-US"/>
        </w:rPr>
      </w:pPr>
    </w:p>
    <w:p w14:paraId="080277C0" w14:textId="77777777" w:rsidR="007F0C84" w:rsidRPr="002B0E71" w:rsidRDefault="007F0C84" w:rsidP="007F0C84">
      <w:pPr>
        <w:jc w:val="both"/>
        <w:rPr>
          <w:i/>
          <w:iCs/>
        </w:rPr>
      </w:pPr>
      <w:r>
        <w:rPr>
          <w:i/>
        </w:rPr>
        <w:t>World Meteorological Organization (2014a) Chart Colour Code Standard (WMO 1215). https://library.wmo.int/index.php?lvl=notice_display&amp;id=11296#.YppAa3bMI2w.</w:t>
      </w:r>
    </w:p>
    <w:p w14:paraId="61B8C3BC" w14:textId="77777777" w:rsidR="007F0C84" w:rsidRDefault="007F0C84" w:rsidP="007F0C84">
      <w:pPr>
        <w:jc w:val="both"/>
        <w:rPr>
          <w:i/>
          <w:iCs/>
        </w:rPr>
      </w:pPr>
    </w:p>
    <w:p w14:paraId="0839EBFA" w14:textId="77777777" w:rsidR="007F0C84" w:rsidRPr="002B0E71" w:rsidRDefault="007F0C84" w:rsidP="007F0C84">
      <w:pPr>
        <w:jc w:val="both"/>
        <w:rPr>
          <w:i/>
          <w:iCs/>
        </w:rPr>
      </w:pPr>
      <w:r>
        <w:rPr>
          <w:i/>
        </w:rPr>
        <w:t xml:space="preserve">World Meteorological Organization (2014b) Sea Ice Nomenclature (WMO 259, Volume I – Terminology and Codes, Volume II – Illustrated Glossary and Volume III – International System of Sea-Ice Symbols). </w:t>
      </w:r>
    </w:p>
    <w:p w14:paraId="311E7FC8" w14:textId="77777777" w:rsidR="007F0C84" w:rsidRPr="002B0E71" w:rsidRDefault="007F0C84" w:rsidP="007F0C84">
      <w:pPr>
        <w:jc w:val="both"/>
        <w:rPr>
          <w:i/>
          <w:iCs/>
        </w:rPr>
      </w:pPr>
      <w:r>
        <w:rPr>
          <w:i/>
        </w:rPr>
        <w:t>https://library.wmo.int/index.php?lvl=notice_display&amp;id=6772#.YpoywXbMI2w.</w:t>
      </w:r>
    </w:p>
    <w:p w14:paraId="7A18EAB4" w14:textId="77777777" w:rsidR="007F0C84" w:rsidRDefault="007F0C84" w:rsidP="007F0C84">
      <w:pPr>
        <w:jc w:val="both"/>
        <w:rPr>
          <w:i/>
          <w:iCs/>
        </w:rPr>
      </w:pPr>
    </w:p>
    <w:p w14:paraId="28F0ED6F" w14:textId="77777777" w:rsidR="007F0C84" w:rsidRPr="002B0E71" w:rsidRDefault="007F0C84" w:rsidP="007F0C84">
      <w:pPr>
        <w:jc w:val="both"/>
      </w:pPr>
      <w:r>
        <w:rPr>
          <w:i/>
        </w:rPr>
        <w:t>World Meteorological Organization (2021) Sea-ice Information and Services (WMO 574). https://library.wmo.int/index.php?lvl=notice_display&amp;id=7542#.YpodqHbMI2w.</w:t>
      </w:r>
    </w:p>
    <w:p w14:paraId="1F8CAFDA" w14:textId="77777777" w:rsidR="004B4A60" w:rsidRPr="007F0C84" w:rsidRDefault="00241910" w:rsidP="00952E9F"/>
    <w:sectPr w:rsidR="004B4A60" w:rsidRPr="007F0C84" w:rsidSect="00E02E88">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8C3D" w14:textId="77777777" w:rsidR="00D15397" w:rsidRDefault="007F0C84">
      <w:r>
        <w:separator/>
      </w:r>
    </w:p>
  </w:endnote>
  <w:endnote w:type="continuationSeparator" w:id="0">
    <w:p w14:paraId="4FC46EA6" w14:textId="77777777" w:rsidR="00D15397" w:rsidRDefault="007F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36A3" w14:textId="77777777" w:rsidR="00FA0B9F" w:rsidRDefault="007F0C84" w:rsidP="00CF5C82">
    <w:pPr>
      <w:framePr w:wrap="around" w:vAnchor="text" w:hAnchor="margin" w:xAlign="right" w:y="1"/>
    </w:pPr>
    <w:r>
      <w:fldChar w:fldCharType="begin"/>
    </w:r>
    <w:r>
      <w:instrText xml:space="preserve">PAGE  </w:instrText>
    </w:r>
    <w:r w:rsidR="00241910">
      <w:fldChar w:fldCharType="separate"/>
    </w:r>
    <w:r>
      <w:fldChar w:fldCharType="end"/>
    </w:r>
  </w:p>
  <w:p w14:paraId="74F7D17F" w14:textId="77777777" w:rsidR="00FA0B9F" w:rsidRDefault="0024191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C57A" w14:textId="77777777" w:rsidR="00FA0B9F" w:rsidRDefault="007F0C84" w:rsidP="00CF5C82">
    <w:pPr>
      <w:framePr w:wrap="around" w:vAnchor="text" w:hAnchor="margin" w:xAlign="right" w:y="1"/>
    </w:pPr>
    <w:r>
      <w:fldChar w:fldCharType="begin"/>
    </w:r>
    <w:r>
      <w:instrText xml:space="preserve">PAGE  </w:instrText>
    </w:r>
    <w:r>
      <w:fldChar w:fldCharType="separate"/>
    </w:r>
    <w:r>
      <w:t>1</w:t>
    </w:r>
    <w:r>
      <w:fldChar w:fldCharType="end"/>
    </w:r>
  </w:p>
  <w:p w14:paraId="5FB6BFD2" w14:textId="244963D6" w:rsidR="00FA0B9F" w:rsidRDefault="00241910" w:rsidP="007F0C8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C2B7" w14:textId="77777777" w:rsidR="00E311C9" w:rsidRDefault="007F0C84" w:rsidP="00CF5C82">
    <w:pPr>
      <w:framePr w:wrap="around" w:vAnchor="text" w:hAnchor="margin" w:xAlign="right" w:y="1"/>
    </w:pPr>
    <w:r>
      <w:fldChar w:fldCharType="begin"/>
    </w:r>
    <w:r>
      <w:instrText xml:space="preserve">PAGE  </w:instrText>
    </w:r>
    <w:r>
      <w:fldChar w:fldCharType="separate"/>
    </w:r>
    <w:r>
      <w:t>5</w:t>
    </w:r>
    <w:r>
      <w:fldChar w:fldCharType="end"/>
    </w:r>
  </w:p>
  <w:p w14:paraId="42EF8EDE" w14:textId="77777777" w:rsidR="00E311C9" w:rsidRDefault="0024191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F843" w14:textId="77777777" w:rsidR="00D15397" w:rsidRDefault="007F0C84">
      <w:r>
        <w:separator/>
      </w:r>
    </w:p>
  </w:footnote>
  <w:footnote w:type="continuationSeparator" w:id="0">
    <w:p w14:paraId="5558AF73" w14:textId="77777777" w:rsidR="00D15397" w:rsidRDefault="007F0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8144B8" w14:paraId="5DD96E98" w14:textId="77777777" w:rsidTr="00AC010C">
      <w:trPr>
        <w:trHeight w:val="354"/>
        <w:jc w:val="center"/>
      </w:trPr>
      <w:tc>
        <w:tcPr>
          <w:tcW w:w="5672" w:type="dxa"/>
        </w:tcPr>
        <w:p w14:paraId="5B20933E" w14:textId="77777777" w:rsidR="00C449BA" w:rsidRDefault="00241910" w:rsidP="002A07BC"/>
      </w:tc>
      <w:tc>
        <w:tcPr>
          <w:tcW w:w="4070" w:type="dxa"/>
          <w:gridSpan w:val="2"/>
        </w:tcPr>
        <w:p w14:paraId="0BBDA90A" w14:textId="77777777" w:rsidR="00C449BA" w:rsidRPr="000A4CD7" w:rsidRDefault="007F0C84" w:rsidP="002A07BC">
          <w:pPr>
            <w:jc w:val="right"/>
            <w:rPr>
              <w:b/>
              <w:sz w:val="32"/>
              <w:szCs w:val="32"/>
            </w:rPr>
          </w:pPr>
          <w:bookmarkStart w:id="2" w:name="type"/>
          <w:r>
            <w:rPr>
              <w:b/>
              <w:sz w:val="32"/>
            </w:rPr>
            <w:t>WP</w:t>
          </w:r>
          <w:bookmarkEnd w:id="2"/>
        </w:p>
      </w:tc>
      <w:tc>
        <w:tcPr>
          <w:tcW w:w="1600" w:type="dxa"/>
          <w:gridSpan w:val="2"/>
        </w:tcPr>
        <w:p w14:paraId="060A8D3F" w14:textId="77777777" w:rsidR="00C449BA" w:rsidRPr="000A4CD7" w:rsidRDefault="007F0C84" w:rsidP="002A07BC">
          <w:pPr>
            <w:rPr>
              <w:b/>
              <w:sz w:val="32"/>
              <w:szCs w:val="32"/>
            </w:rPr>
          </w:pPr>
          <w:bookmarkStart w:id="3" w:name="number"/>
          <w:r>
            <w:rPr>
              <w:b/>
              <w:sz w:val="32"/>
            </w:rPr>
            <w:t>56</w:t>
          </w:r>
          <w:bookmarkEnd w:id="3"/>
        </w:p>
      </w:tc>
    </w:tr>
    <w:tr w:rsidR="008144B8" w14:paraId="4293C521" w14:textId="77777777" w:rsidTr="00AC010C">
      <w:trPr>
        <w:trHeight w:val="2244"/>
        <w:jc w:val="center"/>
      </w:trPr>
      <w:tc>
        <w:tcPr>
          <w:tcW w:w="5672" w:type="dxa"/>
        </w:tcPr>
        <w:p w14:paraId="7974ACB5" w14:textId="77777777" w:rsidR="002169D4" w:rsidRPr="00550FDE" w:rsidRDefault="007F0C84" w:rsidP="002A07BC">
          <w:pPr>
            <w:rPr>
              <w:b/>
              <w:sz w:val="28"/>
              <w:szCs w:val="28"/>
            </w:rPr>
          </w:pPr>
          <w:r>
            <w:rPr>
              <w:noProof/>
            </w:rPr>
            <w:drawing>
              <wp:inline distT="0" distB="0" distL="0" distR="0" wp14:anchorId="64847C64" wp14:editId="49A502FC">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9343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0C12A6C0" w14:textId="77777777" w:rsidR="002169D4" w:rsidRPr="002169D4" w:rsidRDefault="007F0C84" w:rsidP="002169D4">
          <w:pPr>
            <w:jc w:val="right"/>
            <w:rPr>
              <w:sz w:val="144"/>
              <w:szCs w:val="144"/>
            </w:rPr>
          </w:pPr>
          <w:r>
            <w:rPr>
              <w:sz w:val="144"/>
            </w:rPr>
            <w:t>ENG</w:t>
          </w:r>
        </w:p>
      </w:tc>
    </w:tr>
    <w:tr w:rsidR="008144B8" w14:paraId="2ACABCB8" w14:textId="77777777" w:rsidTr="00AC010C">
      <w:trPr>
        <w:trHeight w:val="420"/>
        <w:jc w:val="center"/>
      </w:trPr>
      <w:tc>
        <w:tcPr>
          <w:tcW w:w="8500" w:type="dxa"/>
          <w:gridSpan w:val="2"/>
        </w:tcPr>
        <w:p w14:paraId="39FE515D" w14:textId="77777777" w:rsidR="000A4CD7" w:rsidRDefault="007F0C84" w:rsidP="008D2157">
          <w:pPr>
            <w:jc w:val="right"/>
          </w:pPr>
          <w:r>
            <w:t>Agenda Item:</w:t>
          </w:r>
        </w:p>
      </w:tc>
      <w:tc>
        <w:tcPr>
          <w:tcW w:w="2233" w:type="dxa"/>
          <w:gridSpan w:val="2"/>
        </w:tcPr>
        <w:p w14:paraId="6C843679" w14:textId="77777777" w:rsidR="000A4CD7" w:rsidRDefault="007F0C84" w:rsidP="008D2157">
          <w:pPr>
            <w:jc w:val="right"/>
          </w:pPr>
          <w:bookmarkStart w:id="4" w:name="agenda"/>
          <w:r>
            <w:t>ATCM 13</w:t>
          </w:r>
          <w:bookmarkEnd w:id="4"/>
        </w:p>
      </w:tc>
      <w:tc>
        <w:tcPr>
          <w:tcW w:w="609" w:type="dxa"/>
        </w:tcPr>
        <w:p w14:paraId="272AAA0F" w14:textId="77777777" w:rsidR="000A4CD7" w:rsidRDefault="00241910" w:rsidP="00387A65">
          <w:pPr>
            <w:jc w:val="right"/>
          </w:pPr>
        </w:p>
      </w:tc>
    </w:tr>
    <w:tr w:rsidR="008144B8" w14:paraId="1C14DD91" w14:textId="77777777" w:rsidTr="00AC010C">
      <w:trPr>
        <w:trHeight w:val="408"/>
        <w:jc w:val="center"/>
      </w:trPr>
      <w:tc>
        <w:tcPr>
          <w:tcW w:w="8500" w:type="dxa"/>
          <w:gridSpan w:val="2"/>
        </w:tcPr>
        <w:p w14:paraId="3EB6AC52" w14:textId="77777777" w:rsidR="000A4CD7" w:rsidRDefault="007F0C84" w:rsidP="008D2157">
          <w:pPr>
            <w:jc w:val="right"/>
          </w:pPr>
          <w:r>
            <w:t>Submitted by:</w:t>
          </w:r>
        </w:p>
      </w:tc>
      <w:tc>
        <w:tcPr>
          <w:tcW w:w="2233" w:type="dxa"/>
          <w:gridSpan w:val="2"/>
        </w:tcPr>
        <w:p w14:paraId="00FD9897" w14:textId="77777777" w:rsidR="000A4CD7" w:rsidRDefault="007F0C84" w:rsidP="008D2157">
          <w:pPr>
            <w:jc w:val="right"/>
          </w:pPr>
          <w:bookmarkStart w:id="5" w:name="party"/>
          <w:r>
            <w:t>Argentina</w:t>
          </w:r>
          <w:bookmarkEnd w:id="5"/>
        </w:p>
      </w:tc>
      <w:tc>
        <w:tcPr>
          <w:tcW w:w="609" w:type="dxa"/>
        </w:tcPr>
        <w:p w14:paraId="1BD38152" w14:textId="77777777" w:rsidR="000A4CD7" w:rsidRDefault="00241910" w:rsidP="00387A65">
          <w:pPr>
            <w:jc w:val="right"/>
          </w:pPr>
        </w:p>
      </w:tc>
    </w:tr>
    <w:tr w:rsidR="008144B8" w14:paraId="19946783" w14:textId="77777777" w:rsidTr="00AC010C">
      <w:trPr>
        <w:trHeight w:val="420"/>
        <w:jc w:val="center"/>
      </w:trPr>
      <w:tc>
        <w:tcPr>
          <w:tcW w:w="8500" w:type="dxa"/>
          <w:gridSpan w:val="2"/>
        </w:tcPr>
        <w:p w14:paraId="6784BA2F" w14:textId="77777777" w:rsidR="000A4CD7" w:rsidRDefault="007F0C84" w:rsidP="008D2157">
          <w:pPr>
            <w:jc w:val="right"/>
          </w:pPr>
          <w:r>
            <w:t>Original:</w:t>
          </w:r>
        </w:p>
      </w:tc>
      <w:tc>
        <w:tcPr>
          <w:tcW w:w="2233" w:type="dxa"/>
          <w:gridSpan w:val="2"/>
        </w:tcPr>
        <w:p w14:paraId="69E78F9A" w14:textId="77777777" w:rsidR="000A4CD7" w:rsidRDefault="007F0C84" w:rsidP="008D2157">
          <w:pPr>
            <w:jc w:val="right"/>
          </w:pPr>
          <w:bookmarkStart w:id="6" w:name="language"/>
          <w:r>
            <w:t>Spanish</w:t>
          </w:r>
          <w:bookmarkEnd w:id="6"/>
        </w:p>
      </w:tc>
      <w:tc>
        <w:tcPr>
          <w:tcW w:w="609" w:type="dxa"/>
        </w:tcPr>
        <w:p w14:paraId="737CE61A" w14:textId="77777777" w:rsidR="000A4CD7" w:rsidRDefault="00241910" w:rsidP="00387A65">
          <w:pPr>
            <w:jc w:val="right"/>
          </w:pPr>
        </w:p>
      </w:tc>
    </w:tr>
    <w:tr w:rsidR="008144B8" w14:paraId="665289A5" w14:textId="77777777" w:rsidTr="00AC010C">
      <w:trPr>
        <w:trHeight w:val="420"/>
        <w:jc w:val="center"/>
      </w:trPr>
      <w:tc>
        <w:tcPr>
          <w:tcW w:w="8500" w:type="dxa"/>
          <w:gridSpan w:val="2"/>
        </w:tcPr>
        <w:p w14:paraId="6D53CE00" w14:textId="77777777" w:rsidR="00965EDE" w:rsidRDefault="007F0C84" w:rsidP="008D2157">
          <w:pPr>
            <w:jc w:val="right"/>
          </w:pPr>
          <w:r>
            <w:t>Submitted:</w:t>
          </w:r>
        </w:p>
      </w:tc>
      <w:tc>
        <w:tcPr>
          <w:tcW w:w="2233" w:type="dxa"/>
          <w:gridSpan w:val="2"/>
        </w:tcPr>
        <w:p w14:paraId="4312C5CB" w14:textId="77777777" w:rsidR="00965EDE" w:rsidRDefault="007F0C84" w:rsidP="008D2157">
          <w:pPr>
            <w:jc w:val="right"/>
          </w:pPr>
          <w:bookmarkStart w:id="7" w:name="date_submission"/>
          <w:r>
            <w:t>14 Apr 2023</w:t>
          </w:r>
          <w:bookmarkEnd w:id="7"/>
        </w:p>
      </w:tc>
      <w:tc>
        <w:tcPr>
          <w:tcW w:w="609" w:type="dxa"/>
        </w:tcPr>
        <w:p w14:paraId="423AD6E3" w14:textId="77777777" w:rsidR="00965EDE" w:rsidRDefault="00241910" w:rsidP="00387A65">
          <w:pPr>
            <w:jc w:val="right"/>
          </w:pPr>
        </w:p>
      </w:tc>
    </w:tr>
  </w:tbl>
  <w:p w14:paraId="07776E37" w14:textId="77777777" w:rsidR="00AE5DD0" w:rsidRDefault="002419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2687" w14:textId="77777777" w:rsidR="00241910" w:rsidRDefault="00241910"/>
  <w:tbl>
    <w:tblPr>
      <w:tblW w:w="9512" w:type="dxa"/>
      <w:jc w:val="center"/>
      <w:tblLook w:val="01E0" w:firstRow="1" w:lastRow="1" w:firstColumn="1" w:lastColumn="1" w:noHBand="0" w:noVBand="0"/>
    </w:tblPr>
    <w:tblGrid>
      <w:gridCol w:w="9512"/>
    </w:tblGrid>
    <w:tr w:rsidR="00241910" w14:paraId="52EE8307" w14:textId="77777777" w:rsidTr="00241910">
      <w:trPr>
        <w:trHeight w:val="354"/>
        <w:jc w:val="center"/>
      </w:trPr>
      <w:tc>
        <w:tcPr>
          <w:tcW w:w="9512" w:type="dxa"/>
        </w:tcPr>
        <w:p w14:paraId="0092E2A9" w14:textId="77777777" w:rsidR="00241910" w:rsidRDefault="00241910" w:rsidP="00C26F2D">
          <w:pPr>
            <w:jc w:val="right"/>
            <w:rPr>
              <w:b/>
              <w:sz w:val="32"/>
            </w:rPr>
          </w:pPr>
          <w:r>
            <w:rPr>
              <w:b/>
              <w:sz w:val="32"/>
            </w:rPr>
            <w:t>WP 56</w:t>
          </w:r>
        </w:p>
        <w:p w14:paraId="3DD1807C" w14:textId="600A274F" w:rsidR="00241910" w:rsidRPr="000A4CD7" w:rsidRDefault="00241910" w:rsidP="00241910">
          <w:pPr>
            <w:jc w:val="center"/>
            <w:rPr>
              <w:b/>
              <w:sz w:val="32"/>
              <w:szCs w:val="32"/>
            </w:rPr>
          </w:pPr>
        </w:p>
      </w:tc>
    </w:tr>
  </w:tbl>
  <w:p w14:paraId="23257D76" w14:textId="6BB9DC43" w:rsidR="00AE5DD0" w:rsidRDefault="007F0C84" w:rsidP="00BB475B">
    <w:pPr>
      <w:tabs>
        <w:tab w:val="left" w:pos="11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E54D82A">
      <w:start w:val="1"/>
      <w:numFmt w:val="bullet"/>
      <w:pStyle w:val="ATSBullet1"/>
      <w:lvlText w:val=""/>
      <w:lvlJc w:val="left"/>
      <w:pPr>
        <w:tabs>
          <w:tab w:val="num" w:pos="360"/>
        </w:tabs>
        <w:ind w:left="360" w:hanging="360"/>
      </w:pPr>
      <w:rPr>
        <w:rFonts w:ascii="Symbol" w:hAnsi="Symbol" w:hint="default"/>
        <w:color w:val="auto"/>
      </w:rPr>
    </w:lvl>
    <w:lvl w:ilvl="1" w:tplc="7BB67A5E" w:tentative="1">
      <w:start w:val="1"/>
      <w:numFmt w:val="bullet"/>
      <w:lvlText w:val="o"/>
      <w:lvlJc w:val="left"/>
      <w:pPr>
        <w:tabs>
          <w:tab w:val="num" w:pos="1440"/>
        </w:tabs>
        <w:ind w:left="1440" w:hanging="360"/>
      </w:pPr>
      <w:rPr>
        <w:rFonts w:ascii="Courier New" w:hAnsi="Courier New" w:cs="Courier New" w:hint="default"/>
      </w:rPr>
    </w:lvl>
    <w:lvl w:ilvl="2" w:tplc="FC4CBA6E" w:tentative="1">
      <w:start w:val="1"/>
      <w:numFmt w:val="bullet"/>
      <w:lvlText w:val=""/>
      <w:lvlJc w:val="left"/>
      <w:pPr>
        <w:tabs>
          <w:tab w:val="num" w:pos="2160"/>
        </w:tabs>
        <w:ind w:left="2160" w:hanging="360"/>
      </w:pPr>
      <w:rPr>
        <w:rFonts w:ascii="Wingdings" w:hAnsi="Wingdings" w:hint="default"/>
      </w:rPr>
    </w:lvl>
    <w:lvl w:ilvl="3" w:tplc="86169634" w:tentative="1">
      <w:start w:val="1"/>
      <w:numFmt w:val="bullet"/>
      <w:lvlText w:val=""/>
      <w:lvlJc w:val="left"/>
      <w:pPr>
        <w:tabs>
          <w:tab w:val="num" w:pos="2880"/>
        </w:tabs>
        <w:ind w:left="2880" w:hanging="360"/>
      </w:pPr>
      <w:rPr>
        <w:rFonts w:ascii="Symbol" w:hAnsi="Symbol" w:hint="default"/>
      </w:rPr>
    </w:lvl>
    <w:lvl w:ilvl="4" w:tplc="B31CC054" w:tentative="1">
      <w:start w:val="1"/>
      <w:numFmt w:val="bullet"/>
      <w:lvlText w:val="o"/>
      <w:lvlJc w:val="left"/>
      <w:pPr>
        <w:tabs>
          <w:tab w:val="num" w:pos="3600"/>
        </w:tabs>
        <w:ind w:left="3600" w:hanging="360"/>
      </w:pPr>
      <w:rPr>
        <w:rFonts w:ascii="Courier New" w:hAnsi="Courier New" w:cs="Courier New" w:hint="default"/>
      </w:rPr>
    </w:lvl>
    <w:lvl w:ilvl="5" w:tplc="E6BA1776" w:tentative="1">
      <w:start w:val="1"/>
      <w:numFmt w:val="bullet"/>
      <w:lvlText w:val=""/>
      <w:lvlJc w:val="left"/>
      <w:pPr>
        <w:tabs>
          <w:tab w:val="num" w:pos="4320"/>
        </w:tabs>
        <w:ind w:left="4320" w:hanging="360"/>
      </w:pPr>
      <w:rPr>
        <w:rFonts w:ascii="Wingdings" w:hAnsi="Wingdings" w:hint="default"/>
      </w:rPr>
    </w:lvl>
    <w:lvl w:ilvl="6" w:tplc="70260568" w:tentative="1">
      <w:start w:val="1"/>
      <w:numFmt w:val="bullet"/>
      <w:lvlText w:val=""/>
      <w:lvlJc w:val="left"/>
      <w:pPr>
        <w:tabs>
          <w:tab w:val="num" w:pos="5040"/>
        </w:tabs>
        <w:ind w:left="5040" w:hanging="360"/>
      </w:pPr>
      <w:rPr>
        <w:rFonts w:ascii="Symbol" w:hAnsi="Symbol" w:hint="default"/>
      </w:rPr>
    </w:lvl>
    <w:lvl w:ilvl="7" w:tplc="E4B8EF24" w:tentative="1">
      <w:start w:val="1"/>
      <w:numFmt w:val="bullet"/>
      <w:lvlText w:val="o"/>
      <w:lvlJc w:val="left"/>
      <w:pPr>
        <w:tabs>
          <w:tab w:val="num" w:pos="5760"/>
        </w:tabs>
        <w:ind w:left="5760" w:hanging="360"/>
      </w:pPr>
      <w:rPr>
        <w:rFonts w:ascii="Courier New" w:hAnsi="Courier New" w:cs="Courier New" w:hint="default"/>
      </w:rPr>
    </w:lvl>
    <w:lvl w:ilvl="8" w:tplc="B9E2A3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8B3A0C"/>
    <w:multiLevelType w:val="hybridMultilevel"/>
    <w:tmpl w:val="EF6821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D35C15"/>
    <w:multiLevelType w:val="hybridMultilevel"/>
    <w:tmpl w:val="A8A2E45C"/>
    <w:lvl w:ilvl="0" w:tplc="1D6E83BA">
      <w:start w:val="1"/>
      <w:numFmt w:val="decimal"/>
      <w:lvlText w:val="%1)"/>
      <w:lvlJc w:val="left"/>
      <w:pPr>
        <w:tabs>
          <w:tab w:val="num" w:pos="340"/>
        </w:tabs>
        <w:ind w:left="340" w:hanging="340"/>
      </w:pPr>
      <w:rPr>
        <w:rFonts w:hint="default"/>
      </w:rPr>
    </w:lvl>
    <w:lvl w:ilvl="1" w:tplc="01081164" w:tentative="1">
      <w:start w:val="1"/>
      <w:numFmt w:val="lowerLetter"/>
      <w:lvlText w:val="%2."/>
      <w:lvlJc w:val="left"/>
      <w:pPr>
        <w:tabs>
          <w:tab w:val="num" w:pos="1440"/>
        </w:tabs>
        <w:ind w:left="1440" w:hanging="360"/>
      </w:pPr>
    </w:lvl>
    <w:lvl w:ilvl="2" w:tplc="ABBA95EA" w:tentative="1">
      <w:start w:val="1"/>
      <w:numFmt w:val="lowerRoman"/>
      <w:lvlText w:val="%3."/>
      <w:lvlJc w:val="right"/>
      <w:pPr>
        <w:tabs>
          <w:tab w:val="num" w:pos="2160"/>
        </w:tabs>
        <w:ind w:left="2160" w:hanging="180"/>
      </w:pPr>
    </w:lvl>
    <w:lvl w:ilvl="3" w:tplc="DD186AAE" w:tentative="1">
      <w:start w:val="1"/>
      <w:numFmt w:val="decimal"/>
      <w:lvlText w:val="%4."/>
      <w:lvlJc w:val="left"/>
      <w:pPr>
        <w:tabs>
          <w:tab w:val="num" w:pos="2880"/>
        </w:tabs>
        <w:ind w:left="2880" w:hanging="360"/>
      </w:pPr>
    </w:lvl>
    <w:lvl w:ilvl="4" w:tplc="1D6623CA" w:tentative="1">
      <w:start w:val="1"/>
      <w:numFmt w:val="lowerLetter"/>
      <w:lvlText w:val="%5."/>
      <w:lvlJc w:val="left"/>
      <w:pPr>
        <w:tabs>
          <w:tab w:val="num" w:pos="3600"/>
        </w:tabs>
        <w:ind w:left="3600" w:hanging="360"/>
      </w:pPr>
    </w:lvl>
    <w:lvl w:ilvl="5" w:tplc="7C02C778" w:tentative="1">
      <w:start w:val="1"/>
      <w:numFmt w:val="lowerRoman"/>
      <w:lvlText w:val="%6."/>
      <w:lvlJc w:val="right"/>
      <w:pPr>
        <w:tabs>
          <w:tab w:val="num" w:pos="4320"/>
        </w:tabs>
        <w:ind w:left="4320" w:hanging="180"/>
      </w:pPr>
    </w:lvl>
    <w:lvl w:ilvl="6" w:tplc="02B2C3B0" w:tentative="1">
      <w:start w:val="1"/>
      <w:numFmt w:val="decimal"/>
      <w:lvlText w:val="%7."/>
      <w:lvlJc w:val="left"/>
      <w:pPr>
        <w:tabs>
          <w:tab w:val="num" w:pos="5040"/>
        </w:tabs>
        <w:ind w:left="5040" w:hanging="360"/>
      </w:pPr>
    </w:lvl>
    <w:lvl w:ilvl="7" w:tplc="B71C3C7C" w:tentative="1">
      <w:start w:val="1"/>
      <w:numFmt w:val="lowerLetter"/>
      <w:lvlText w:val="%8."/>
      <w:lvlJc w:val="left"/>
      <w:pPr>
        <w:tabs>
          <w:tab w:val="num" w:pos="5760"/>
        </w:tabs>
        <w:ind w:left="5760" w:hanging="360"/>
      </w:pPr>
    </w:lvl>
    <w:lvl w:ilvl="8" w:tplc="CFDA5CE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A0C632DA">
      <w:start w:val="1"/>
      <w:numFmt w:val="decimal"/>
      <w:lvlText w:val="%1."/>
      <w:lvlJc w:val="left"/>
      <w:pPr>
        <w:tabs>
          <w:tab w:val="num" w:pos="1057"/>
        </w:tabs>
        <w:ind w:left="1057" w:hanging="360"/>
      </w:pPr>
      <w:rPr>
        <w:rFonts w:hint="default"/>
      </w:rPr>
    </w:lvl>
    <w:lvl w:ilvl="1" w:tplc="64D490A2" w:tentative="1">
      <w:start w:val="1"/>
      <w:numFmt w:val="lowerLetter"/>
      <w:lvlText w:val="%2."/>
      <w:lvlJc w:val="left"/>
      <w:pPr>
        <w:tabs>
          <w:tab w:val="num" w:pos="2137"/>
        </w:tabs>
        <w:ind w:left="2137" w:hanging="360"/>
      </w:pPr>
    </w:lvl>
    <w:lvl w:ilvl="2" w:tplc="0EC0467A" w:tentative="1">
      <w:start w:val="1"/>
      <w:numFmt w:val="lowerRoman"/>
      <w:lvlText w:val="%3."/>
      <w:lvlJc w:val="right"/>
      <w:pPr>
        <w:tabs>
          <w:tab w:val="num" w:pos="2857"/>
        </w:tabs>
        <w:ind w:left="2857" w:hanging="180"/>
      </w:pPr>
    </w:lvl>
    <w:lvl w:ilvl="3" w:tplc="1096CCE8" w:tentative="1">
      <w:start w:val="1"/>
      <w:numFmt w:val="decimal"/>
      <w:lvlText w:val="%4."/>
      <w:lvlJc w:val="left"/>
      <w:pPr>
        <w:tabs>
          <w:tab w:val="num" w:pos="3577"/>
        </w:tabs>
        <w:ind w:left="3577" w:hanging="360"/>
      </w:pPr>
    </w:lvl>
    <w:lvl w:ilvl="4" w:tplc="80EC5C40" w:tentative="1">
      <w:start w:val="1"/>
      <w:numFmt w:val="lowerLetter"/>
      <w:lvlText w:val="%5."/>
      <w:lvlJc w:val="left"/>
      <w:pPr>
        <w:tabs>
          <w:tab w:val="num" w:pos="4297"/>
        </w:tabs>
        <w:ind w:left="4297" w:hanging="360"/>
      </w:pPr>
    </w:lvl>
    <w:lvl w:ilvl="5" w:tplc="5CB27A46" w:tentative="1">
      <w:start w:val="1"/>
      <w:numFmt w:val="lowerRoman"/>
      <w:lvlText w:val="%6."/>
      <w:lvlJc w:val="right"/>
      <w:pPr>
        <w:tabs>
          <w:tab w:val="num" w:pos="5017"/>
        </w:tabs>
        <w:ind w:left="5017" w:hanging="180"/>
      </w:pPr>
    </w:lvl>
    <w:lvl w:ilvl="6" w:tplc="4738A422" w:tentative="1">
      <w:start w:val="1"/>
      <w:numFmt w:val="decimal"/>
      <w:lvlText w:val="%7."/>
      <w:lvlJc w:val="left"/>
      <w:pPr>
        <w:tabs>
          <w:tab w:val="num" w:pos="5737"/>
        </w:tabs>
        <w:ind w:left="5737" w:hanging="360"/>
      </w:pPr>
    </w:lvl>
    <w:lvl w:ilvl="7" w:tplc="4E8A9D92" w:tentative="1">
      <w:start w:val="1"/>
      <w:numFmt w:val="lowerLetter"/>
      <w:lvlText w:val="%8."/>
      <w:lvlJc w:val="left"/>
      <w:pPr>
        <w:tabs>
          <w:tab w:val="num" w:pos="6457"/>
        </w:tabs>
        <w:ind w:left="6457" w:hanging="360"/>
      </w:pPr>
    </w:lvl>
    <w:lvl w:ilvl="8" w:tplc="88500D6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EFAE16A">
      <w:start w:val="1"/>
      <w:numFmt w:val="decimal"/>
      <w:pStyle w:val="ATSNumber1"/>
      <w:lvlText w:val="%1)"/>
      <w:lvlJc w:val="left"/>
      <w:pPr>
        <w:tabs>
          <w:tab w:val="num" w:pos="720"/>
        </w:tabs>
        <w:ind w:left="720" w:hanging="360"/>
      </w:pPr>
    </w:lvl>
    <w:lvl w:ilvl="1" w:tplc="1BC0EB54" w:tentative="1">
      <w:start w:val="1"/>
      <w:numFmt w:val="lowerLetter"/>
      <w:lvlText w:val="%2."/>
      <w:lvlJc w:val="left"/>
      <w:pPr>
        <w:tabs>
          <w:tab w:val="num" w:pos="1440"/>
        </w:tabs>
        <w:ind w:left="1440" w:hanging="360"/>
      </w:pPr>
    </w:lvl>
    <w:lvl w:ilvl="2" w:tplc="A9EE96CA" w:tentative="1">
      <w:start w:val="1"/>
      <w:numFmt w:val="lowerRoman"/>
      <w:lvlText w:val="%3."/>
      <w:lvlJc w:val="right"/>
      <w:pPr>
        <w:tabs>
          <w:tab w:val="num" w:pos="2160"/>
        </w:tabs>
        <w:ind w:left="2160" w:hanging="180"/>
      </w:pPr>
    </w:lvl>
    <w:lvl w:ilvl="3" w:tplc="346C9EC4" w:tentative="1">
      <w:start w:val="1"/>
      <w:numFmt w:val="decimal"/>
      <w:lvlText w:val="%4."/>
      <w:lvlJc w:val="left"/>
      <w:pPr>
        <w:tabs>
          <w:tab w:val="num" w:pos="2880"/>
        </w:tabs>
        <w:ind w:left="2880" w:hanging="360"/>
      </w:pPr>
    </w:lvl>
    <w:lvl w:ilvl="4" w:tplc="67442BFA" w:tentative="1">
      <w:start w:val="1"/>
      <w:numFmt w:val="lowerLetter"/>
      <w:lvlText w:val="%5."/>
      <w:lvlJc w:val="left"/>
      <w:pPr>
        <w:tabs>
          <w:tab w:val="num" w:pos="3600"/>
        </w:tabs>
        <w:ind w:left="3600" w:hanging="360"/>
      </w:pPr>
    </w:lvl>
    <w:lvl w:ilvl="5" w:tplc="6CEACAA8" w:tentative="1">
      <w:start w:val="1"/>
      <w:numFmt w:val="lowerRoman"/>
      <w:lvlText w:val="%6."/>
      <w:lvlJc w:val="right"/>
      <w:pPr>
        <w:tabs>
          <w:tab w:val="num" w:pos="4320"/>
        </w:tabs>
        <w:ind w:left="4320" w:hanging="180"/>
      </w:pPr>
    </w:lvl>
    <w:lvl w:ilvl="6" w:tplc="250829D2" w:tentative="1">
      <w:start w:val="1"/>
      <w:numFmt w:val="decimal"/>
      <w:lvlText w:val="%7."/>
      <w:lvlJc w:val="left"/>
      <w:pPr>
        <w:tabs>
          <w:tab w:val="num" w:pos="5040"/>
        </w:tabs>
        <w:ind w:left="5040" w:hanging="360"/>
      </w:pPr>
    </w:lvl>
    <w:lvl w:ilvl="7" w:tplc="E7C4C8EC" w:tentative="1">
      <w:start w:val="1"/>
      <w:numFmt w:val="lowerLetter"/>
      <w:lvlText w:val="%8."/>
      <w:lvlJc w:val="left"/>
      <w:pPr>
        <w:tabs>
          <w:tab w:val="num" w:pos="5760"/>
        </w:tabs>
        <w:ind w:left="5760" w:hanging="360"/>
      </w:pPr>
    </w:lvl>
    <w:lvl w:ilvl="8" w:tplc="7D6ABC0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3BF222D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87E27BA" w:tentative="1">
      <w:start w:val="1"/>
      <w:numFmt w:val="bullet"/>
      <w:lvlText w:val="o"/>
      <w:lvlJc w:val="left"/>
      <w:pPr>
        <w:tabs>
          <w:tab w:val="num" w:pos="2517"/>
        </w:tabs>
        <w:ind w:left="2517" w:hanging="360"/>
      </w:pPr>
      <w:rPr>
        <w:rFonts w:ascii="Courier New" w:hAnsi="Courier New" w:cs="Courier New" w:hint="default"/>
      </w:rPr>
    </w:lvl>
    <w:lvl w:ilvl="2" w:tplc="7C5C64FC" w:tentative="1">
      <w:start w:val="1"/>
      <w:numFmt w:val="bullet"/>
      <w:lvlText w:val=""/>
      <w:lvlJc w:val="left"/>
      <w:pPr>
        <w:tabs>
          <w:tab w:val="num" w:pos="3237"/>
        </w:tabs>
        <w:ind w:left="3237" w:hanging="360"/>
      </w:pPr>
      <w:rPr>
        <w:rFonts w:ascii="Wingdings" w:hAnsi="Wingdings" w:hint="default"/>
      </w:rPr>
    </w:lvl>
    <w:lvl w:ilvl="3" w:tplc="9A10E5DC" w:tentative="1">
      <w:start w:val="1"/>
      <w:numFmt w:val="bullet"/>
      <w:lvlText w:val=""/>
      <w:lvlJc w:val="left"/>
      <w:pPr>
        <w:tabs>
          <w:tab w:val="num" w:pos="3957"/>
        </w:tabs>
        <w:ind w:left="3957" w:hanging="360"/>
      </w:pPr>
      <w:rPr>
        <w:rFonts w:ascii="Symbol" w:hAnsi="Symbol" w:hint="default"/>
      </w:rPr>
    </w:lvl>
    <w:lvl w:ilvl="4" w:tplc="CC486906" w:tentative="1">
      <w:start w:val="1"/>
      <w:numFmt w:val="bullet"/>
      <w:lvlText w:val="o"/>
      <w:lvlJc w:val="left"/>
      <w:pPr>
        <w:tabs>
          <w:tab w:val="num" w:pos="4677"/>
        </w:tabs>
        <w:ind w:left="4677" w:hanging="360"/>
      </w:pPr>
      <w:rPr>
        <w:rFonts w:ascii="Courier New" w:hAnsi="Courier New" w:cs="Courier New" w:hint="default"/>
      </w:rPr>
    </w:lvl>
    <w:lvl w:ilvl="5" w:tplc="A83688EA" w:tentative="1">
      <w:start w:val="1"/>
      <w:numFmt w:val="bullet"/>
      <w:lvlText w:val=""/>
      <w:lvlJc w:val="left"/>
      <w:pPr>
        <w:tabs>
          <w:tab w:val="num" w:pos="5397"/>
        </w:tabs>
        <w:ind w:left="5397" w:hanging="360"/>
      </w:pPr>
      <w:rPr>
        <w:rFonts w:ascii="Wingdings" w:hAnsi="Wingdings" w:hint="default"/>
      </w:rPr>
    </w:lvl>
    <w:lvl w:ilvl="6" w:tplc="035631F0" w:tentative="1">
      <w:start w:val="1"/>
      <w:numFmt w:val="bullet"/>
      <w:lvlText w:val=""/>
      <w:lvlJc w:val="left"/>
      <w:pPr>
        <w:tabs>
          <w:tab w:val="num" w:pos="6117"/>
        </w:tabs>
        <w:ind w:left="6117" w:hanging="360"/>
      </w:pPr>
      <w:rPr>
        <w:rFonts w:ascii="Symbol" w:hAnsi="Symbol" w:hint="default"/>
      </w:rPr>
    </w:lvl>
    <w:lvl w:ilvl="7" w:tplc="46BCE6A6" w:tentative="1">
      <w:start w:val="1"/>
      <w:numFmt w:val="bullet"/>
      <w:lvlText w:val="o"/>
      <w:lvlJc w:val="left"/>
      <w:pPr>
        <w:tabs>
          <w:tab w:val="num" w:pos="6837"/>
        </w:tabs>
        <w:ind w:left="6837" w:hanging="360"/>
      </w:pPr>
      <w:rPr>
        <w:rFonts w:ascii="Courier New" w:hAnsi="Courier New" w:cs="Courier New" w:hint="default"/>
      </w:rPr>
    </w:lvl>
    <w:lvl w:ilvl="8" w:tplc="14A426E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A4E20BC4">
      <w:start w:val="1"/>
      <w:numFmt w:val="decimal"/>
      <w:pStyle w:val="ATSNumber2"/>
      <w:lvlText w:val="%1."/>
      <w:lvlJc w:val="left"/>
      <w:pPr>
        <w:tabs>
          <w:tab w:val="num" w:pos="720"/>
        </w:tabs>
        <w:ind w:left="720" w:hanging="360"/>
      </w:pPr>
      <w:rPr>
        <w:rFonts w:hint="default"/>
      </w:rPr>
    </w:lvl>
    <w:lvl w:ilvl="1" w:tplc="E18A2AA2" w:tentative="1">
      <w:start w:val="1"/>
      <w:numFmt w:val="lowerLetter"/>
      <w:lvlText w:val="%2."/>
      <w:lvlJc w:val="left"/>
      <w:pPr>
        <w:tabs>
          <w:tab w:val="num" w:pos="1440"/>
        </w:tabs>
        <w:ind w:left="1440" w:hanging="360"/>
      </w:pPr>
    </w:lvl>
    <w:lvl w:ilvl="2" w:tplc="08644AE0" w:tentative="1">
      <w:start w:val="1"/>
      <w:numFmt w:val="lowerRoman"/>
      <w:lvlText w:val="%3."/>
      <w:lvlJc w:val="right"/>
      <w:pPr>
        <w:tabs>
          <w:tab w:val="num" w:pos="2160"/>
        </w:tabs>
        <w:ind w:left="2160" w:hanging="180"/>
      </w:pPr>
    </w:lvl>
    <w:lvl w:ilvl="3" w:tplc="C9787986" w:tentative="1">
      <w:start w:val="1"/>
      <w:numFmt w:val="decimal"/>
      <w:lvlText w:val="%4."/>
      <w:lvlJc w:val="left"/>
      <w:pPr>
        <w:tabs>
          <w:tab w:val="num" w:pos="2880"/>
        </w:tabs>
        <w:ind w:left="2880" w:hanging="360"/>
      </w:pPr>
    </w:lvl>
    <w:lvl w:ilvl="4" w:tplc="98AA3A48" w:tentative="1">
      <w:start w:val="1"/>
      <w:numFmt w:val="lowerLetter"/>
      <w:lvlText w:val="%5."/>
      <w:lvlJc w:val="left"/>
      <w:pPr>
        <w:tabs>
          <w:tab w:val="num" w:pos="3600"/>
        </w:tabs>
        <w:ind w:left="3600" w:hanging="360"/>
      </w:pPr>
    </w:lvl>
    <w:lvl w:ilvl="5" w:tplc="543ACB4E" w:tentative="1">
      <w:start w:val="1"/>
      <w:numFmt w:val="lowerRoman"/>
      <w:lvlText w:val="%6."/>
      <w:lvlJc w:val="right"/>
      <w:pPr>
        <w:tabs>
          <w:tab w:val="num" w:pos="4320"/>
        </w:tabs>
        <w:ind w:left="4320" w:hanging="180"/>
      </w:pPr>
    </w:lvl>
    <w:lvl w:ilvl="6" w:tplc="23B2C20E" w:tentative="1">
      <w:start w:val="1"/>
      <w:numFmt w:val="decimal"/>
      <w:lvlText w:val="%7."/>
      <w:lvlJc w:val="left"/>
      <w:pPr>
        <w:tabs>
          <w:tab w:val="num" w:pos="5040"/>
        </w:tabs>
        <w:ind w:left="5040" w:hanging="360"/>
      </w:pPr>
    </w:lvl>
    <w:lvl w:ilvl="7" w:tplc="211EDC56" w:tentative="1">
      <w:start w:val="1"/>
      <w:numFmt w:val="lowerLetter"/>
      <w:lvlText w:val="%8."/>
      <w:lvlJc w:val="left"/>
      <w:pPr>
        <w:tabs>
          <w:tab w:val="num" w:pos="5760"/>
        </w:tabs>
        <w:ind w:left="5760" w:hanging="360"/>
      </w:pPr>
    </w:lvl>
    <w:lvl w:ilvl="8" w:tplc="7ECAA81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3"/>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B8"/>
    <w:rsid w:val="00241910"/>
    <w:rsid w:val="007F0C84"/>
    <w:rsid w:val="008144B8"/>
    <w:rsid w:val="00D153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20BBF"/>
  <w15:chartTrackingRefBased/>
  <w15:docId w15:val="{10CB4E2A-71DD-44EC-A340-C67ACE1B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TSHeading2Char">
    <w:name w:val="ATS Heading 2 Char"/>
    <w:link w:val="ATSHeading2"/>
    <w:locked/>
    <w:rsid w:val="007F0C84"/>
    <w:rPr>
      <w:rFonts w:ascii="Arial" w:hAnsi="Arial"/>
      <w:b/>
      <w:i/>
      <w:sz w:val="24"/>
      <w:szCs w:val="22"/>
      <w:lang w:val="en-GB" w:eastAsia="en-GB"/>
    </w:rPr>
  </w:style>
  <w:style w:type="paragraph" w:styleId="ListParagraph">
    <w:name w:val="List Paragraph"/>
    <w:basedOn w:val="Normal"/>
    <w:uiPriority w:val="34"/>
    <w:qFormat/>
    <w:rsid w:val="007F0C84"/>
    <w:pPr>
      <w:spacing w:after="200" w:line="276" w:lineRule="auto"/>
      <w:ind w:left="720"/>
      <w:contextualSpacing/>
    </w:pPr>
    <w:rPr>
      <w:rFonts w:ascii="Calibri" w:eastAsia="Calibri" w:hAnsi="Calibri"/>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lassroom.oceanteach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hidro.gov.ar/Download/Download.asp"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idro.gov.ar/Download/Download.asp" TargetMode="External"/><Relationship Id="rId5" Type="http://schemas.openxmlformats.org/officeDocument/2006/relationships/footnotes" Target="footnotes.xml"/><Relationship Id="rId15" Type="http://schemas.openxmlformats.org/officeDocument/2006/relationships/hyperlink" Target="http://www.hidro.gov.ar/Download/Download.asp" TargetMode="External"/><Relationship Id="rId10" Type="http://schemas.openxmlformats.org/officeDocument/2006/relationships/hyperlink" Target="http://www.hidro.gov.ar/Download/Download.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oceanexpert.org/event/35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1049</Words>
  <Characters>6704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Fatima Leon</cp:lastModifiedBy>
  <cp:revision>4</cp:revision>
  <cp:lastPrinted>1900-01-01T03:00:00Z</cp:lastPrinted>
  <dcterms:created xsi:type="dcterms:W3CDTF">2022-10-28T13:17:00Z</dcterms:created>
  <dcterms:modified xsi:type="dcterms:W3CDTF">2023-05-15T08:40:00Z</dcterms:modified>
</cp:coreProperties>
</file>