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CAFE" w14:textId="77777777" w:rsidR="00C26F2D" w:rsidRPr="00BF077B" w:rsidRDefault="00971BC1" w:rsidP="00BF077B">
      <w:pPr>
        <w:pStyle w:val="ATSNormal"/>
        <w:rPr>
          <w:rStyle w:val="Ttulodellibro"/>
        </w:rPr>
      </w:pPr>
    </w:p>
    <w:p w14:paraId="0C174C44" w14:textId="77777777" w:rsidR="002F0A13" w:rsidRDefault="00971BC1" w:rsidP="004B4A60">
      <w:pPr>
        <w:rPr>
          <w:b/>
          <w:u w:val="single"/>
          <w:lang w:val="es-ES_tradnl"/>
        </w:rPr>
      </w:pPr>
    </w:p>
    <w:p w14:paraId="74D585F2" w14:textId="77777777" w:rsidR="002F0A13" w:rsidRDefault="00971BC1" w:rsidP="004B4A60">
      <w:pPr>
        <w:rPr>
          <w:b/>
          <w:u w:val="single"/>
          <w:lang w:val="es-ES_tradnl"/>
        </w:rPr>
      </w:pPr>
    </w:p>
    <w:p w14:paraId="3E808C6D" w14:textId="77777777" w:rsidR="002F0A13" w:rsidRDefault="00971BC1" w:rsidP="004B4A60">
      <w:pPr>
        <w:rPr>
          <w:b/>
          <w:u w:val="single"/>
          <w:lang w:val="es-ES_tradnl"/>
        </w:rPr>
      </w:pPr>
    </w:p>
    <w:p w14:paraId="649800A5" w14:textId="77777777" w:rsidR="002F0A13" w:rsidRDefault="00971BC1" w:rsidP="004B4A60">
      <w:pPr>
        <w:rPr>
          <w:b/>
          <w:u w:val="single"/>
          <w:lang w:val="es-ES_tradnl"/>
        </w:rPr>
      </w:pPr>
    </w:p>
    <w:p w14:paraId="365DABFC" w14:textId="77777777" w:rsidR="00C26F2D" w:rsidRDefault="00971BC1" w:rsidP="004B4A60">
      <w:pPr>
        <w:rPr>
          <w:b/>
          <w:u w:val="single"/>
          <w:lang w:val="es-ES_tradnl"/>
        </w:rPr>
      </w:pPr>
    </w:p>
    <w:p w14:paraId="429BA78E" w14:textId="77777777" w:rsidR="004B4A60" w:rsidRPr="0057246E" w:rsidRDefault="00B56ADF" w:rsidP="001B789F">
      <w:pPr>
        <w:pStyle w:val="ATSTitle"/>
      </w:pPr>
      <w:bookmarkStart w:id="0" w:name="name"/>
      <w:r>
        <w:t>Revised Management Plan for Antarctic Specially Managed Area No.1 Admiralty Bay, King George Island</w:t>
      </w:r>
    </w:p>
    <w:bookmarkEnd w:id="0"/>
    <w:p w14:paraId="6877D796" w14:textId="77777777" w:rsidR="009E51E5" w:rsidRDefault="009E51E5" w:rsidP="001B789F">
      <w:pPr>
        <w:pStyle w:val="ATSTitle"/>
      </w:pPr>
    </w:p>
    <w:p w14:paraId="58969000" w14:textId="77777777" w:rsidR="004B4A60" w:rsidRPr="0057246E" w:rsidRDefault="00971BC1" w:rsidP="00F75424">
      <w:pPr>
        <w:jc w:val="center"/>
      </w:pPr>
    </w:p>
    <w:p w14:paraId="231F292B" w14:textId="77777777" w:rsidR="004B4A60" w:rsidRPr="002F0A13" w:rsidRDefault="00971BC1" w:rsidP="002F0A13"/>
    <w:p w14:paraId="7D7B0FF0" w14:textId="77777777" w:rsidR="004B4A60" w:rsidRDefault="00971BC1" w:rsidP="00F75424">
      <w:pPr>
        <w:jc w:val="center"/>
      </w:pPr>
      <w:bookmarkStart w:id="1" w:name="memo"/>
      <w:bookmarkEnd w:id="1"/>
    </w:p>
    <w:p w14:paraId="751F68AA" w14:textId="77777777" w:rsidR="0097629D" w:rsidRDefault="00971BC1" w:rsidP="00F75424">
      <w:pPr>
        <w:jc w:val="center"/>
      </w:pPr>
    </w:p>
    <w:p w14:paraId="50FF32F9" w14:textId="77777777" w:rsidR="0097629D" w:rsidRDefault="00971BC1" w:rsidP="00F75424">
      <w:pPr>
        <w:jc w:val="center"/>
      </w:pPr>
    </w:p>
    <w:p w14:paraId="695365FA" w14:textId="77777777" w:rsidR="0097629D" w:rsidRDefault="00971BC1" w:rsidP="00F75424">
      <w:pPr>
        <w:jc w:val="center"/>
      </w:pPr>
    </w:p>
    <w:p w14:paraId="3F7C1AC3" w14:textId="77777777" w:rsidR="0097629D" w:rsidRPr="00C26F2D" w:rsidRDefault="00971BC1" w:rsidP="00F75424">
      <w:pPr>
        <w:jc w:val="center"/>
      </w:pPr>
    </w:p>
    <w:p w14:paraId="171B76BF" w14:textId="77777777" w:rsidR="004B4A60" w:rsidRPr="0057246E" w:rsidRDefault="00971BC1" w:rsidP="004B4A60"/>
    <w:p w14:paraId="13A730F1" w14:textId="77777777" w:rsidR="00C26F2D" w:rsidRDefault="00971BC1" w:rsidP="00952E9F">
      <w:pPr>
        <w:sectPr w:rsidR="00C26F2D" w:rsidSect="00D502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8937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8"/>
        <w:gridCol w:w="3969"/>
      </w:tblGrid>
      <w:tr w:rsidR="00B56ADF" w14:paraId="6A926A1D" w14:textId="77777777" w:rsidTr="00D7674C">
        <w:trPr>
          <w:trHeight w:val="469"/>
        </w:trPr>
        <w:tc>
          <w:tcPr>
            <w:tcW w:w="4968" w:type="dxa"/>
          </w:tcPr>
          <w:p w14:paraId="16E2D77A" w14:textId="77777777" w:rsidR="00B56ADF" w:rsidRDefault="00B56ADF" w:rsidP="00D7674C">
            <w:pPr>
              <w:pStyle w:val="TableParagraph"/>
              <w:spacing w:before="12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ASPA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proposed?</w:t>
            </w:r>
          </w:p>
        </w:tc>
        <w:tc>
          <w:tcPr>
            <w:tcW w:w="3969" w:type="dxa"/>
          </w:tcPr>
          <w:p w14:paraId="17712483" w14:textId="77777777" w:rsidR="00B56ADF" w:rsidRDefault="00B56ADF" w:rsidP="00D7674C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 No</w:t>
            </w:r>
          </w:p>
        </w:tc>
      </w:tr>
      <w:tr w:rsidR="00B56ADF" w14:paraId="604DF3C5" w14:textId="77777777" w:rsidTr="00D7674C">
        <w:trPr>
          <w:trHeight w:val="470"/>
        </w:trPr>
        <w:tc>
          <w:tcPr>
            <w:tcW w:w="4968" w:type="dxa"/>
          </w:tcPr>
          <w:p w14:paraId="0DFDC10A" w14:textId="77777777" w:rsidR="00B56ADF" w:rsidRDefault="00B56ADF" w:rsidP="00D7674C">
            <w:pPr>
              <w:pStyle w:val="TableParagraph"/>
              <w:spacing w:before="12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ASMA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proposed?</w:t>
            </w:r>
          </w:p>
        </w:tc>
        <w:tc>
          <w:tcPr>
            <w:tcW w:w="3969" w:type="dxa"/>
          </w:tcPr>
          <w:p w14:paraId="5AE362B0" w14:textId="77777777" w:rsidR="00B56ADF" w:rsidRDefault="00B56ADF" w:rsidP="00D7674C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 No</w:t>
            </w:r>
          </w:p>
        </w:tc>
      </w:tr>
      <w:tr w:rsidR="00B56ADF" w14:paraId="67C2C148" w14:textId="77777777" w:rsidTr="00D7674C">
        <w:trPr>
          <w:trHeight w:val="1619"/>
        </w:trPr>
        <w:tc>
          <w:tcPr>
            <w:tcW w:w="4968" w:type="dxa"/>
          </w:tcPr>
          <w:p w14:paraId="298DB3BF" w14:textId="77777777" w:rsidR="00B56ADF" w:rsidRDefault="00B56ADF" w:rsidP="00D7674C">
            <w:pPr>
              <w:pStyle w:val="TableParagraph"/>
              <w:spacing w:before="120"/>
              <w:ind w:left="114" w:right="277"/>
              <w:rPr>
                <w:b/>
                <w:spacing w:val="12"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Does the proposal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relate to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existing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ASPA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or ASMA?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rStyle w:val="Refdenotaalpie"/>
                <w:b/>
                <w:spacing w:val="12"/>
                <w:sz w:val="20"/>
              </w:rPr>
              <w:footnoteReference w:id="1"/>
            </w:r>
          </w:p>
          <w:p w14:paraId="3C355E6F" w14:textId="77777777" w:rsidR="00B56ADF" w:rsidRDefault="00B56ADF" w:rsidP="00D7674C">
            <w:pPr>
              <w:pStyle w:val="TableParagraph"/>
              <w:spacing w:before="120"/>
              <w:ind w:left="114" w:right="277"/>
              <w:rPr>
                <w:sz w:val="20"/>
              </w:rPr>
            </w:pPr>
            <w:r>
              <w:rPr>
                <w:sz w:val="20"/>
              </w:rPr>
              <w:t>(If so, list all Recommendations, Measures, Resolutions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pertaining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ASPA/ASMA,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</w:p>
          <w:p w14:paraId="66749D11" w14:textId="77777777" w:rsidR="00B56ADF" w:rsidRDefault="00B56ADF" w:rsidP="00D7674C">
            <w:pPr>
              <w:pStyle w:val="TableParagraph"/>
              <w:ind w:left="114" w:right="191"/>
              <w:rPr>
                <w:sz w:val="20"/>
              </w:rPr>
            </w:pPr>
            <w:r>
              <w:rPr>
                <w:sz w:val="20"/>
              </w:rPr>
              <w:t>designations of this area as an SPA, SSSI or other type of protected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area. In particular, please include the date and 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Recommendation/Measure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following:</w:t>
            </w:r>
          </w:p>
        </w:tc>
        <w:tc>
          <w:tcPr>
            <w:tcW w:w="3969" w:type="dxa"/>
          </w:tcPr>
          <w:p w14:paraId="22BA7FBA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Yes</w:t>
            </w:r>
          </w:p>
        </w:tc>
      </w:tr>
      <w:tr w:rsidR="00B56ADF" w14:paraId="05CF2841" w14:textId="77777777" w:rsidTr="00D7674C">
        <w:trPr>
          <w:trHeight w:val="470"/>
        </w:trPr>
        <w:tc>
          <w:tcPr>
            <w:tcW w:w="4968" w:type="dxa"/>
          </w:tcPr>
          <w:p w14:paraId="357DE8A2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designation:</w:t>
            </w:r>
          </w:p>
        </w:tc>
        <w:tc>
          <w:tcPr>
            <w:tcW w:w="3969" w:type="dxa"/>
          </w:tcPr>
          <w:p w14:paraId="3A5263E5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</w:t>
            </w:r>
            <w:r w:rsidRPr="006E26FE">
              <w:rPr>
                <w:snapToGrid w:val="0"/>
                <w:sz w:val="20"/>
                <w:szCs w:val="20"/>
              </w:rPr>
              <w:t>Measure 2</w:t>
            </w:r>
            <w:r>
              <w:rPr>
                <w:snapToGrid w:val="0"/>
                <w:sz w:val="20"/>
                <w:szCs w:val="20"/>
              </w:rPr>
              <w:t xml:space="preserve"> (20</w:t>
            </w:r>
            <w:r w:rsidRPr="006E26FE">
              <w:rPr>
                <w:snapToGrid w:val="0"/>
                <w:sz w:val="20"/>
                <w:szCs w:val="20"/>
              </w:rPr>
              <w:t>06</w:t>
            </w:r>
            <w:r>
              <w:rPr>
                <w:snapToGrid w:val="0"/>
                <w:sz w:val="20"/>
                <w:szCs w:val="20"/>
              </w:rPr>
              <w:t>) ASMA No. 1</w:t>
            </w:r>
          </w:p>
        </w:tc>
      </w:tr>
      <w:tr w:rsidR="00B56ADF" w14:paraId="44252696" w14:textId="77777777" w:rsidTr="00D7674C">
        <w:trPr>
          <w:trHeight w:val="470"/>
        </w:trPr>
        <w:tc>
          <w:tcPr>
            <w:tcW w:w="4968" w:type="dxa"/>
          </w:tcPr>
          <w:p w14:paraId="7747F3D7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adoption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plan:</w:t>
            </w:r>
          </w:p>
        </w:tc>
        <w:tc>
          <w:tcPr>
            <w:tcW w:w="3969" w:type="dxa"/>
          </w:tcPr>
          <w:p w14:paraId="1E628215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</w:t>
            </w:r>
            <w:r w:rsidRPr="006E26FE">
              <w:rPr>
                <w:snapToGrid w:val="0"/>
                <w:sz w:val="20"/>
                <w:szCs w:val="20"/>
              </w:rPr>
              <w:t>Measure 2</w:t>
            </w:r>
            <w:r>
              <w:rPr>
                <w:snapToGrid w:val="0"/>
                <w:sz w:val="20"/>
                <w:szCs w:val="20"/>
              </w:rPr>
              <w:t xml:space="preserve"> (20</w:t>
            </w:r>
            <w:r w:rsidRPr="006E26FE">
              <w:rPr>
                <w:snapToGrid w:val="0"/>
                <w:sz w:val="20"/>
                <w:szCs w:val="20"/>
              </w:rPr>
              <w:t>06</w:t>
            </w:r>
            <w:r>
              <w:rPr>
                <w:snapToGrid w:val="0"/>
                <w:sz w:val="20"/>
                <w:szCs w:val="20"/>
              </w:rPr>
              <w:t>) ASMA No. 1</w:t>
            </w:r>
          </w:p>
        </w:tc>
      </w:tr>
      <w:tr w:rsidR="00B56ADF" w14:paraId="7E9627D8" w14:textId="77777777" w:rsidTr="00D7674C">
        <w:trPr>
          <w:trHeight w:val="469"/>
        </w:trPr>
        <w:tc>
          <w:tcPr>
            <w:tcW w:w="4968" w:type="dxa"/>
          </w:tcPr>
          <w:p w14:paraId="604622DB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plan:</w:t>
            </w:r>
          </w:p>
        </w:tc>
        <w:tc>
          <w:tcPr>
            <w:tcW w:w="3969" w:type="dxa"/>
          </w:tcPr>
          <w:p w14:paraId="7DB407A4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6FE">
              <w:rPr>
                <w:color w:val="000000" w:themeColor="text1"/>
                <w:sz w:val="20"/>
                <w:szCs w:val="20"/>
              </w:rPr>
              <w:t>Measure 14</w:t>
            </w:r>
            <w:r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6E26FE">
              <w:rPr>
                <w:color w:val="000000" w:themeColor="text1"/>
                <w:sz w:val="20"/>
                <w:szCs w:val="20"/>
              </w:rPr>
              <w:t>2014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56ADF" w14:paraId="6514DDE9" w14:textId="77777777" w:rsidTr="00D7674C">
        <w:trPr>
          <w:trHeight w:val="470"/>
        </w:trPr>
        <w:tc>
          <w:tcPr>
            <w:tcW w:w="4968" w:type="dxa"/>
          </w:tcPr>
          <w:p w14:paraId="618380AE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plan:</w:t>
            </w:r>
          </w:p>
        </w:tc>
        <w:tc>
          <w:tcPr>
            <w:tcW w:w="3969" w:type="dxa"/>
          </w:tcPr>
          <w:p w14:paraId="0CEC6CC1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6FE">
              <w:rPr>
                <w:color w:val="000000" w:themeColor="text1"/>
                <w:sz w:val="20"/>
                <w:szCs w:val="20"/>
              </w:rPr>
              <w:t>Measure 14</w:t>
            </w:r>
            <w:r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6E26FE">
              <w:rPr>
                <w:color w:val="000000" w:themeColor="text1"/>
                <w:sz w:val="20"/>
                <w:szCs w:val="20"/>
              </w:rPr>
              <w:t>2014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56ADF" w14:paraId="12D633D7" w14:textId="77777777" w:rsidTr="00D7674C">
        <w:trPr>
          <w:trHeight w:val="470"/>
        </w:trPr>
        <w:tc>
          <w:tcPr>
            <w:tcW w:w="4968" w:type="dxa"/>
          </w:tcPr>
          <w:p w14:paraId="6C921D84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extensions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expiry dates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plan:</w:t>
            </w:r>
          </w:p>
        </w:tc>
        <w:tc>
          <w:tcPr>
            <w:tcW w:w="3969" w:type="dxa"/>
          </w:tcPr>
          <w:p w14:paraId="3C83440B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</w:t>
            </w:r>
            <w:r w:rsidRPr="007F6781">
              <w:rPr>
                <w:snapToGrid w:val="0"/>
                <w:sz w:val="20"/>
                <w:szCs w:val="20"/>
              </w:rPr>
              <w:t>N/A</w:t>
            </w:r>
          </w:p>
        </w:tc>
      </w:tr>
      <w:tr w:rsidR="00B56ADF" w14:paraId="4E3D6EC7" w14:textId="77777777" w:rsidTr="00D7674C">
        <w:trPr>
          <w:trHeight w:val="469"/>
        </w:trPr>
        <w:tc>
          <w:tcPr>
            <w:tcW w:w="4968" w:type="dxa"/>
          </w:tcPr>
          <w:p w14:paraId="3E8F6A6A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Renamed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renumbered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Decision 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(2002) as:</w:t>
            </w:r>
          </w:p>
        </w:tc>
        <w:tc>
          <w:tcPr>
            <w:tcW w:w="3969" w:type="dxa"/>
          </w:tcPr>
          <w:p w14:paraId="1EF23DE6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</w:t>
            </w:r>
            <w:r w:rsidRPr="007F6781">
              <w:rPr>
                <w:snapToGrid w:val="0"/>
                <w:sz w:val="20"/>
                <w:szCs w:val="20"/>
              </w:rPr>
              <w:t>N/A</w:t>
            </w:r>
          </w:p>
        </w:tc>
      </w:tr>
      <w:tr w:rsidR="00B56ADF" w14:paraId="0309F826" w14:textId="77777777" w:rsidTr="00D7674C">
        <w:trPr>
          <w:trHeight w:val="476"/>
        </w:trPr>
        <w:tc>
          <w:tcPr>
            <w:tcW w:w="4968" w:type="dxa"/>
          </w:tcPr>
          <w:p w14:paraId="25CFBA69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bookmarkStart w:id="8" w:name="_bookmark0"/>
            <w:bookmarkEnd w:id="8"/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measures:</w:t>
            </w:r>
          </w:p>
        </w:tc>
        <w:tc>
          <w:tcPr>
            <w:tcW w:w="3969" w:type="dxa"/>
          </w:tcPr>
          <w:p w14:paraId="2D2F1A20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</w:t>
            </w:r>
            <w:r w:rsidRPr="007F6781">
              <w:rPr>
                <w:snapToGrid w:val="0"/>
                <w:sz w:val="20"/>
                <w:szCs w:val="20"/>
              </w:rPr>
              <w:t>N/A</w:t>
            </w:r>
          </w:p>
        </w:tc>
      </w:tr>
      <w:tr w:rsidR="00B56ADF" w14:paraId="71E3EE03" w14:textId="77777777" w:rsidTr="00D7674C">
        <w:trPr>
          <w:trHeight w:val="470"/>
        </w:trPr>
        <w:tc>
          <w:tcPr>
            <w:tcW w:w="8937" w:type="dxa"/>
            <w:gridSpan w:val="2"/>
          </w:tcPr>
          <w:p w14:paraId="308177F6" w14:textId="77777777" w:rsidR="00B56ADF" w:rsidRDefault="00B56ADF" w:rsidP="00D7674C">
            <w:pPr>
              <w:pStyle w:val="TableParagraph"/>
              <w:spacing w:before="12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contains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revision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existing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plan,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indicate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types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amendment:</w:t>
            </w:r>
          </w:p>
        </w:tc>
      </w:tr>
      <w:tr w:rsidR="00B56ADF" w14:paraId="484BAF96" w14:textId="77777777" w:rsidTr="00D7674C">
        <w:trPr>
          <w:trHeight w:val="470"/>
        </w:trPr>
        <w:tc>
          <w:tcPr>
            <w:tcW w:w="4968" w:type="dxa"/>
          </w:tcPr>
          <w:p w14:paraId="502ECB2C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(i)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minor?</w:t>
            </w:r>
          </w:p>
        </w:tc>
        <w:tc>
          <w:tcPr>
            <w:tcW w:w="3969" w:type="dxa"/>
          </w:tcPr>
          <w:p w14:paraId="2E3527FC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Minor.</w:t>
            </w:r>
          </w:p>
        </w:tc>
      </w:tr>
      <w:tr w:rsidR="00B56ADF" w14:paraId="7E22CA6A" w14:textId="77777777" w:rsidTr="00D7674C">
        <w:trPr>
          <w:trHeight w:val="469"/>
        </w:trPr>
        <w:tc>
          <w:tcPr>
            <w:tcW w:w="4968" w:type="dxa"/>
          </w:tcPr>
          <w:p w14:paraId="1A9BDA72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(ii)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boundaries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co-ordinates?</w:t>
            </w:r>
          </w:p>
        </w:tc>
        <w:tc>
          <w:tcPr>
            <w:tcW w:w="3969" w:type="dxa"/>
          </w:tcPr>
          <w:p w14:paraId="68180FCB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None</w:t>
            </w:r>
            <w:r w:rsidRPr="00A314CB">
              <w:rPr>
                <w:sz w:val="20"/>
                <w:szCs w:val="20"/>
              </w:rPr>
              <w:t>.</w:t>
            </w:r>
          </w:p>
        </w:tc>
      </w:tr>
      <w:tr w:rsidR="00B56ADF" w14:paraId="29A496CA" w14:textId="77777777" w:rsidTr="00D7674C">
        <w:trPr>
          <w:trHeight w:val="698"/>
        </w:trPr>
        <w:tc>
          <w:tcPr>
            <w:tcW w:w="4968" w:type="dxa"/>
          </w:tcPr>
          <w:p w14:paraId="17BC4563" w14:textId="77777777" w:rsidR="00B56ADF" w:rsidRDefault="00B56ADF" w:rsidP="00D7674C">
            <w:pPr>
              <w:pStyle w:val="TableParagraph"/>
              <w:spacing w:before="120"/>
              <w:ind w:left="114" w:right="142"/>
              <w:rPr>
                <w:sz w:val="20"/>
              </w:rPr>
            </w:pPr>
            <w:r>
              <w:rPr>
                <w:sz w:val="20"/>
              </w:rPr>
              <w:t>(iii) any changes to the maps? If yes, are the changes in the captions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only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graphics?</w:t>
            </w:r>
          </w:p>
        </w:tc>
        <w:tc>
          <w:tcPr>
            <w:tcW w:w="3969" w:type="dxa"/>
          </w:tcPr>
          <w:p w14:paraId="2CBEAAA0" w14:textId="77777777" w:rsidR="00B56ADF" w:rsidRDefault="00B56ADF" w:rsidP="00D7674C">
            <w:pPr>
              <w:pStyle w:val="TableParagraph"/>
              <w:rPr>
                <w:sz w:val="20"/>
              </w:rPr>
            </w:pPr>
            <w:r w:rsidRPr="00424E78">
              <w:rPr>
                <w:sz w:val="20"/>
                <w:szCs w:val="20"/>
              </w:rPr>
              <w:t>Map of ASMA No. 1 boundaries and Comandante Ferraz Antarctic Station’s visitor zone updated as per guidelines established in Resolution 1 (2017) Annex B; Map of Henryk Arctowski Polish Antarctic Station visitor zone was removed, due its current renovation; Maps of Flora (colonized areas) and Birds (occurrence sites) was removed, because updated georeferenced references of the information contained in these maps were not found.</w:t>
            </w:r>
          </w:p>
        </w:tc>
      </w:tr>
      <w:tr w:rsidR="00B56ADF" w14:paraId="0E6993A8" w14:textId="77777777" w:rsidTr="00D7674C">
        <w:trPr>
          <w:trHeight w:val="700"/>
        </w:trPr>
        <w:tc>
          <w:tcPr>
            <w:tcW w:w="4968" w:type="dxa"/>
          </w:tcPr>
          <w:p w14:paraId="2A3994FB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(iv)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identifying 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boundaries?</w:t>
            </w:r>
          </w:p>
        </w:tc>
        <w:tc>
          <w:tcPr>
            <w:tcW w:w="3969" w:type="dxa"/>
          </w:tcPr>
          <w:p w14:paraId="7E15339A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None.</w:t>
            </w:r>
          </w:p>
        </w:tc>
      </w:tr>
      <w:tr w:rsidR="00B56ADF" w14:paraId="6C3C08F5" w14:textId="77777777" w:rsidTr="00D7674C">
        <w:trPr>
          <w:trHeight w:val="930"/>
        </w:trPr>
        <w:tc>
          <w:tcPr>
            <w:tcW w:w="4968" w:type="dxa"/>
          </w:tcPr>
          <w:p w14:paraId="03525F7D" w14:textId="77777777" w:rsidR="00B56ADF" w:rsidRDefault="00B56ADF" w:rsidP="00D7674C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(v)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ASPA,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HSM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this area or adjacent to it? In particular, please explain any merger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incorporation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abolition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 existing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3969" w:type="dxa"/>
          </w:tcPr>
          <w:p w14:paraId="0A25EE85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 None</w:t>
            </w:r>
            <w:r>
              <w:rPr>
                <w:snapToGrid w:val="0"/>
                <w:sz w:val="20"/>
                <w:szCs w:val="20"/>
              </w:rPr>
              <w:t>.</w:t>
            </w:r>
          </w:p>
        </w:tc>
      </w:tr>
      <w:tr w:rsidR="00B56ADF" w14:paraId="3855C880" w14:textId="77777777" w:rsidTr="00D7674C">
        <w:trPr>
          <w:trHeight w:val="700"/>
        </w:trPr>
        <w:tc>
          <w:tcPr>
            <w:tcW w:w="4968" w:type="dxa"/>
          </w:tcPr>
          <w:p w14:paraId="56308904" w14:textId="77777777" w:rsidR="00B56ADF" w:rsidRDefault="00B56ADF" w:rsidP="00D7674C">
            <w:pPr>
              <w:pStyle w:val="TableParagraph"/>
              <w:spacing w:before="120"/>
              <w:ind w:left="115" w:right="196"/>
              <w:rPr>
                <w:sz w:val="20"/>
              </w:rPr>
            </w:pPr>
            <w:r>
              <w:rPr>
                <w:sz w:val="20"/>
              </w:rPr>
              <w:lastRenderedPageBreak/>
              <w:t>(vi) Other - brief summary of other types of changes, indicating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paragraphs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located </w:t>
            </w:r>
            <w:r w:rsidRPr="000A0348">
              <w:rPr>
                <w:color w:val="000000"/>
                <w:lang w:val="en-GB"/>
              </w:rPr>
              <w:t>(especially helpful if the plan is long).</w:t>
            </w:r>
          </w:p>
        </w:tc>
        <w:tc>
          <w:tcPr>
            <w:tcW w:w="3969" w:type="dxa"/>
          </w:tcPr>
          <w:p w14:paraId="1F055046" w14:textId="77777777" w:rsidR="00B56ADF" w:rsidRPr="00424E78" w:rsidRDefault="00B56ADF" w:rsidP="00D7674C">
            <w:pPr>
              <w:pStyle w:val="ATSNormal"/>
              <w:jc w:val="both"/>
              <w:rPr>
                <w:sz w:val="20"/>
                <w:szCs w:val="20"/>
              </w:rPr>
            </w:pPr>
            <w:r w:rsidRPr="00424E78">
              <w:rPr>
                <w:sz w:val="20"/>
                <w:szCs w:val="20"/>
              </w:rPr>
              <w:t>General review of the contents of the current Management Plan and their comparison with applicable Antarctic Treaty regulations and guidelines;</w:t>
            </w:r>
          </w:p>
          <w:p w14:paraId="29E53D89" w14:textId="77777777" w:rsidR="00B56ADF" w:rsidRPr="00424E78" w:rsidRDefault="00B56ADF" w:rsidP="00D7674C">
            <w:pPr>
              <w:pStyle w:val="ATSNormal"/>
              <w:jc w:val="both"/>
              <w:rPr>
                <w:sz w:val="20"/>
                <w:szCs w:val="20"/>
              </w:rPr>
            </w:pPr>
            <w:r w:rsidRPr="00424E78">
              <w:rPr>
                <w:sz w:val="20"/>
                <w:szCs w:val="20"/>
              </w:rPr>
              <w:t>Information updated on the current status of values to be protected, biological communities, scientific research and monitoring being conducted, climate, tourism, and commercial harvesting within the ASMA No. 1;</w:t>
            </w:r>
          </w:p>
          <w:p w14:paraId="5A767BC5" w14:textId="77777777" w:rsidR="00B56ADF" w:rsidRPr="00424E78" w:rsidRDefault="00B56ADF" w:rsidP="00D7674C">
            <w:pPr>
              <w:pStyle w:val="ATSNormal"/>
              <w:jc w:val="both"/>
              <w:rPr>
                <w:sz w:val="20"/>
                <w:szCs w:val="20"/>
              </w:rPr>
            </w:pPr>
            <w:r w:rsidRPr="00424E78">
              <w:rPr>
                <w:sz w:val="20"/>
                <w:szCs w:val="20"/>
              </w:rPr>
              <w:t>Contacts were made with IAATO for updated information on tourism on Admiralty Bay;</w:t>
            </w:r>
          </w:p>
          <w:p w14:paraId="0E772DF4" w14:textId="77777777" w:rsidR="00B56ADF" w:rsidRPr="00424E78" w:rsidRDefault="00B56ADF" w:rsidP="00D7674C">
            <w:pPr>
              <w:pStyle w:val="ATSNormal"/>
              <w:jc w:val="both"/>
              <w:rPr>
                <w:sz w:val="20"/>
                <w:szCs w:val="20"/>
              </w:rPr>
            </w:pPr>
            <w:r w:rsidRPr="00424E78">
              <w:rPr>
                <w:sz w:val="20"/>
                <w:szCs w:val="20"/>
              </w:rPr>
              <w:t>Code of Conduct for Visitors (appendix A)</w:t>
            </w:r>
            <w:r w:rsidRPr="00424E78">
              <w:t xml:space="preserve"> </w:t>
            </w:r>
            <w:r w:rsidRPr="00424E78">
              <w:rPr>
                <w:sz w:val="20"/>
                <w:szCs w:val="20"/>
              </w:rPr>
              <w:t>and Scientific and Environmental Guidelines (Appendix B) revised, to make sure this is up to date, and to include reference to relevant Treaty documents;</w:t>
            </w:r>
          </w:p>
          <w:p w14:paraId="0D2AA703" w14:textId="77777777" w:rsidR="00B56ADF" w:rsidRDefault="00B56ADF" w:rsidP="00D7674C">
            <w:pPr>
              <w:pStyle w:val="TableParagraph"/>
              <w:rPr>
                <w:sz w:val="20"/>
              </w:rPr>
            </w:pPr>
            <w:r w:rsidRPr="00424E78">
              <w:rPr>
                <w:sz w:val="20"/>
                <w:szCs w:val="20"/>
              </w:rPr>
              <w:t>New maps of ASMA No. 1 boundaries and Comandante Ferraz Antarctic Station visitors zone included.</w:t>
            </w:r>
          </w:p>
        </w:tc>
      </w:tr>
      <w:tr w:rsidR="00B56ADF" w14:paraId="7304B2E5" w14:textId="77777777" w:rsidTr="00D7674C">
        <w:trPr>
          <w:trHeight w:val="697"/>
        </w:trPr>
        <w:tc>
          <w:tcPr>
            <w:tcW w:w="4968" w:type="dxa"/>
          </w:tcPr>
          <w:p w14:paraId="4DF9A8FF" w14:textId="77777777" w:rsidR="00B56ADF" w:rsidRDefault="00B56ADF" w:rsidP="00D7674C">
            <w:pPr>
              <w:pStyle w:val="TableParagraph"/>
              <w:spacing w:before="120"/>
              <w:ind w:left="114"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5. If a new ASPA or ASMA is proposed, does it contain any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area?</w:t>
            </w:r>
          </w:p>
        </w:tc>
        <w:tc>
          <w:tcPr>
            <w:tcW w:w="3969" w:type="dxa"/>
          </w:tcPr>
          <w:p w14:paraId="7DD517F3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N/A</w:t>
            </w:r>
          </w:p>
        </w:tc>
      </w:tr>
      <w:tr w:rsidR="00B56ADF" w14:paraId="1449C67B" w14:textId="77777777" w:rsidTr="00D7674C">
        <w:trPr>
          <w:trHeight w:val="700"/>
        </w:trPr>
        <w:tc>
          <w:tcPr>
            <w:tcW w:w="4968" w:type="dxa"/>
          </w:tcPr>
          <w:p w14:paraId="164FF182" w14:textId="77777777" w:rsidR="00B56ADF" w:rsidRDefault="00B56ADF" w:rsidP="00D7674C">
            <w:pPr>
              <w:pStyle w:val="TableParagraph"/>
              <w:spacing w:before="120"/>
              <w:ind w:left="114" w:right="807"/>
              <w:rPr>
                <w:b/>
                <w:sz w:val="20"/>
              </w:rPr>
            </w:pPr>
            <w:r>
              <w:rPr>
                <w:b/>
                <w:sz w:val="20"/>
              </w:rPr>
              <w:t>6. If yes, does the proposal require the prior approval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CCAMLR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accordance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Decision 9 (2005)?</w:t>
            </w:r>
          </w:p>
        </w:tc>
        <w:tc>
          <w:tcPr>
            <w:tcW w:w="3969" w:type="dxa"/>
          </w:tcPr>
          <w:p w14:paraId="13F0B483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N/A</w:t>
            </w:r>
          </w:p>
        </w:tc>
      </w:tr>
      <w:tr w:rsidR="00B56ADF" w14:paraId="77923539" w14:textId="77777777" w:rsidTr="00D7674C">
        <w:trPr>
          <w:trHeight w:val="469"/>
        </w:trPr>
        <w:tc>
          <w:tcPr>
            <w:tcW w:w="4968" w:type="dxa"/>
          </w:tcPr>
          <w:p w14:paraId="6D501BB2" w14:textId="77777777" w:rsidR="00B56ADF" w:rsidRDefault="00B56ADF" w:rsidP="00D7674C">
            <w:pPr>
              <w:pStyle w:val="TableParagraph"/>
              <w:spacing w:before="12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yes,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approval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CCAMLR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obtained?</w:t>
            </w:r>
          </w:p>
        </w:tc>
        <w:tc>
          <w:tcPr>
            <w:tcW w:w="3969" w:type="dxa"/>
          </w:tcPr>
          <w:p w14:paraId="354372A7" w14:textId="77777777" w:rsidR="00B56ADF" w:rsidRDefault="00B56ADF" w:rsidP="00D7674C">
            <w:pPr>
              <w:pStyle w:val="TableParagraph"/>
              <w:spacing w:before="120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N/A</w:t>
            </w:r>
          </w:p>
        </w:tc>
      </w:tr>
      <w:tr w:rsidR="00B56ADF" w14:paraId="4EC1064B" w14:textId="77777777" w:rsidTr="00D7674C">
        <w:trPr>
          <w:trHeight w:val="470"/>
        </w:trPr>
        <w:tc>
          <w:tcPr>
            <w:tcW w:w="4968" w:type="dxa"/>
          </w:tcPr>
          <w:p w14:paraId="3F10D3A1" w14:textId="77777777" w:rsidR="00B56ADF" w:rsidRDefault="00B56ADF" w:rsidP="00D7674C"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CCAMLR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Paragraph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3969" w:type="dxa"/>
          </w:tcPr>
          <w:p w14:paraId="03938E26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>N/A</w:t>
            </w:r>
          </w:p>
        </w:tc>
      </w:tr>
      <w:tr w:rsidR="00B56ADF" w14:paraId="056C71D1" w14:textId="77777777" w:rsidTr="00D7674C">
        <w:trPr>
          <w:trHeight w:val="930"/>
        </w:trPr>
        <w:tc>
          <w:tcPr>
            <w:tcW w:w="4968" w:type="dxa"/>
          </w:tcPr>
          <w:p w14:paraId="5E1B57D1" w14:textId="77777777" w:rsidR="00B56ADF" w:rsidRDefault="00B56ADF" w:rsidP="00D7674C">
            <w:pPr>
              <w:pStyle w:val="TableParagraph"/>
              <w:spacing w:before="120"/>
              <w:ind w:left="114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8. If the proposal relates to an ASPA, what is the primary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reason for designation (</w:t>
            </w:r>
            <w:r>
              <w:rPr>
                <w:b/>
                <w:i/>
                <w:sz w:val="20"/>
              </w:rPr>
              <w:t>i.e.</w:t>
            </w:r>
            <w:r>
              <w:rPr>
                <w:b/>
                <w:sz w:val="20"/>
              </w:rPr>
              <w:t>, which part under Article 3.2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Annex V)?</w:t>
            </w:r>
          </w:p>
        </w:tc>
        <w:tc>
          <w:tcPr>
            <w:tcW w:w="3969" w:type="dxa"/>
          </w:tcPr>
          <w:p w14:paraId="5A04CE55" w14:textId="77777777" w:rsidR="00B56ADF" w:rsidRDefault="00B56ADF" w:rsidP="00D7674C">
            <w:pPr>
              <w:pStyle w:val="TableParagraph"/>
              <w:rPr>
                <w:sz w:val="20"/>
              </w:rPr>
            </w:pPr>
            <w:r>
              <w:rPr>
                <w:snapToGrid w:val="0"/>
                <w:sz w:val="20"/>
                <w:szCs w:val="20"/>
              </w:rPr>
              <w:t xml:space="preserve"> N/A</w:t>
            </w:r>
          </w:p>
        </w:tc>
      </w:tr>
      <w:tr w:rsidR="00B56ADF" w14:paraId="18DA30B8" w14:textId="77777777" w:rsidTr="00D7674C">
        <w:trPr>
          <w:trHeight w:val="1170"/>
        </w:trPr>
        <w:tc>
          <w:tcPr>
            <w:tcW w:w="4968" w:type="dxa"/>
          </w:tcPr>
          <w:p w14:paraId="2C5717B9" w14:textId="77777777" w:rsidR="00B56ADF" w:rsidRPr="00B31174" w:rsidRDefault="00B56ADF" w:rsidP="00D7674C">
            <w:pPr>
              <w:pStyle w:val="TableParagraph"/>
              <w:spacing w:before="120"/>
              <w:ind w:left="115" w:right="8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9. </w:t>
            </w:r>
            <w:r w:rsidRPr="005D5A7D">
              <w:rPr>
                <w:b/>
                <w:sz w:val="20"/>
              </w:rPr>
              <w:t>If relevant, have you identified the main Environmental Domain represented by the ASPA/ASMA</w:t>
            </w:r>
            <w:r>
              <w:rPr>
                <w:b/>
                <w:sz w:val="20"/>
              </w:rPr>
              <w:t>?</w:t>
            </w:r>
            <w:r w:rsidRPr="005D5A7D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>R</w:t>
            </w:r>
            <w:r w:rsidRPr="005D5A7D">
              <w:rPr>
                <w:b/>
                <w:sz w:val="20"/>
              </w:rPr>
              <w:t>efer to the ‘Environmental Domains Analysis for the Antarctic Continent’ appended to Resolution 3 (2008)</w:t>
            </w:r>
            <w:r>
              <w:rPr>
                <w:b/>
                <w:sz w:val="20"/>
              </w:rPr>
              <w:t>.</w:t>
            </w:r>
            <w:r w:rsidRPr="005D5A7D">
              <w:rPr>
                <w:b/>
                <w:sz w:val="20"/>
              </w:rPr>
              <w:t>)</w:t>
            </w:r>
          </w:p>
          <w:p w14:paraId="2435E1E9" w14:textId="77777777" w:rsidR="00B56ADF" w:rsidRDefault="00B56ADF" w:rsidP="00D7674C">
            <w:pPr>
              <w:pStyle w:val="TableParagraph"/>
              <w:ind w:left="115"/>
              <w:rPr>
                <w:sz w:val="20"/>
              </w:rPr>
            </w:pPr>
          </w:p>
        </w:tc>
        <w:tc>
          <w:tcPr>
            <w:tcW w:w="3969" w:type="dxa"/>
          </w:tcPr>
          <w:p w14:paraId="422868FB" w14:textId="77777777" w:rsidR="00B56ADF" w:rsidRDefault="00B56ADF" w:rsidP="00D7674C">
            <w:pPr>
              <w:pStyle w:val="TableParagraph"/>
              <w:rPr>
                <w:sz w:val="20"/>
                <w:szCs w:val="20"/>
              </w:rPr>
            </w:pPr>
            <w:r w:rsidRPr="00424E78">
              <w:rPr>
                <w:sz w:val="20"/>
                <w:szCs w:val="20"/>
              </w:rPr>
              <w:t xml:space="preserve">Environment A – Antarctic Peninsula northern geologic; </w:t>
            </w:r>
          </w:p>
          <w:p w14:paraId="23504E03" w14:textId="77777777" w:rsidR="00B56ADF" w:rsidRDefault="00B56ADF" w:rsidP="00D7674C">
            <w:pPr>
              <w:pStyle w:val="TableParagraph"/>
              <w:rPr>
                <w:sz w:val="20"/>
                <w:szCs w:val="20"/>
              </w:rPr>
            </w:pPr>
            <w:r w:rsidRPr="00424E78">
              <w:rPr>
                <w:sz w:val="20"/>
                <w:szCs w:val="20"/>
              </w:rPr>
              <w:t>Environment E – Antarctic Peninsula, Alexander and other islands main ice fields and glaciers; and</w:t>
            </w:r>
          </w:p>
          <w:p w14:paraId="5ACD80FC" w14:textId="77777777" w:rsidR="00B56ADF" w:rsidRDefault="00B56ADF" w:rsidP="00D7674C">
            <w:pPr>
              <w:pStyle w:val="TableParagraph"/>
              <w:rPr>
                <w:sz w:val="20"/>
              </w:rPr>
            </w:pPr>
            <w:r w:rsidRPr="00424E78">
              <w:rPr>
                <w:sz w:val="20"/>
                <w:szCs w:val="20"/>
              </w:rPr>
              <w:t>Environment G – Antarctic Peninsula offshore islands</w:t>
            </w:r>
            <w:r>
              <w:rPr>
                <w:sz w:val="20"/>
                <w:szCs w:val="20"/>
              </w:rPr>
              <w:t>.</w:t>
            </w:r>
          </w:p>
        </w:tc>
      </w:tr>
      <w:tr w:rsidR="00B56ADF" w14:paraId="68E6FAD8" w14:textId="77777777" w:rsidTr="00D7674C">
        <w:trPr>
          <w:trHeight w:val="1629"/>
        </w:trPr>
        <w:tc>
          <w:tcPr>
            <w:tcW w:w="4968" w:type="dxa"/>
          </w:tcPr>
          <w:p w14:paraId="058BCF46" w14:textId="77777777" w:rsidR="00B56ADF" w:rsidRPr="004C7972" w:rsidRDefault="00B56ADF" w:rsidP="00D7674C">
            <w:pPr>
              <w:pStyle w:val="TableParagraph"/>
              <w:spacing w:before="120"/>
              <w:ind w:left="115" w:right="7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10. </w:t>
            </w:r>
            <w:r w:rsidRPr="002637A0">
              <w:rPr>
                <w:b/>
                <w:sz w:val="20"/>
              </w:rPr>
              <w:t>If relevant, have you identified the main Antarctic Conservation Biogeographic Region represented by the ASPA/ASMA</w:t>
            </w:r>
            <w:r>
              <w:rPr>
                <w:b/>
                <w:sz w:val="20"/>
              </w:rPr>
              <w:t>?</w:t>
            </w:r>
            <w:r w:rsidRPr="002637A0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>R</w:t>
            </w:r>
            <w:r w:rsidRPr="002637A0">
              <w:rPr>
                <w:b/>
                <w:sz w:val="20"/>
              </w:rPr>
              <w:t xml:space="preserve">efer to the ‘Antarctic Conservation Biogeographic Regions’ appended to Resolution </w:t>
            </w:r>
            <w:r>
              <w:rPr>
                <w:b/>
                <w:sz w:val="20"/>
              </w:rPr>
              <w:t>3</w:t>
            </w:r>
            <w:r w:rsidRPr="002637A0">
              <w:rPr>
                <w:b/>
                <w:sz w:val="20"/>
              </w:rPr>
              <w:t xml:space="preserve"> (201</w:t>
            </w:r>
            <w:r>
              <w:rPr>
                <w:b/>
                <w:sz w:val="20"/>
              </w:rPr>
              <w:t>7</w:t>
            </w:r>
            <w:r w:rsidRPr="002637A0"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3969" w:type="dxa"/>
          </w:tcPr>
          <w:p w14:paraId="5F9B6E65" w14:textId="77777777" w:rsidR="00B56ADF" w:rsidRPr="004C7972" w:rsidRDefault="00B56ADF" w:rsidP="00D7674C">
            <w:pPr>
              <w:pStyle w:val="TableParagraph"/>
              <w:spacing w:before="193"/>
              <w:rPr>
                <w:sz w:val="20"/>
                <w:szCs w:val="20"/>
              </w:rPr>
            </w:pPr>
            <w:r w:rsidRPr="004C7972">
              <w:rPr>
                <w:sz w:val="20"/>
                <w:szCs w:val="20"/>
              </w:rPr>
              <w:t xml:space="preserve"> ACBR 1 - North-east Antarctic Peninsula</w:t>
            </w:r>
          </w:p>
        </w:tc>
      </w:tr>
      <w:tr w:rsidR="00B56ADF" w:rsidRPr="00971BC1" w14:paraId="5B397662" w14:textId="77777777" w:rsidTr="00D7674C">
        <w:trPr>
          <w:trHeight w:val="1170"/>
        </w:trPr>
        <w:tc>
          <w:tcPr>
            <w:tcW w:w="4968" w:type="dxa"/>
          </w:tcPr>
          <w:p w14:paraId="00322EBA" w14:textId="77777777" w:rsidR="00B56ADF" w:rsidRPr="00B31174" w:rsidRDefault="00B56ADF" w:rsidP="00D7674C">
            <w:pPr>
              <w:pStyle w:val="TableParagraph"/>
              <w:spacing w:before="120"/>
              <w:ind w:left="115" w:right="468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11. </w:t>
            </w:r>
            <w:r w:rsidRPr="00B31174">
              <w:rPr>
                <w:b/>
                <w:sz w:val="20"/>
              </w:rPr>
              <w:t>If relevant, have you identified any Antarctic Important Bird Areas (Resolution 5 (2015)) represented by the ASPA/ASMA</w:t>
            </w:r>
            <w:r>
              <w:rPr>
                <w:b/>
                <w:sz w:val="20"/>
              </w:rPr>
              <w:t>?</w:t>
            </w:r>
            <w:r w:rsidRPr="00B31174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>R</w:t>
            </w:r>
            <w:r w:rsidRPr="00B31174">
              <w:rPr>
                <w:b/>
                <w:sz w:val="20"/>
              </w:rPr>
              <w:t xml:space="preserve">efer to the ‘Important Bird Areas in Antarctica 2015 Summary’ appended to ATCM XXXVIII - IP 27 </w:t>
            </w:r>
            <w:r w:rsidRPr="00B31174">
              <w:rPr>
                <w:b/>
                <w:sz w:val="20"/>
              </w:rPr>
              <w:lastRenderedPageBreak/>
              <w:t xml:space="preserve">and the full report available at: </w:t>
            </w:r>
            <w:hyperlink r:id="rId14" w:history="1">
              <w:r w:rsidRPr="00B31174">
                <w:rPr>
                  <w:rStyle w:val="Hipervnculo"/>
                  <w:b/>
                  <w:sz w:val="20"/>
                </w:rPr>
                <w:t>http://www.era.gs/resources/iba/</w:t>
              </w:r>
            </w:hyperlink>
            <w:r>
              <w:rPr>
                <w:b/>
                <w:sz w:val="20"/>
              </w:rPr>
              <w:t>)</w:t>
            </w:r>
          </w:p>
          <w:p w14:paraId="20374B85" w14:textId="77777777" w:rsidR="00B56ADF" w:rsidRDefault="00B56ADF" w:rsidP="00D7674C">
            <w:pPr>
              <w:pStyle w:val="TableParagraph"/>
              <w:ind w:left="115"/>
              <w:rPr>
                <w:b/>
                <w:sz w:val="20"/>
              </w:rPr>
            </w:pPr>
          </w:p>
        </w:tc>
        <w:tc>
          <w:tcPr>
            <w:tcW w:w="3969" w:type="dxa"/>
          </w:tcPr>
          <w:p w14:paraId="0458FEC5" w14:textId="77777777" w:rsidR="00B56ADF" w:rsidRPr="0079612C" w:rsidRDefault="00B56ADF" w:rsidP="00D7674C">
            <w:pPr>
              <w:pStyle w:val="TableParagraph"/>
              <w:rPr>
                <w:sz w:val="20"/>
              </w:rPr>
            </w:pPr>
            <w:r w:rsidRPr="0079612C">
              <w:rPr>
                <w:sz w:val="20"/>
              </w:rPr>
              <w:lastRenderedPageBreak/>
              <w:t>ANT045: Point Hennequin, King George Island</w:t>
            </w:r>
          </w:p>
          <w:p w14:paraId="65327812" w14:textId="77777777" w:rsidR="00B56ADF" w:rsidRPr="0079612C" w:rsidRDefault="00B56ADF" w:rsidP="00D7674C">
            <w:pPr>
              <w:pStyle w:val="TableParagraph"/>
              <w:rPr>
                <w:sz w:val="20"/>
              </w:rPr>
            </w:pPr>
            <w:r w:rsidRPr="0079612C">
              <w:rPr>
                <w:sz w:val="20"/>
              </w:rPr>
              <w:t>IBA criteria A4ii</w:t>
            </w:r>
          </w:p>
          <w:p w14:paraId="5C3546B2" w14:textId="77777777" w:rsidR="00B56ADF" w:rsidRPr="0079612C" w:rsidRDefault="00B56ADF" w:rsidP="00D7674C">
            <w:pPr>
              <w:pStyle w:val="TableParagraph"/>
              <w:rPr>
                <w:sz w:val="20"/>
              </w:rPr>
            </w:pPr>
            <w:r w:rsidRPr="0079612C">
              <w:rPr>
                <w:sz w:val="20"/>
              </w:rPr>
              <w:t>Coordinates 58°22'48" W, 62°06'57" S</w:t>
            </w:r>
          </w:p>
          <w:p w14:paraId="02E5F3AF" w14:textId="77777777" w:rsidR="00B56ADF" w:rsidRPr="0079612C" w:rsidRDefault="00B56ADF" w:rsidP="00D7674C">
            <w:pPr>
              <w:pStyle w:val="TableParagraph"/>
              <w:rPr>
                <w:sz w:val="20"/>
              </w:rPr>
            </w:pPr>
            <w:r w:rsidRPr="0079612C">
              <w:rPr>
                <w:sz w:val="20"/>
              </w:rPr>
              <w:t>Area 277 ha</w:t>
            </w:r>
          </w:p>
          <w:p w14:paraId="4AC22BF5" w14:textId="77777777" w:rsidR="00B56ADF" w:rsidRPr="0079612C" w:rsidRDefault="00B56ADF" w:rsidP="00D7674C">
            <w:pPr>
              <w:pStyle w:val="TableParagraph"/>
              <w:rPr>
                <w:sz w:val="20"/>
              </w:rPr>
            </w:pPr>
            <w:r w:rsidRPr="0079612C">
              <w:rPr>
                <w:sz w:val="20"/>
              </w:rPr>
              <w:t>Altitude 0 – 250 m</w:t>
            </w:r>
          </w:p>
          <w:p w14:paraId="161D365E" w14:textId="77777777" w:rsidR="00B56ADF" w:rsidRDefault="00B56ADF" w:rsidP="00D7674C">
            <w:pPr>
              <w:pStyle w:val="TableParagraph"/>
              <w:rPr>
                <w:sz w:val="20"/>
              </w:rPr>
            </w:pPr>
            <w:r w:rsidRPr="0079612C">
              <w:rPr>
                <w:sz w:val="20"/>
              </w:rPr>
              <w:lastRenderedPageBreak/>
              <w:t>Protection ASMA No.1</w:t>
            </w:r>
          </w:p>
          <w:p w14:paraId="79BB6EE4" w14:textId="77777777" w:rsidR="00B56ADF" w:rsidRDefault="00B56ADF" w:rsidP="00D7674C">
            <w:pPr>
              <w:pStyle w:val="TableParagraph"/>
              <w:rPr>
                <w:sz w:val="20"/>
              </w:rPr>
            </w:pPr>
          </w:p>
          <w:p w14:paraId="269A0A41" w14:textId="77777777" w:rsidR="00B56ADF" w:rsidRPr="005405E9" w:rsidRDefault="00B56ADF" w:rsidP="00D7674C">
            <w:pPr>
              <w:pStyle w:val="TableParagraph"/>
              <w:rPr>
                <w:sz w:val="20"/>
              </w:rPr>
            </w:pPr>
            <w:r w:rsidRPr="005405E9">
              <w:rPr>
                <w:sz w:val="20"/>
              </w:rPr>
              <w:t xml:space="preserve">ANT046: West Admiralty Bay, King George Island </w:t>
            </w:r>
          </w:p>
          <w:p w14:paraId="7E8828F7" w14:textId="77777777" w:rsidR="00B56ADF" w:rsidRPr="00B56ADF" w:rsidRDefault="00B56ADF" w:rsidP="00D7674C">
            <w:pPr>
              <w:pStyle w:val="TableParagraph"/>
              <w:rPr>
                <w:sz w:val="20"/>
                <w:lang w:val="es-AR"/>
              </w:rPr>
            </w:pPr>
            <w:r w:rsidRPr="00B56ADF">
              <w:rPr>
                <w:sz w:val="20"/>
                <w:lang w:val="es-AR"/>
              </w:rPr>
              <w:t>IBA criteria A1, A4ii, A4iii</w:t>
            </w:r>
          </w:p>
          <w:p w14:paraId="48988544" w14:textId="77777777" w:rsidR="00B56ADF" w:rsidRPr="00B56ADF" w:rsidRDefault="00B56ADF" w:rsidP="00D7674C">
            <w:pPr>
              <w:pStyle w:val="TableParagraph"/>
              <w:rPr>
                <w:sz w:val="20"/>
                <w:lang w:val="es-AR"/>
              </w:rPr>
            </w:pPr>
            <w:r w:rsidRPr="00B56ADF">
              <w:rPr>
                <w:sz w:val="20"/>
                <w:lang w:val="es-AR"/>
              </w:rPr>
              <w:t>Coordinates 58°28' W, 62°12' S</w:t>
            </w:r>
          </w:p>
          <w:p w14:paraId="1E3D4D29" w14:textId="77777777" w:rsidR="00B56ADF" w:rsidRPr="00B56ADF" w:rsidRDefault="00B56ADF" w:rsidP="00D7674C">
            <w:pPr>
              <w:pStyle w:val="TableParagraph"/>
              <w:rPr>
                <w:sz w:val="20"/>
                <w:lang w:val="es-AR"/>
              </w:rPr>
            </w:pPr>
            <w:r w:rsidRPr="00B56ADF">
              <w:rPr>
                <w:sz w:val="20"/>
                <w:lang w:val="es-AR"/>
              </w:rPr>
              <w:t>Area 1804 ha</w:t>
            </w:r>
          </w:p>
          <w:p w14:paraId="30C5CE00" w14:textId="77777777" w:rsidR="00B56ADF" w:rsidRPr="00B56ADF" w:rsidRDefault="00B56ADF" w:rsidP="00D7674C">
            <w:pPr>
              <w:pStyle w:val="TableParagraph"/>
              <w:rPr>
                <w:sz w:val="20"/>
                <w:lang w:val="es-AR"/>
              </w:rPr>
            </w:pPr>
            <w:r w:rsidRPr="00B56ADF">
              <w:rPr>
                <w:sz w:val="20"/>
                <w:lang w:val="es-AR"/>
              </w:rPr>
              <w:t>Altitude 0 – c.350 m</w:t>
            </w:r>
          </w:p>
          <w:p w14:paraId="2F7CA101" w14:textId="77777777" w:rsidR="00B56ADF" w:rsidRPr="00B56ADF" w:rsidRDefault="00B56ADF" w:rsidP="00D7674C">
            <w:pPr>
              <w:pStyle w:val="TableParagraph"/>
              <w:rPr>
                <w:sz w:val="20"/>
                <w:lang w:val="es-AR"/>
              </w:rPr>
            </w:pPr>
            <w:r w:rsidRPr="00B56ADF">
              <w:rPr>
                <w:sz w:val="20"/>
                <w:lang w:val="es-AR"/>
              </w:rPr>
              <w:t>Protection ASPA No.128, ASMA No.1</w:t>
            </w:r>
          </w:p>
        </w:tc>
      </w:tr>
    </w:tbl>
    <w:p w14:paraId="467F7155" w14:textId="77777777" w:rsidR="00B56ADF" w:rsidRPr="00B56ADF" w:rsidRDefault="00B56ADF" w:rsidP="00B56ADF">
      <w:pPr>
        <w:pStyle w:val="ATSNormal"/>
        <w:rPr>
          <w:lang w:val="es-AR"/>
        </w:rPr>
      </w:pPr>
      <w:r w:rsidRPr="00B56ADF">
        <w:rPr>
          <w:lang w:val="es-AR"/>
        </w:rPr>
        <w:lastRenderedPageBreak/>
        <w:br w:type="page"/>
      </w:r>
    </w:p>
    <w:p w14:paraId="222B9AA7" w14:textId="77777777" w:rsidR="00B56ADF" w:rsidRPr="00B56ADF" w:rsidRDefault="00B56ADF" w:rsidP="00B56ADF">
      <w:pPr>
        <w:pStyle w:val="ATSNormal"/>
        <w:rPr>
          <w:lang w:val="es-AR"/>
        </w:rPr>
        <w:sectPr w:rsidR="00B56ADF" w:rsidRPr="00B56ADF" w:rsidSect="00DE77E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66E0BEF5" w14:textId="4C96D20A" w:rsidR="00B56ADF" w:rsidRPr="00B56ADF" w:rsidRDefault="00B56ADF" w:rsidP="00B56ADF">
      <w:pPr>
        <w:pStyle w:val="ATSHeading1"/>
      </w:pPr>
      <w:r w:rsidRPr="00B56ADF">
        <w:lastRenderedPageBreak/>
        <w:t>Revised Management Plan for</w:t>
      </w:r>
      <w:r>
        <w:t xml:space="preserve"> </w:t>
      </w:r>
      <w:r>
        <w:br/>
      </w:r>
      <w:r w:rsidRPr="00B56ADF">
        <w:t xml:space="preserve">Antarctic Specially Managed Area No.1 </w:t>
      </w:r>
      <w:r>
        <w:br/>
      </w:r>
      <w:r w:rsidRPr="00B56ADF">
        <w:t>Admiralty Bay, King George Island</w:t>
      </w:r>
    </w:p>
    <w:p w14:paraId="199E7E2A" w14:textId="77777777" w:rsidR="00B56ADF" w:rsidRPr="00B56ADF" w:rsidRDefault="00B56ADF" w:rsidP="00B56ADF">
      <w:pPr>
        <w:pStyle w:val="ATSHeading2"/>
        <w:rPr>
          <w:lang w:val="en-US"/>
        </w:rPr>
      </w:pPr>
    </w:p>
    <w:p w14:paraId="070641BF" w14:textId="083FFB75" w:rsidR="00B56ADF" w:rsidRPr="00DE77E5" w:rsidRDefault="00B56ADF" w:rsidP="00B56ADF">
      <w:pPr>
        <w:pStyle w:val="ATSHeading2"/>
      </w:pPr>
      <w:r w:rsidRPr="00DE77E5">
        <w:t>Sum</w:t>
      </w:r>
      <w:r>
        <w:t>mary</w:t>
      </w:r>
    </w:p>
    <w:p w14:paraId="1614F051" w14:textId="77777777" w:rsidR="00B56ADF" w:rsidRPr="001E1B80" w:rsidRDefault="00B56ADF" w:rsidP="00B56ADF">
      <w:pPr>
        <w:pStyle w:val="Default"/>
        <w:jc w:val="both"/>
        <w:rPr>
          <w:lang w:val="en-US"/>
        </w:rPr>
      </w:pPr>
      <w:r w:rsidRPr="005C119B">
        <w:rPr>
          <w:szCs w:val="22"/>
          <w:lang w:val="en-US"/>
        </w:rPr>
        <w:t xml:space="preserve">In accordance with Article 6.3 of Annex V to the Protocol on Environmental Protection to the Antarctic Treaty, the ASMA No. 1 Management Group has initiated </w:t>
      </w:r>
      <w:r>
        <w:rPr>
          <w:szCs w:val="22"/>
          <w:lang w:val="en-US"/>
        </w:rPr>
        <w:t xml:space="preserve">in 2019 </w:t>
      </w:r>
      <w:r w:rsidRPr="005C119B">
        <w:rPr>
          <w:szCs w:val="22"/>
          <w:lang w:val="en-US"/>
        </w:rPr>
        <w:t xml:space="preserve">a five-year review of the management plan for Antarctic Specially Managed Area Admiralty Bay (ASMA No. 1). </w:t>
      </w:r>
      <w:r w:rsidRPr="007D5C68">
        <w:rPr>
          <w:rFonts w:eastAsia="Calibri"/>
          <w:szCs w:val="22"/>
          <w:lang w:val="en-US"/>
        </w:rPr>
        <w:t xml:space="preserve">Resolution 1 (2017) Annex B (Guidelines for the preparation of ASMA management plans) </w:t>
      </w:r>
      <w:r>
        <w:rPr>
          <w:rFonts w:eastAsia="Calibri"/>
          <w:szCs w:val="22"/>
          <w:lang w:val="en-US"/>
        </w:rPr>
        <w:t>has been</w:t>
      </w:r>
      <w:r w:rsidRPr="007D5C68">
        <w:rPr>
          <w:rFonts w:eastAsia="Calibri"/>
          <w:szCs w:val="22"/>
          <w:lang w:val="en-US"/>
        </w:rPr>
        <w:t xml:space="preserve"> followed in the process of revising the management plan. </w:t>
      </w:r>
      <w:r w:rsidRPr="00AC427D">
        <w:rPr>
          <w:szCs w:val="22"/>
          <w:lang w:val="en-US"/>
        </w:rPr>
        <w:t>According to the work plan presented in IP 133 at CEP XXIII/ATCM XLIII, the review continued during the intersessional periods</w:t>
      </w:r>
      <w:r w:rsidRPr="00AC427D">
        <w:rPr>
          <w:lang w:val="en-US"/>
        </w:rPr>
        <w:t xml:space="preserve">. The revised Management Plan for ASMA No.1 Admiralty Bay is attached for consideration by the Committee for Environmental Protection (CEP) for recommendation </w:t>
      </w:r>
      <w:r>
        <w:rPr>
          <w:lang w:val="en-US"/>
        </w:rPr>
        <w:t>to</w:t>
      </w:r>
      <w:r w:rsidRPr="00AC427D">
        <w:rPr>
          <w:lang w:val="en-US"/>
        </w:rPr>
        <w:t xml:space="preserve"> adoption by the Antarctic Treaty Consultative Meeting (ATCM).</w:t>
      </w:r>
    </w:p>
    <w:p w14:paraId="3C54022E" w14:textId="77777777" w:rsidR="00B56ADF" w:rsidRPr="001E1B80" w:rsidRDefault="00B56ADF" w:rsidP="00B56ADF">
      <w:pPr>
        <w:spacing w:before="100" w:beforeAutospacing="1" w:after="100" w:afterAutospacing="1"/>
        <w:rPr>
          <w:szCs w:val="22"/>
          <w:lang w:val="en-US" w:eastAsia="en-GB"/>
        </w:rPr>
      </w:pPr>
    </w:p>
    <w:p w14:paraId="7F57237D" w14:textId="149908EA" w:rsidR="00B56ADF" w:rsidRPr="00B56ADF" w:rsidRDefault="00B56ADF" w:rsidP="00B56ADF">
      <w:pPr>
        <w:rPr>
          <w:lang w:val="en-US"/>
        </w:rPr>
      </w:pPr>
    </w:p>
    <w:sectPr w:rsidR="00B56ADF" w:rsidRPr="00B56ADF" w:rsidSect="00283F0F">
      <w:headerReference w:type="default" r:id="rId21"/>
      <w:footerReference w:type="default" r:id="rId22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1DFB" w14:textId="77777777" w:rsidR="00392BCC" w:rsidRDefault="00B56ADF">
      <w:r>
        <w:separator/>
      </w:r>
    </w:p>
  </w:endnote>
  <w:endnote w:type="continuationSeparator" w:id="0">
    <w:p w14:paraId="33A29CF4" w14:textId="77777777" w:rsidR="00392BCC" w:rsidRDefault="00B5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65EB" w14:textId="77777777" w:rsidR="00FA0B9F" w:rsidRDefault="00B56AD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 w:rsidR="00971BC1">
      <w:fldChar w:fldCharType="separate"/>
    </w:r>
    <w:r>
      <w:fldChar w:fldCharType="end"/>
    </w:r>
  </w:p>
  <w:p w14:paraId="1BDDA823" w14:textId="77777777" w:rsidR="00FA0B9F" w:rsidRDefault="00971BC1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F551" w14:textId="77777777" w:rsidR="00FA0B9F" w:rsidRDefault="00B56AD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40013018" w14:textId="77777777" w:rsidR="00FA0B9F" w:rsidRDefault="00B56ADF" w:rsidP="00FA0B9F">
    <w:pPr>
      <w:ind w:right="360"/>
    </w:pPr>
    <w:r>
      <w:t xml:space="preserve">Attachments: </w:t>
    </w:r>
  </w:p>
  <w:p w14:paraId="2BF2B54C" w14:textId="7B8E03F4" w:rsidR="00B56ADF" w:rsidRDefault="00B56ADF" w:rsidP="00FA0B9F">
    <w:pPr>
      <w:ind w:right="360"/>
    </w:pPr>
    <w:r>
      <w:t>Atcm45_att054_</w:t>
    </w:r>
    <w:r w:rsidR="00971BC1">
      <w:t>rev1_</w:t>
    </w:r>
    <w:r>
      <w:t>e.docx: ASMA 1 Revised Management Plan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5C29" w14:textId="77777777" w:rsidR="00971BC1" w:rsidRDefault="00971BC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AC16" w14:textId="77777777" w:rsidR="00B56ADF" w:rsidRDefault="00B56AD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1304BC36" w14:textId="77777777" w:rsidR="00B56ADF" w:rsidRDefault="00B56ADF" w:rsidP="00FA0B9F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77A0" w14:textId="77777777" w:rsidR="00B56ADF" w:rsidRDefault="00B56ADF" w:rsidP="002416F3">
    <w:pPr>
      <w:framePr w:wrap="around" w:vAnchor="text" w:hAnchor="margin" w:xAlign="right" w:y="1"/>
    </w:pPr>
    <w:bookmarkStart w:id="9" w:name="TITUS2FooterPrimary"/>
    <w:r w:rsidRPr="002416F3">
      <w:rPr>
        <w:color w:val="000000"/>
        <w:sz w:val="17"/>
      </w:rPr>
      <w:t>  </w:t>
    </w:r>
    <w:bookmarkEnd w:id="9"/>
  </w:p>
  <w:p w14:paraId="3B301422" w14:textId="77777777" w:rsidR="00B56ADF" w:rsidRDefault="00B56AD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E81427B" w14:textId="77777777" w:rsidR="00B56ADF" w:rsidRDefault="00B56ADF" w:rsidP="00E311C9">
    <w:pPr>
      <w:ind w:right="360"/>
    </w:pPr>
  </w:p>
  <w:p w14:paraId="7FE03242" w14:textId="77777777" w:rsidR="00B56ADF" w:rsidRDefault="00B56ADF"/>
  <w:p w14:paraId="56F51C6A" w14:textId="77777777" w:rsidR="00B56ADF" w:rsidRDefault="00B56ADF"/>
  <w:p w14:paraId="144FF3E4" w14:textId="77777777" w:rsidR="00B56ADF" w:rsidRDefault="00B56AD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5D2E" w14:textId="77777777" w:rsidR="00B56ADF" w:rsidRDefault="00B56ADF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CCA42" w14:textId="77777777" w:rsidR="00E311C9" w:rsidRDefault="00B56AD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7B839D1" w14:textId="77777777" w:rsidR="00E311C9" w:rsidRDefault="00971BC1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7D48" w14:textId="77777777" w:rsidR="00392BCC" w:rsidRDefault="00B56ADF">
      <w:r>
        <w:separator/>
      </w:r>
    </w:p>
  </w:footnote>
  <w:footnote w:type="continuationSeparator" w:id="0">
    <w:p w14:paraId="393CF57E" w14:textId="77777777" w:rsidR="00392BCC" w:rsidRDefault="00B56ADF">
      <w:r>
        <w:continuationSeparator/>
      </w:r>
    </w:p>
  </w:footnote>
  <w:footnote w:id="1">
    <w:p w14:paraId="00F6E394" w14:textId="77777777" w:rsidR="00B56ADF" w:rsidRPr="00437BCA" w:rsidRDefault="00B56ADF" w:rsidP="00B56ADF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9279" w14:textId="77777777" w:rsidR="00971BC1" w:rsidRDefault="00971B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9E51E5" w14:paraId="32677D2C" w14:textId="77777777" w:rsidTr="002E12EC">
      <w:trPr>
        <w:trHeight w:val="344"/>
        <w:jc w:val="center"/>
      </w:trPr>
      <w:tc>
        <w:tcPr>
          <w:tcW w:w="5495" w:type="dxa"/>
        </w:tcPr>
        <w:p w14:paraId="3CF9CA90" w14:textId="77777777" w:rsidR="00DB7C09" w:rsidRDefault="00971BC1" w:rsidP="00F968D4"/>
      </w:tc>
      <w:tc>
        <w:tcPr>
          <w:tcW w:w="4253" w:type="dxa"/>
          <w:gridSpan w:val="2"/>
        </w:tcPr>
        <w:p w14:paraId="55DCD52C" w14:textId="77777777" w:rsidR="00DB7C09" w:rsidRPr="00BD47E4" w:rsidRDefault="00B56ADF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WP</w:t>
          </w:r>
          <w:bookmarkEnd w:id="2"/>
        </w:p>
      </w:tc>
      <w:tc>
        <w:tcPr>
          <w:tcW w:w="1524" w:type="dxa"/>
          <w:gridSpan w:val="2"/>
        </w:tcPr>
        <w:p w14:paraId="13EAD12E" w14:textId="77777777" w:rsidR="00DB7C09" w:rsidRPr="00BD47E4" w:rsidRDefault="00B56ADF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59</w:t>
          </w:r>
          <w:bookmarkEnd w:id="3"/>
        </w:p>
      </w:tc>
    </w:tr>
    <w:tr w:rsidR="009E51E5" w14:paraId="57EACFD7" w14:textId="77777777" w:rsidTr="002E12EC">
      <w:trPr>
        <w:trHeight w:val="2165"/>
        <w:jc w:val="center"/>
      </w:trPr>
      <w:tc>
        <w:tcPr>
          <w:tcW w:w="5495" w:type="dxa"/>
        </w:tcPr>
        <w:p w14:paraId="4739C1F2" w14:textId="77777777" w:rsidR="00490760" w:rsidRPr="00EE4D48" w:rsidRDefault="00B56ADF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354D90B" wp14:editId="29174C5F">
                <wp:extent cx="2763277" cy="1612900"/>
                <wp:effectExtent l="0" t="0" r="0" b="6350"/>
                <wp:docPr id="2" name="Imagen 2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911589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0DD24D44" w14:textId="77777777" w:rsidR="00490760" w:rsidRPr="00FE5146" w:rsidRDefault="00B56ADF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9E51E5" w14:paraId="56FAA392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66345667" w14:textId="77777777" w:rsidR="00BD47E4" w:rsidRDefault="00B56ADF" w:rsidP="002C30DA">
          <w:pPr>
            <w:jc w:val="right"/>
          </w:pPr>
          <w:r>
            <w:t>Agenda Item:</w:t>
          </w:r>
        </w:p>
      </w:tc>
      <w:tc>
        <w:tcPr>
          <w:tcW w:w="2382" w:type="dxa"/>
          <w:gridSpan w:val="2"/>
        </w:tcPr>
        <w:p w14:paraId="00E38B75" w14:textId="77777777" w:rsidR="00BD47E4" w:rsidRDefault="00B56ADF" w:rsidP="002C30DA">
          <w:pPr>
            <w:jc w:val="right"/>
          </w:pPr>
          <w:bookmarkStart w:id="4" w:name="agenda"/>
          <w:r>
            <w:t>CEP 9a</w:t>
          </w:r>
          <w:bookmarkEnd w:id="4"/>
        </w:p>
      </w:tc>
      <w:tc>
        <w:tcPr>
          <w:tcW w:w="390" w:type="dxa"/>
        </w:tcPr>
        <w:p w14:paraId="3469B968" w14:textId="77777777" w:rsidR="00BD47E4" w:rsidRDefault="00971BC1" w:rsidP="00387A65">
          <w:pPr>
            <w:jc w:val="right"/>
          </w:pPr>
        </w:p>
      </w:tc>
    </w:tr>
    <w:tr w:rsidR="009E51E5" w14:paraId="6CE3C884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686206BE" w14:textId="77777777" w:rsidR="00BD47E4" w:rsidRDefault="00B56ADF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13A9A25C" w14:textId="77777777" w:rsidR="00BD47E4" w:rsidRDefault="00B56ADF" w:rsidP="002C30DA">
          <w:pPr>
            <w:jc w:val="right"/>
          </w:pPr>
          <w:bookmarkStart w:id="5" w:name="party"/>
          <w:r>
            <w:t>Brazil, Ecuador, Peru, Poland, United States</w:t>
          </w:r>
          <w:bookmarkEnd w:id="5"/>
        </w:p>
      </w:tc>
      <w:tc>
        <w:tcPr>
          <w:tcW w:w="390" w:type="dxa"/>
        </w:tcPr>
        <w:p w14:paraId="6DC65625" w14:textId="77777777" w:rsidR="00BD47E4" w:rsidRDefault="00971BC1" w:rsidP="00387A65">
          <w:pPr>
            <w:jc w:val="right"/>
          </w:pPr>
        </w:p>
      </w:tc>
    </w:tr>
    <w:tr w:rsidR="009E51E5" w14:paraId="3669FCA2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7990728D" w14:textId="77777777" w:rsidR="00BD47E4" w:rsidRDefault="00B56ADF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35877C24" w14:textId="77777777" w:rsidR="00BD47E4" w:rsidRDefault="00B56ADF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29B240BB" w14:textId="77777777" w:rsidR="00BD47E4" w:rsidRDefault="00971BC1" w:rsidP="00387A65">
          <w:pPr>
            <w:jc w:val="right"/>
          </w:pPr>
        </w:p>
      </w:tc>
    </w:tr>
    <w:tr w:rsidR="009E51E5" w14:paraId="06D6595E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1B0D9D42" w14:textId="77777777" w:rsidR="0097629D" w:rsidRDefault="00B56ADF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7456AE9C" w14:textId="77777777" w:rsidR="0097629D" w:rsidRDefault="00B56ADF" w:rsidP="0097629D">
          <w:pPr>
            <w:jc w:val="right"/>
          </w:pPr>
          <w:bookmarkStart w:id="7" w:name="date_submission"/>
          <w:r>
            <w:t>17 Apr 2023</w:t>
          </w:r>
          <w:bookmarkEnd w:id="7"/>
        </w:p>
      </w:tc>
      <w:tc>
        <w:tcPr>
          <w:tcW w:w="390" w:type="dxa"/>
        </w:tcPr>
        <w:p w14:paraId="3C759B5F" w14:textId="77777777" w:rsidR="0097629D" w:rsidRDefault="00971BC1" w:rsidP="00387A65">
          <w:pPr>
            <w:jc w:val="right"/>
          </w:pPr>
        </w:p>
      </w:tc>
    </w:tr>
  </w:tbl>
  <w:p w14:paraId="682F140F" w14:textId="77777777" w:rsidR="00AE5DD0" w:rsidRDefault="00971BC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79B52" w14:textId="77777777" w:rsidR="00971BC1" w:rsidRDefault="00971BC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45A9" w14:textId="77777777" w:rsidR="00B56ADF" w:rsidRDefault="00B56ADF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11242"/>
      <w:gridCol w:w="222"/>
    </w:tblGrid>
    <w:tr w:rsidR="00B56ADF" w14:paraId="26F004CC" w14:textId="77777777" w:rsidTr="00231931">
      <w:trPr>
        <w:trHeight w:val="354"/>
        <w:jc w:val="center"/>
      </w:trPr>
      <w:tc>
        <w:tcPr>
          <w:tcW w:w="9694" w:type="dxa"/>
        </w:tcPr>
        <w:tbl>
          <w:tblPr>
            <w:tblW w:w="11026" w:type="dxa"/>
            <w:jc w:val="center"/>
            <w:tblLook w:val="01E0" w:firstRow="1" w:lastRow="1" w:firstColumn="1" w:lastColumn="1" w:noHBand="0" w:noVBand="0"/>
          </w:tblPr>
          <w:tblGrid>
            <w:gridCol w:w="9526"/>
            <w:gridCol w:w="1500"/>
          </w:tblGrid>
          <w:tr w:rsidR="00547177" w14:paraId="64DD5230" w14:textId="77777777" w:rsidTr="00547177">
            <w:trPr>
              <w:trHeight w:val="354"/>
              <w:jc w:val="center"/>
            </w:trPr>
            <w:tc>
              <w:tcPr>
                <w:tcW w:w="9526" w:type="dxa"/>
              </w:tcPr>
              <w:p w14:paraId="5D296837" w14:textId="051E5870" w:rsidR="00547177" w:rsidRPr="00BD47E4" w:rsidRDefault="00547177" w:rsidP="00547177">
                <w:pPr>
                  <w:jc w:val="right"/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>WP</w:t>
                </w:r>
              </w:p>
            </w:tc>
            <w:tc>
              <w:tcPr>
                <w:tcW w:w="1500" w:type="dxa"/>
              </w:tcPr>
              <w:p w14:paraId="188FEF55" w14:textId="125709C3" w:rsidR="00547177" w:rsidRPr="00BD47E4" w:rsidRDefault="00547177" w:rsidP="00547177">
                <w:pPr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>59</w:t>
                </w:r>
              </w:p>
            </w:tc>
          </w:tr>
        </w:tbl>
        <w:p w14:paraId="7A9DEEAC" w14:textId="166288DE" w:rsidR="00B56ADF" w:rsidRPr="00BD47E4" w:rsidRDefault="00B56ADF" w:rsidP="00547177">
          <w:pPr>
            <w:rPr>
              <w:b/>
              <w:sz w:val="32"/>
              <w:szCs w:val="32"/>
            </w:rPr>
          </w:pPr>
        </w:p>
      </w:tc>
      <w:tc>
        <w:tcPr>
          <w:tcW w:w="1332" w:type="dxa"/>
        </w:tcPr>
        <w:p w14:paraId="17DA25FC" w14:textId="72C1F861" w:rsidR="00B56ADF" w:rsidRPr="00BD47E4" w:rsidRDefault="00B56ADF" w:rsidP="00080F4C">
          <w:pPr>
            <w:rPr>
              <w:b/>
              <w:sz w:val="32"/>
              <w:szCs w:val="32"/>
            </w:rPr>
          </w:pPr>
        </w:p>
      </w:tc>
    </w:tr>
  </w:tbl>
  <w:p w14:paraId="7D8BC194" w14:textId="77777777" w:rsidR="00B56ADF" w:rsidRDefault="00B56ADF"/>
  <w:p w14:paraId="758E334A" w14:textId="77777777" w:rsidR="00B56ADF" w:rsidRDefault="00B56AD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62EA" w14:textId="77777777" w:rsidR="00B56ADF" w:rsidRDefault="00B56ADF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9E51E5" w14:paraId="70290835" w14:textId="77777777">
      <w:trPr>
        <w:trHeight w:val="354"/>
        <w:jc w:val="center"/>
      </w:trPr>
      <w:tc>
        <w:tcPr>
          <w:tcW w:w="9694" w:type="dxa"/>
        </w:tcPr>
        <w:p w14:paraId="3CBE439A" w14:textId="1776F4C1" w:rsidR="00AE5DD0" w:rsidRPr="00BD47E4" w:rsidRDefault="00B56ADF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6A3436D9" w14:textId="0BC8B41F" w:rsidR="00AE5DD0" w:rsidRPr="00BD47E4" w:rsidRDefault="00B56ADF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59</w:t>
          </w:r>
        </w:p>
      </w:tc>
    </w:tr>
  </w:tbl>
  <w:p w14:paraId="712CD03D" w14:textId="77777777" w:rsidR="00AE5DD0" w:rsidRDefault="00971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E9FCEA32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A844A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2051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EB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F089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0016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6E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28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622B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2978663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D5C8FE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489A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8AE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74E3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2858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52AD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4AB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BC7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64D6DD78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E59E8F00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89C60D34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B12743E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DD4A0856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461C137E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4D80895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4204E6E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0492A84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F5D23D78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701C42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EA4D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C87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CD4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4EFC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C412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673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5493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CF188792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7FE870E6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B12445C2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A7F60B6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426A5BF0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6E1CA53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78DABD18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C7C0CD48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D3D401EE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88BE60CA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36A4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BE48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64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D803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3804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E88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CC2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3042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0401435">
    <w:abstractNumId w:val="9"/>
  </w:num>
  <w:num w:numId="2" w16cid:durableId="887110811">
    <w:abstractNumId w:val="7"/>
  </w:num>
  <w:num w:numId="3" w16cid:durableId="1522890068">
    <w:abstractNumId w:val="6"/>
  </w:num>
  <w:num w:numId="4" w16cid:durableId="1661352345">
    <w:abstractNumId w:val="5"/>
  </w:num>
  <w:num w:numId="5" w16cid:durableId="2025785364">
    <w:abstractNumId w:val="4"/>
  </w:num>
  <w:num w:numId="6" w16cid:durableId="1715696011">
    <w:abstractNumId w:val="8"/>
  </w:num>
  <w:num w:numId="7" w16cid:durableId="542181031">
    <w:abstractNumId w:val="3"/>
  </w:num>
  <w:num w:numId="8" w16cid:durableId="2135325780">
    <w:abstractNumId w:val="2"/>
  </w:num>
  <w:num w:numId="9" w16cid:durableId="1268270022">
    <w:abstractNumId w:val="1"/>
  </w:num>
  <w:num w:numId="10" w16cid:durableId="1043864963">
    <w:abstractNumId w:val="0"/>
  </w:num>
  <w:num w:numId="11" w16cid:durableId="879705437">
    <w:abstractNumId w:val="11"/>
  </w:num>
  <w:num w:numId="12" w16cid:durableId="2011059919">
    <w:abstractNumId w:val="15"/>
  </w:num>
  <w:num w:numId="13" w16cid:durableId="1534027787">
    <w:abstractNumId w:val="14"/>
  </w:num>
  <w:num w:numId="14" w16cid:durableId="304697213">
    <w:abstractNumId w:val="12"/>
  </w:num>
  <w:num w:numId="15" w16cid:durableId="619994984">
    <w:abstractNumId w:val="13"/>
  </w:num>
  <w:num w:numId="16" w16cid:durableId="557129577">
    <w:abstractNumId w:val="10"/>
  </w:num>
  <w:num w:numId="17" w16cid:durableId="1011374475">
    <w:abstractNumId w:val="11"/>
  </w:num>
  <w:num w:numId="18" w16cid:durableId="1708405081">
    <w:abstractNumId w:val="15"/>
  </w:num>
  <w:num w:numId="19" w16cid:durableId="596132803">
    <w:abstractNumId w:val="14"/>
  </w:num>
  <w:num w:numId="20" w16cid:durableId="1274046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E5"/>
    <w:rsid w:val="00392BCC"/>
    <w:rsid w:val="00547177"/>
    <w:rsid w:val="00971BC1"/>
    <w:rsid w:val="009E51E5"/>
    <w:rsid w:val="00B5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D6941"/>
  <w15:chartTrackingRefBased/>
  <w15:docId w15:val="{A186D7AE-1AD6-4DD0-A43A-2AB0022A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link w:val="ATSHeading2Char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TableParagraph">
    <w:name w:val="Table Paragraph"/>
    <w:basedOn w:val="Normal"/>
    <w:uiPriority w:val="1"/>
    <w:qFormat/>
    <w:rsid w:val="00B56ADF"/>
    <w:pPr>
      <w:widowControl w:val="0"/>
      <w:autoSpaceDE w:val="0"/>
      <w:autoSpaceDN w:val="0"/>
    </w:pPr>
    <w:rPr>
      <w:szCs w:val="22"/>
      <w:lang w:val="en-US"/>
    </w:rPr>
  </w:style>
  <w:style w:type="character" w:customStyle="1" w:styleId="ATSNormalChar">
    <w:name w:val="ATS Normal Char"/>
    <w:link w:val="ATSNormal"/>
    <w:locked/>
    <w:rsid w:val="00B56ADF"/>
    <w:rPr>
      <w:sz w:val="22"/>
      <w:szCs w:val="24"/>
      <w:lang w:val="en-GB" w:eastAsia="en-GB"/>
    </w:rPr>
  </w:style>
  <w:style w:type="character" w:customStyle="1" w:styleId="ATSHeading2Char">
    <w:name w:val="ATS Heading 2 Char"/>
    <w:link w:val="ATSHeading2"/>
    <w:locked/>
    <w:rsid w:val="00B56ADF"/>
    <w:rPr>
      <w:rFonts w:ascii="Arial" w:hAnsi="Arial"/>
      <w:b/>
      <w:i/>
      <w:sz w:val="24"/>
      <w:szCs w:val="22"/>
      <w:lang w:val="en-GB" w:eastAsia="en-GB"/>
    </w:rPr>
  </w:style>
  <w:style w:type="paragraph" w:customStyle="1" w:styleId="Default">
    <w:name w:val="Default"/>
    <w:rsid w:val="00B56ADF"/>
    <w:pPr>
      <w:autoSpaceDE w:val="0"/>
      <w:autoSpaceDN w:val="0"/>
      <w:adjustRightInd w:val="0"/>
    </w:pPr>
    <w:rPr>
      <w:color w:val="000000"/>
      <w:sz w:val="24"/>
      <w:szCs w:val="24"/>
      <w:lang w:val="pt-BR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era.gs/resources/iba/" TargetMode="Externa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849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5</cp:revision>
  <cp:lastPrinted>2008-01-22T18:20:00Z</cp:lastPrinted>
  <dcterms:created xsi:type="dcterms:W3CDTF">2022-10-28T13:16:00Z</dcterms:created>
  <dcterms:modified xsi:type="dcterms:W3CDTF">2023-05-29T15:57:00Z</dcterms:modified>
</cp:coreProperties>
</file>