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left"/>
        <w:rPr>
          <w:rFonts w:ascii="Liberation Serif" w:hAnsi="Liberation Serif"/>
        </w:rPr>
      </w:pPr>
      <w:r>
        <w:rPr>
          <w:rFonts w:ascii="Liberation Serif" w:hAnsi="Liberation Serif"/>
        </w:rPr>
        <w:t>The inescapable case for extensive reading</w:t>
      </w:r>
    </w:p>
    <w:p>
      <w:pPr>
        <w:pStyle w:val="TextBody"/>
        <w:bidi w:val="0"/>
        <w:jc w:val="left"/>
        <w:rPr/>
      </w:pPr>
      <w:r>
        <w:rPr/>
      </w:r>
    </w:p>
    <w:p>
      <w:pPr>
        <w:pStyle w:val="TextBody"/>
        <w:widowControl/>
        <w:bidi w:val="0"/>
        <w:ind w:left="0" w:right="0" w:hanging="0"/>
        <w:jc w:val="left"/>
        <w:rPr>
          <w:rFonts w:ascii="Arial" w:hAnsi="Arial"/>
          <w:b w:val="false"/>
          <w:i w:val="false"/>
          <w:i w:val="false"/>
          <w:iCs w:val="false"/>
          <w:caps w:val="false"/>
          <w:smallCaps w:val="false"/>
          <w:color w:val="434343"/>
          <w:spacing w:val="0"/>
          <w:sz w:val="21"/>
          <w:szCs w:val="21"/>
          <w:lang w:val="en-GB"/>
        </w:rPr>
      </w:pPr>
      <w:r>
        <w:rPr>
          <w:rFonts w:ascii="Arial" w:hAnsi="Arial"/>
          <w:b w:val="false"/>
          <w:i w:val="false"/>
          <w:iCs w:val="false"/>
          <w:caps w:val="false"/>
          <w:smallCaps w:val="false"/>
          <w:color w:val="434343"/>
          <w:spacing w:val="0"/>
          <w:sz w:val="21"/>
          <w:szCs w:val="21"/>
          <w:lang w:val="en-GB"/>
        </w:rPr>
        <w:t xml:space="preserve">By </w:t>
      </w:r>
      <w:r>
        <w:rPr>
          <w:rFonts w:ascii="Arial" w:hAnsi="Arial"/>
          <w:b w:val="false"/>
          <w:i w:val="false"/>
          <w:iCs w:val="false"/>
          <w:caps w:val="false"/>
          <w:smallCaps w:val="false"/>
          <w:color w:val="434343"/>
          <w:spacing w:val="0"/>
          <w:sz w:val="21"/>
          <w:szCs w:val="21"/>
          <w:lang w:val="en-GB"/>
        </w:rPr>
        <w:t>Rob Waring, Notre Dame Seishin University, Okayama, Japan</w:t>
      </w:r>
    </w:p>
    <w:p>
      <w:pPr>
        <w:pStyle w:val="TextBody"/>
        <w:widowControl/>
        <w:bidi w:val="0"/>
        <w:ind w:left="0" w:right="0" w:hanging="0"/>
        <w:jc w:val="left"/>
        <w:rPr>
          <w:rFonts w:ascii="Arial" w:hAnsi="Arial"/>
          <w:b w:val="false"/>
          <w:i w:val="false"/>
          <w:i w:val="false"/>
          <w:iCs w:val="false"/>
          <w:caps w:val="false"/>
          <w:smallCaps w:val="false"/>
          <w:color w:val="434343"/>
          <w:spacing w:val="0"/>
          <w:sz w:val="21"/>
          <w:szCs w:val="21"/>
        </w:rPr>
      </w:pPr>
      <w:r>
        <w:rPr>
          <w:rFonts w:ascii="Arial" w:hAnsi="Arial"/>
          <w:b w:val="false"/>
          <w:i w:val="false"/>
          <w:iCs w:val="false"/>
          <w:caps w:val="false"/>
          <w:smallCaps w:val="false"/>
          <w:color w:val="434343"/>
          <w:spacing w:val="0"/>
          <w:sz w:val="21"/>
          <w:szCs w:val="21"/>
        </w:rPr>
        <w:t>Source: robwaring.org</w:t>
      </w:r>
    </w:p>
    <w:p>
      <w:pPr>
        <w:pStyle w:val="Heading3"/>
        <w:bidi w:val="0"/>
        <w:jc w:val="left"/>
        <w:rPr>
          <w:rFonts w:ascii="Liberation Serif" w:hAnsi="Liberation Serif"/>
        </w:rPr>
      </w:pPr>
      <w:r>
        <w:rPr>
          <w:rFonts w:ascii="Liberation Serif" w:hAnsi="Liberation Serif"/>
        </w:rPr>
        <w:t>Abstract</w:t>
      </w:r>
    </w:p>
    <w:p>
      <w:pPr>
        <w:pStyle w:val="TextBody"/>
        <w:widowControl/>
        <w:bidi w:val="0"/>
        <w:spacing w:lineRule="auto" w:line="360" w:before="114" w:after="254"/>
        <w:ind w:left="0" w:right="0" w:hanging="0"/>
        <w:jc w:val="left"/>
        <w:rPr>
          <w:rFonts w:ascii="Liberation Serif" w:hAnsi="Liberation Serif"/>
          <w:b w:val="false"/>
          <w:i w:val="false"/>
          <w:caps w:val="false"/>
          <w:smallCaps w:val="false"/>
          <w:color w:val="auto"/>
          <w:spacing w:val="0"/>
          <w:sz w:val="24"/>
          <w:szCs w:val="24"/>
          <w:lang w:val="en-GB"/>
        </w:rPr>
      </w:pPr>
      <w:r>
        <w:rPr>
          <w:rFonts w:ascii="Liberation Serif" w:hAnsi="Liberation Serif"/>
          <w:b w:val="false"/>
          <w:i w:val="false"/>
          <w:caps w:val="false"/>
          <w:smallCaps w:val="false"/>
          <w:color w:val="auto"/>
          <w:spacing w:val="0"/>
          <w:sz w:val="24"/>
          <w:szCs w:val="24"/>
          <w:lang w:val="en-GB"/>
        </w:rPr>
        <w:t>In his article, Dr. Rob Waring discusses the necessity for Extensive Reading and Extensive Listening in all language programs. The article reviews recent vocabulary research and shows that learners need to meet massive amounts of language to learn not only single words but also their collocations, register and so forth. The article demonstrates that neither intentional learning nor course books (especially linear-based ones) can cover the vast volume of text the learners need to meet without Extensive Reading. He shows that learners need to gain their own sense of language and this cannot be gained from only learning discrete language points, rather it must, and can only, come from massive exposure in tandem with course books.</w:t>
      </w:r>
    </w:p>
    <w:p>
      <w:pPr>
        <w:pStyle w:val="TextBody"/>
        <w:widowControl/>
        <w:bidi w:val="0"/>
        <w:spacing w:lineRule="auto" w:line="360"/>
        <w:ind w:left="0" w:right="0" w:hanging="0"/>
        <w:jc w:val="center"/>
        <w:rPr>
          <w:rFonts w:ascii="Arial" w:hAnsi="Arial"/>
          <w:b w:val="false"/>
          <w:i w:val="false"/>
          <w:caps w:val="false"/>
          <w:smallCaps w:val="false"/>
          <w:color w:val="auto"/>
          <w:spacing w:val="0"/>
          <w:sz w:val="28"/>
        </w:rPr>
      </w:pPr>
      <w:r>
        <w:rPr>
          <w:rFonts w:ascii="Arial" w:hAnsi="Arial"/>
          <w:b w:val="false"/>
          <w:i w:val="false"/>
          <w:caps w:val="false"/>
          <w:smallCaps w:val="false"/>
          <w:color w:val="auto"/>
          <w:spacing w:val="0"/>
          <w:sz w:val="28"/>
        </w:rPr>
        <w:t>--------------------</w:t>
      </w:r>
    </w:p>
    <w:p>
      <w:pPr>
        <w:pStyle w:val="TextBody"/>
        <w:widowControl/>
        <w:bidi w:val="0"/>
        <w:spacing w:lineRule="auto" w:line="360"/>
        <w:ind w:left="0" w:right="0" w:hanging="0"/>
        <w:jc w:val="left"/>
        <w:rPr>
          <w:rFonts w:ascii="Liberation Serif" w:hAnsi="Liberation Serif"/>
          <w:b w:val="false"/>
          <w:i w:val="false"/>
          <w:caps w:val="false"/>
          <w:smallCaps w:val="false"/>
          <w:color w:val="auto"/>
          <w:spacing w:val="0"/>
          <w:sz w:val="24"/>
          <w:szCs w:val="24"/>
          <w:lang w:val="en-GB"/>
        </w:rPr>
      </w:pPr>
      <w:r>
        <w:rPr>
          <w:rFonts w:ascii="Liberation Serif" w:hAnsi="Liberation Serif"/>
          <w:b w:val="false"/>
          <w:i w:val="false"/>
          <w:caps w:val="false"/>
          <w:smallCaps w:val="false"/>
          <w:color w:val="auto"/>
          <w:spacing w:val="0"/>
          <w:sz w:val="24"/>
          <w:szCs w:val="24"/>
          <w:lang w:val="en-GB"/>
        </w:rPr>
        <w:t>This paper puts forward the idea that graded reading, or extensive reading, is a completely indispensable part of any language program, if not all language programs.  In order to demonstrate the case for an extensive reading component within any language program, it is useful to distinguish between two kinds of learning. The first is learning </w:t>
      </w:r>
      <w:r>
        <w:rPr>
          <w:rFonts w:ascii="Liberation Serif" w:hAnsi="Liberation Serif"/>
          <w:b w:val="false"/>
          <w:i/>
          <w:caps w:val="false"/>
          <w:smallCaps w:val="false"/>
          <w:color w:val="auto"/>
          <w:spacing w:val="0"/>
          <w:sz w:val="24"/>
          <w:szCs w:val="24"/>
          <w:lang w:val="en-GB"/>
        </w:rPr>
        <w:t>to use</w:t>
      </w:r>
      <w:r>
        <w:rPr>
          <w:rFonts w:ascii="Liberation Serif" w:hAnsi="Liberation Serif"/>
          <w:b w:val="false"/>
          <w:i w:val="false"/>
          <w:caps w:val="false"/>
          <w:smallCaps w:val="false"/>
          <w:color w:val="auto"/>
          <w:spacing w:val="0"/>
          <w:sz w:val="24"/>
          <w:szCs w:val="24"/>
          <w:lang w:val="en-GB"/>
        </w:rPr>
        <w:t> language. The second is </w:t>
      </w:r>
      <w:r>
        <w:rPr>
          <w:rFonts w:ascii="Liberation Serif" w:hAnsi="Liberation Serif"/>
          <w:b w:val="false"/>
          <w:i/>
          <w:caps w:val="false"/>
          <w:smallCaps w:val="false"/>
          <w:color w:val="auto"/>
          <w:spacing w:val="0"/>
          <w:sz w:val="24"/>
          <w:szCs w:val="24"/>
          <w:lang w:val="en-GB"/>
        </w:rPr>
        <w:t>studying about</w:t>
      </w:r>
      <w:r>
        <w:rPr>
          <w:rFonts w:ascii="Liberation Serif" w:hAnsi="Liberation Serif"/>
          <w:b w:val="false"/>
          <w:i w:val="false"/>
          <w:caps w:val="false"/>
          <w:smallCaps w:val="false"/>
          <w:color w:val="auto"/>
          <w:spacing w:val="0"/>
          <w:sz w:val="24"/>
          <w:szCs w:val="24"/>
          <w:lang w:val="en-GB"/>
        </w:rPr>
        <w:t> language.</w:t>
      </w:r>
    </w:p>
    <w:p>
      <w:pPr>
        <w:pStyle w:val="TextBody"/>
        <w:widowControl/>
        <w:bidi w:val="0"/>
        <w:spacing w:lineRule="auto" w:line="360"/>
        <w:ind w:left="0" w:right="0" w:hanging="0"/>
        <w:jc w:val="left"/>
        <w:rPr>
          <w:rFonts w:ascii="Liberation Serif" w:hAnsi="Liberation Serif"/>
          <w:b w:val="false"/>
          <w:i w:val="false"/>
          <w:caps w:val="false"/>
          <w:smallCaps w:val="false"/>
          <w:color w:val="auto"/>
          <w:spacing w:val="0"/>
          <w:sz w:val="24"/>
          <w:szCs w:val="24"/>
        </w:rPr>
      </w:pPr>
      <w:r>
        <w:rPr>
          <w:rFonts w:ascii="Liberation Serif" w:hAnsi="Liberation Serif"/>
          <w:b w:val="false"/>
          <w:i/>
          <w:caps w:val="false"/>
          <w:smallCaps w:val="false"/>
          <w:color w:val="auto"/>
          <w:spacing w:val="0"/>
          <w:sz w:val="24"/>
          <w:szCs w:val="24"/>
          <w:lang w:val="en-GB"/>
        </w:rPr>
        <w:t>Learning</w:t>
      </w:r>
      <w:r>
        <w:rPr>
          <w:rFonts w:ascii="Liberation Serif" w:hAnsi="Liberation Serif"/>
          <w:b w:val="false"/>
          <w:i w:val="false"/>
          <w:caps w:val="false"/>
          <w:smallCaps w:val="false"/>
          <w:color w:val="auto"/>
          <w:spacing w:val="0"/>
          <w:sz w:val="24"/>
          <w:szCs w:val="24"/>
        </w:rPr>
        <w:t> </w:t>
      </w:r>
      <w:r>
        <w:rPr>
          <w:rFonts w:ascii="Liberation Serif" w:hAnsi="Liberation Serif"/>
          <w:b w:val="false"/>
          <w:i/>
          <w:caps w:val="false"/>
          <w:smallCaps w:val="false"/>
          <w:color w:val="auto"/>
          <w:spacing w:val="0"/>
          <w:sz w:val="24"/>
          <w:szCs w:val="24"/>
          <w:lang w:val="en-GB"/>
        </w:rPr>
        <w:t>to use</w:t>
      </w:r>
      <w:r>
        <w:rPr>
          <w:rFonts w:ascii="Liberation Serif" w:hAnsi="Liberation Serif"/>
          <w:b w:val="false"/>
          <w:i w:val="false"/>
          <w:caps w:val="false"/>
          <w:smallCaps w:val="false"/>
          <w:color w:val="auto"/>
          <w:spacing w:val="0"/>
          <w:sz w:val="24"/>
          <w:szCs w:val="24"/>
          <w:lang w:val="en-GB"/>
        </w:rPr>
        <w:t> </w:t>
      </w:r>
      <w:r>
        <w:rPr>
          <w:rFonts w:ascii="Liberation Serif" w:hAnsi="Liberation Serif"/>
          <w:b w:val="false"/>
          <w:i/>
          <w:caps w:val="false"/>
          <w:smallCaps w:val="false"/>
          <w:color w:val="auto"/>
          <w:spacing w:val="0"/>
          <w:sz w:val="24"/>
          <w:szCs w:val="24"/>
          <w:lang w:val="en-GB"/>
        </w:rPr>
        <w:t>language</w:t>
      </w:r>
      <w:r>
        <w:rPr>
          <w:rFonts w:ascii="Liberation Serif" w:hAnsi="Liberation Serif"/>
          <w:b w:val="false"/>
          <w:i w:val="false"/>
          <w:caps w:val="false"/>
          <w:smallCaps w:val="false"/>
          <w:color w:val="auto"/>
          <w:spacing w:val="0"/>
          <w:sz w:val="24"/>
          <w:szCs w:val="24"/>
          <w:lang w:val="en-GB"/>
        </w:rPr>
        <w:t> means learning to use a language feature such as a verb, a grammatical construction or a lexical item, fluently and automatically in communicative situations. In order to do this, the learner should not be bogged down with form. If the learner has to think mid-sentence how a tense or a phrase should be constructed, then the fluency changes to a focus on language items. </w:t>
      </w:r>
      <w:r>
        <w:rPr>
          <w:rFonts w:ascii="Liberation Serif" w:hAnsi="Liberation Serif"/>
          <w:b w:val="false"/>
          <w:i/>
          <w:caps w:val="false"/>
          <w:smallCaps w:val="false"/>
          <w:color w:val="auto"/>
          <w:spacing w:val="0"/>
          <w:sz w:val="24"/>
          <w:szCs w:val="24"/>
          <w:lang w:val="en-GB"/>
        </w:rPr>
        <w:t>Studying</w:t>
      </w:r>
      <w:r>
        <w:rPr>
          <w:rFonts w:ascii="Liberation Serif" w:hAnsi="Liberation Serif"/>
          <w:b w:val="false"/>
          <w:i w:val="false"/>
          <w:caps w:val="false"/>
          <w:smallCaps w:val="false"/>
          <w:color w:val="auto"/>
          <w:spacing w:val="0"/>
          <w:sz w:val="24"/>
          <w:szCs w:val="24"/>
          <w:lang w:val="en-GB"/>
        </w:rPr>
        <w:t> </w:t>
      </w:r>
      <w:r>
        <w:rPr>
          <w:rFonts w:ascii="Liberation Serif" w:hAnsi="Liberation Serif"/>
          <w:b w:val="false"/>
          <w:i/>
          <w:caps w:val="false"/>
          <w:smallCaps w:val="false"/>
          <w:color w:val="auto"/>
          <w:spacing w:val="0"/>
          <w:sz w:val="24"/>
          <w:szCs w:val="24"/>
          <w:lang w:val="en-GB"/>
        </w:rPr>
        <w:t>about</w:t>
      </w:r>
      <w:r>
        <w:rPr>
          <w:rFonts w:ascii="Liberation Serif" w:hAnsi="Liberation Serif"/>
          <w:b w:val="false"/>
          <w:i w:val="false"/>
          <w:caps w:val="false"/>
          <w:smallCaps w:val="false"/>
          <w:color w:val="auto"/>
          <w:spacing w:val="0"/>
          <w:sz w:val="24"/>
          <w:szCs w:val="24"/>
          <w:lang w:val="en-GB"/>
        </w:rPr>
        <w:t> </w:t>
      </w:r>
      <w:r>
        <w:rPr>
          <w:rFonts w:ascii="Liberation Serif" w:hAnsi="Liberation Serif"/>
          <w:b w:val="false"/>
          <w:i/>
          <w:caps w:val="false"/>
          <w:smallCaps w:val="false"/>
          <w:color w:val="auto"/>
          <w:spacing w:val="0"/>
          <w:sz w:val="24"/>
          <w:szCs w:val="24"/>
          <w:lang w:val="en-GB"/>
        </w:rPr>
        <w:t>language</w:t>
      </w:r>
      <w:r>
        <w:rPr>
          <w:rFonts w:ascii="Liberation Serif" w:hAnsi="Liberation Serif"/>
          <w:b w:val="false"/>
          <w:i w:val="false"/>
          <w:caps w:val="false"/>
          <w:smallCaps w:val="false"/>
          <w:color w:val="auto"/>
          <w:spacing w:val="0"/>
          <w:sz w:val="24"/>
          <w:szCs w:val="24"/>
          <w:lang w:val="en-GB"/>
        </w:rPr>
        <w:t> involves finding out about how the language items work, such as learning the grammar and vocabulary through course books, a teacher’s presentation, or from a reading passage. The learners are introduced to a piece of language in say, a reading or listening passage and then asked to analyze it and find out its form and function. For example, the learners may learn the difference between </w:t>
      </w:r>
      <w:r>
        <w:rPr>
          <w:rFonts w:ascii="Liberation Serif" w:hAnsi="Liberation Serif"/>
          <w:b w:val="false"/>
          <w:i/>
          <w:caps w:val="false"/>
          <w:smallCaps w:val="false"/>
          <w:color w:val="auto"/>
          <w:spacing w:val="0"/>
          <w:sz w:val="24"/>
          <w:szCs w:val="24"/>
          <w:lang w:val="en-GB"/>
        </w:rPr>
        <w:t>make</w:t>
      </w:r>
      <w:r>
        <w:rPr>
          <w:rFonts w:ascii="Liberation Serif" w:hAnsi="Liberation Serif"/>
          <w:b w:val="false"/>
          <w:i w:val="false"/>
          <w:caps w:val="false"/>
          <w:smallCaps w:val="false"/>
          <w:color w:val="auto"/>
          <w:spacing w:val="0"/>
          <w:sz w:val="24"/>
          <w:szCs w:val="24"/>
          <w:lang w:val="en-GB"/>
        </w:rPr>
        <w:t> and </w:t>
      </w:r>
      <w:r>
        <w:rPr>
          <w:rFonts w:ascii="Liberation Serif" w:hAnsi="Liberation Serif"/>
          <w:b w:val="false"/>
          <w:i/>
          <w:caps w:val="false"/>
          <w:smallCaps w:val="false"/>
          <w:color w:val="auto"/>
          <w:spacing w:val="0"/>
          <w:sz w:val="24"/>
          <w:szCs w:val="24"/>
          <w:lang w:val="en-GB"/>
        </w:rPr>
        <w:t>do,</w:t>
      </w:r>
      <w:r>
        <w:rPr>
          <w:rFonts w:ascii="Liberation Serif" w:hAnsi="Liberation Serif"/>
          <w:b w:val="false"/>
          <w:i w:val="false"/>
          <w:caps w:val="false"/>
          <w:smallCaps w:val="false"/>
          <w:color w:val="auto"/>
          <w:spacing w:val="0"/>
          <w:sz w:val="24"/>
          <w:szCs w:val="24"/>
          <w:lang w:val="en-GB"/>
        </w:rPr>
        <w:t> or between the </w:t>
      </w:r>
      <w:r>
        <w:rPr>
          <w:rFonts w:ascii="Liberation Serif" w:hAnsi="Liberation Serif"/>
          <w:b w:val="false"/>
          <w:i/>
          <w:caps w:val="false"/>
          <w:smallCaps w:val="false"/>
          <w:color w:val="auto"/>
          <w:spacing w:val="0"/>
          <w:sz w:val="24"/>
          <w:szCs w:val="24"/>
          <w:lang w:val="en-GB"/>
        </w:rPr>
        <w:t>past simple tense</w:t>
      </w:r>
      <w:r>
        <w:rPr>
          <w:rFonts w:ascii="Liberation Serif" w:hAnsi="Liberation Serif"/>
          <w:b w:val="false"/>
          <w:i w:val="false"/>
          <w:caps w:val="false"/>
          <w:smallCaps w:val="false"/>
          <w:color w:val="auto"/>
          <w:spacing w:val="0"/>
          <w:sz w:val="24"/>
          <w:szCs w:val="24"/>
          <w:lang w:val="en-GB"/>
        </w:rPr>
        <w:t> and the </w:t>
      </w:r>
      <w:r>
        <w:rPr>
          <w:rFonts w:ascii="Liberation Serif" w:hAnsi="Liberation Serif"/>
          <w:b w:val="false"/>
          <w:i/>
          <w:caps w:val="false"/>
          <w:smallCaps w:val="false"/>
          <w:color w:val="auto"/>
          <w:spacing w:val="0"/>
          <w:sz w:val="24"/>
          <w:szCs w:val="24"/>
          <w:lang w:val="en-GB"/>
        </w:rPr>
        <w:t>present perfect tense</w:t>
      </w:r>
      <w:r>
        <w:rPr>
          <w:rFonts w:ascii="Liberation Serif" w:hAnsi="Liberation Serif"/>
          <w:b w:val="false"/>
          <w:i w:val="false"/>
          <w:caps w:val="false"/>
          <w:smallCaps w:val="false"/>
          <w:color w:val="auto"/>
          <w:spacing w:val="0"/>
          <w:sz w:val="24"/>
          <w:szCs w:val="24"/>
          <w:lang w:val="en-GB"/>
        </w:rPr>
        <w:t>, and so on. Typically, in course books and lessons, this presentation phase is followed activities that check the item is understood and can be manipulated and controlled at the form, meaning and pragmatic levels by giving some kind of drill, a gap-fill, a sentence completion activity, or a test. All this learning </w:t>
      </w:r>
      <w:r>
        <w:rPr>
          <w:rFonts w:ascii="Liberation Serif" w:hAnsi="Liberation Serif"/>
          <w:b w:val="false"/>
          <w:i/>
          <w:caps w:val="false"/>
          <w:smallCaps w:val="false"/>
          <w:color w:val="auto"/>
          <w:spacing w:val="0"/>
          <w:sz w:val="24"/>
          <w:szCs w:val="24"/>
          <w:lang w:val="en-GB"/>
        </w:rPr>
        <w:t>about</w:t>
      </w:r>
      <w:r>
        <w:rPr>
          <w:rFonts w:ascii="Liberation Serif" w:hAnsi="Liberation Serif"/>
          <w:b w:val="false"/>
          <w:i w:val="false"/>
          <w:caps w:val="false"/>
          <w:smallCaps w:val="false"/>
          <w:color w:val="auto"/>
          <w:spacing w:val="0"/>
          <w:sz w:val="24"/>
          <w:szCs w:val="24"/>
          <w:lang w:val="en-GB"/>
        </w:rPr>
        <w:t> language is fine, but how much language do the learners need to learn? </w:t>
      </w:r>
    </w:p>
    <w:p>
      <w:pPr>
        <w:pStyle w:val="Heading3"/>
        <w:bidi w:val="0"/>
        <w:spacing w:lineRule="auto" w:line="360"/>
        <w:jc w:val="left"/>
        <w:rPr>
          <w:rFonts w:ascii="Liberation Serif" w:hAnsi="Liberation Serif"/>
        </w:rPr>
      </w:pPr>
      <w:r>
        <w:rPr>
          <w:rFonts w:ascii="Liberation Serif" w:hAnsi="Liberation Serif"/>
        </w:rPr>
        <w:t>1. The amount of language to be learnt</w:t>
      </w:r>
    </w:p>
    <w:p>
      <w:pPr>
        <w:pStyle w:val="TextBody"/>
        <w:widowControl/>
        <w:bidi w:val="0"/>
        <w:spacing w:lineRule="auto" w:line="360"/>
        <w:ind w:left="0" w:right="0" w:hanging="0"/>
        <w:jc w:val="left"/>
        <w:rPr>
          <w:rFonts w:ascii="Liberation Serif" w:hAnsi="Liberation Serif"/>
          <w:b w:val="false"/>
          <w:i w:val="false"/>
          <w:i w:val="false"/>
          <w:iCs w:val="false"/>
          <w:caps w:val="false"/>
          <w:smallCaps w:val="false"/>
          <w:color w:val="auto"/>
          <w:spacing w:val="0"/>
          <w:sz w:val="24"/>
          <w:szCs w:val="24"/>
          <w:lang w:val="en-GB"/>
        </w:rPr>
      </w:pPr>
      <w:r>
        <w:rPr>
          <w:rFonts w:ascii="Liberation Serif" w:hAnsi="Liberation Serif"/>
          <w:b w:val="false"/>
          <w:i w:val="false"/>
          <w:iCs w:val="false"/>
          <w:caps w:val="false"/>
          <w:smallCaps w:val="false"/>
          <w:color w:val="auto"/>
          <w:spacing w:val="0"/>
          <w:sz w:val="24"/>
          <w:szCs w:val="24"/>
          <w:lang w:val="en-GB"/>
        </w:rPr>
        <w:t>Let us first look at the vocabulary. We know from vocabulary research that English is made up of a very few extremely common words which comprise the bulk of the language. In written text, we know that about 2000 word families cover about 85-90% of the running words in general texts and that 50% of any text will be function words (Nation 2001). We also know that to read a native novel, a newspaper or a magazine with 98% vocabulary coverage, a learner would need to know about 8000-9000 word families. But how should these words be learnt? And what do we mean by “learning”? And how do we define a “word”?</w:t>
      </w:r>
    </w:p>
    <w:p>
      <w:pPr>
        <w:pStyle w:val="TextBody"/>
        <w:widowControl/>
        <w:bidi w:val="0"/>
        <w:spacing w:lineRule="auto" w:line="360"/>
        <w:ind w:left="0" w:right="0" w:hanging="0"/>
        <w:jc w:val="left"/>
        <w:rPr>
          <w:rFonts w:ascii="Liberation Serif" w:hAnsi="Liberation Serif"/>
          <w:b w:val="false"/>
          <w:i w:val="false"/>
          <w:caps w:val="false"/>
          <w:smallCaps w:val="false"/>
          <w:color w:val="auto"/>
          <w:spacing w:val="0"/>
          <w:sz w:val="24"/>
          <w:szCs w:val="24"/>
        </w:rPr>
      </w:pPr>
      <w:r>
        <w:rPr>
          <w:rFonts w:ascii="Liberation Serif" w:hAnsi="Liberation Serif"/>
          <w:b w:val="false"/>
          <w:i w:val="false"/>
          <w:caps w:val="false"/>
          <w:smallCaps w:val="false"/>
          <w:color w:val="auto"/>
          <w:spacing w:val="0"/>
          <w:sz w:val="24"/>
          <w:szCs w:val="24"/>
          <w:lang w:val="en-GB"/>
        </w:rPr>
        <w:t>One of the few things language researchers can agree about is that learners can learn words from reading provided the reading is comprehensible. They may though, disagree over the uptake rates and types of texts to be used. Determining uptake rates is a vital component in the overall picture of vocabulary learning because these rates affect how much text learners need to meet, and over what time period the learning should take place. Over the last decade or so we’ve been able to patch together </w:t>
      </w:r>
      <w:r>
        <w:rPr>
          <w:rFonts w:ascii="Liberation Serif" w:hAnsi="Liberation Serif"/>
          <w:b w:val="false"/>
          <w:i w:val="false"/>
          <w:caps w:val="false"/>
          <w:smallCaps w:val="false"/>
          <w:color w:val="auto"/>
          <w:spacing w:val="0"/>
          <w:sz w:val="24"/>
          <w:szCs w:val="24"/>
        </w:rPr>
        <w:t>a </w:t>
      </w:r>
      <w:r>
        <w:rPr>
          <w:rFonts w:ascii="Liberation Serif" w:hAnsi="Liberation Serif"/>
          <w:b w:val="false"/>
          <w:i w:val="false"/>
          <w:caps w:val="false"/>
          <w:smallCaps w:val="false"/>
          <w:color w:val="auto"/>
          <w:spacing w:val="0"/>
          <w:sz w:val="24"/>
          <w:szCs w:val="24"/>
          <w:lang w:val="en-GB"/>
        </w:rPr>
        <w:t>picture of the rate at which incidental vocabulary learning can occur from second language reading. However, the estimates vary sometimes considerably. For example, Dupuy and Krashen (1993) state that 25% of their target words were learnt, and in other studies the figures range from 20% (Horst – Cobb – Meara 1998), to  6.1% (Pitts – White – Krashen 1989), and to 5.8% (Day – Omura – Hiramatsu 1991). More recent estimates put the uptake rate and 25% and 4% (Waring – Takaki 2003) depending on the type of test used to measure gains.</w:t>
      </w:r>
    </w:p>
    <w:p>
      <w:pPr>
        <w:pStyle w:val="TextBody"/>
        <w:widowControl/>
        <w:bidi w:val="0"/>
        <w:spacing w:lineRule="auto" w:line="360"/>
        <w:ind w:left="0" w:right="0" w:hanging="0"/>
        <w:jc w:val="left"/>
        <w:rPr>
          <w:rFonts w:ascii="Liberation Serif" w:hAnsi="Liberation Serif"/>
          <w:b w:val="false"/>
          <w:i w:val="false"/>
          <w:caps w:val="false"/>
          <w:smallCaps w:val="false"/>
          <w:color w:val="auto"/>
          <w:spacing w:val="0"/>
          <w:sz w:val="24"/>
          <w:szCs w:val="24"/>
          <w:lang w:val="en-GB"/>
        </w:rPr>
      </w:pPr>
      <w:r>
        <w:rPr>
          <w:rFonts w:ascii="Liberation Serif" w:hAnsi="Liberation Serif"/>
          <w:b w:val="false"/>
          <w:i w:val="false"/>
          <w:caps w:val="false"/>
          <w:smallCaps w:val="false"/>
          <w:color w:val="auto"/>
          <w:spacing w:val="0"/>
          <w:sz w:val="24"/>
          <w:szCs w:val="24"/>
          <w:lang w:val="en-GB"/>
        </w:rPr>
        <w:t>One of the reasons for this variation is that uptake rates vary widely depending on a range of factors. Among these factors are </w:t>
      </w:r>
      <w:r>
        <w:rPr>
          <w:rFonts w:ascii="Liberation Serif" w:hAnsi="Liberation Serif"/>
          <w:b w:val="false"/>
          <w:i/>
          <w:caps w:val="false"/>
          <w:smallCaps w:val="false"/>
          <w:color w:val="auto"/>
          <w:spacing w:val="0"/>
          <w:sz w:val="24"/>
          <w:szCs w:val="24"/>
          <w:lang w:val="en-GB"/>
        </w:rPr>
        <w:t>learnability</w:t>
      </w:r>
      <w:r>
        <w:rPr>
          <w:rFonts w:ascii="Liberation Serif" w:hAnsi="Liberation Serif"/>
          <w:b w:val="false"/>
          <w:i w:val="false"/>
          <w:caps w:val="false"/>
          <w:smallCaps w:val="false"/>
          <w:color w:val="auto"/>
          <w:spacing w:val="0"/>
          <w:sz w:val="24"/>
          <w:szCs w:val="24"/>
          <w:lang w:val="en-GB"/>
        </w:rPr>
        <w:t>, </w:t>
      </w:r>
      <w:r>
        <w:rPr>
          <w:rFonts w:ascii="Liberation Serif" w:hAnsi="Liberation Serif"/>
          <w:b w:val="false"/>
          <w:i/>
          <w:caps w:val="false"/>
          <w:smallCaps w:val="false"/>
          <w:color w:val="auto"/>
          <w:spacing w:val="0"/>
          <w:sz w:val="24"/>
          <w:szCs w:val="24"/>
          <w:lang w:val="en-GB"/>
        </w:rPr>
        <w:t>criteria for learning </w:t>
      </w:r>
      <w:r>
        <w:rPr>
          <w:rFonts w:ascii="Liberation Serif" w:hAnsi="Liberation Serif"/>
          <w:b w:val="false"/>
          <w:i w:val="false"/>
          <w:caps w:val="false"/>
          <w:smallCaps w:val="false"/>
          <w:color w:val="auto"/>
          <w:spacing w:val="0"/>
          <w:sz w:val="24"/>
          <w:szCs w:val="24"/>
          <w:lang w:val="en-GB"/>
        </w:rPr>
        <w:t>and the </w:t>
      </w:r>
      <w:r>
        <w:rPr>
          <w:rFonts w:ascii="Liberation Serif" w:hAnsi="Liberation Serif"/>
          <w:b w:val="false"/>
          <w:i/>
          <w:caps w:val="false"/>
          <w:smallCaps w:val="false"/>
          <w:color w:val="auto"/>
          <w:spacing w:val="0"/>
          <w:sz w:val="24"/>
          <w:szCs w:val="24"/>
          <w:lang w:val="en-GB"/>
        </w:rPr>
        <w:t>opportunity</w:t>
      </w:r>
      <w:r>
        <w:rPr>
          <w:rFonts w:ascii="Liberation Serif" w:hAnsi="Liberation Serif"/>
          <w:b w:val="false"/>
          <w:i w:val="false"/>
          <w:caps w:val="false"/>
          <w:smallCaps w:val="false"/>
          <w:color w:val="auto"/>
          <w:spacing w:val="0"/>
          <w:sz w:val="24"/>
          <w:szCs w:val="24"/>
          <w:lang w:val="en-GB"/>
        </w:rPr>
        <w:t> </w:t>
      </w:r>
      <w:r>
        <w:rPr>
          <w:rFonts w:ascii="Liberation Serif" w:hAnsi="Liberation Serif"/>
          <w:b w:val="false"/>
          <w:i/>
          <w:caps w:val="false"/>
          <w:smallCaps w:val="false"/>
          <w:color w:val="auto"/>
          <w:spacing w:val="0"/>
          <w:sz w:val="24"/>
          <w:szCs w:val="24"/>
          <w:lang w:val="en-GB"/>
        </w:rPr>
        <w:t>for successful learning</w:t>
      </w:r>
      <w:r>
        <w:rPr>
          <w:rFonts w:ascii="Liberation Serif" w:hAnsi="Liberation Serif"/>
          <w:b w:val="false"/>
          <w:i w:val="false"/>
          <w:caps w:val="false"/>
          <w:smallCaps w:val="false"/>
          <w:color w:val="auto"/>
          <w:spacing w:val="0"/>
          <w:sz w:val="24"/>
          <w:szCs w:val="24"/>
          <w:lang w:val="en-GB"/>
        </w:rPr>
        <w:t>. One of the main factors affecting learnability includes the ratio of unknown to known words in a text. The more dense a text is (more unknown words it has), the less likely incidental learning can occur. Liu Na and Nation (1985) and Hu and Nation (1999) suggest the optimal known word coverage rate be about 95-99% of known words for there to be a good chance that learning can take place. Learnability is also affected by other factors such as whether a word is concrete or abstract, a cognate or not, or if it appears with highly redundant co-text, and whether the target word appears in a transparent or opaque context, and so forth. Laufer (1989) and Nation (2001), and many others have shown that unless we have about 98-99% coverage of the vocabulary of the </w:t>
      </w:r>
      <w:r>
        <w:rPr>
          <w:rFonts w:ascii="Liberation Serif" w:hAnsi="Liberation Serif"/>
          <w:b w:val="false"/>
          <w:i/>
          <w:caps w:val="false"/>
          <w:smallCaps w:val="false"/>
          <w:color w:val="auto"/>
          <w:spacing w:val="0"/>
          <w:sz w:val="24"/>
          <w:szCs w:val="24"/>
          <w:lang w:val="en-GB"/>
        </w:rPr>
        <w:t>other words</w:t>
      </w:r>
      <w:r>
        <w:rPr>
          <w:rFonts w:ascii="Liberation Serif" w:hAnsi="Liberation Serif"/>
          <w:b w:val="false"/>
          <w:i w:val="false"/>
          <w:caps w:val="false"/>
          <w:smallCaps w:val="false"/>
          <w:color w:val="auto"/>
          <w:spacing w:val="0"/>
          <w:sz w:val="24"/>
          <w:szCs w:val="24"/>
          <w:lang w:val="en-GB"/>
        </w:rPr>
        <w:t> in the text, the chance that an unknown word will be learnt is minimal. This means that </w:t>
      </w:r>
      <w:r>
        <w:rPr>
          <w:rFonts w:ascii="Liberation Serif" w:hAnsi="Liberation Serif"/>
          <w:b w:val="false"/>
          <w:i/>
          <w:caps w:val="false"/>
          <w:smallCaps w:val="false"/>
          <w:color w:val="auto"/>
          <w:spacing w:val="0"/>
          <w:sz w:val="24"/>
          <w:szCs w:val="24"/>
          <w:lang w:val="en-GB"/>
        </w:rPr>
        <w:t>at minimum</w:t>
      </w:r>
      <w:r>
        <w:rPr>
          <w:rFonts w:ascii="Liberation Serif" w:hAnsi="Liberation Serif"/>
          <w:b w:val="false"/>
          <w:i w:val="false"/>
          <w:caps w:val="false"/>
          <w:smallCaps w:val="false"/>
          <w:color w:val="auto"/>
          <w:spacing w:val="0"/>
          <w:sz w:val="24"/>
          <w:szCs w:val="24"/>
          <w:lang w:val="en-GB"/>
        </w:rPr>
        <w:t> there should be one new word in 40, or 1 in 50 for the right conditions for incidental vocabulary learning. The figures for learning from listening appear to be even higher due to the transitory nature of listening (Brown – Waring – Donkaewbua 2008).</w:t>
      </w:r>
    </w:p>
    <w:p>
      <w:pPr>
        <w:pStyle w:val="TextBody"/>
        <w:widowControl/>
        <w:bidi w:val="0"/>
        <w:spacing w:lineRule="auto" w:line="360"/>
        <w:ind w:left="0" w:right="0" w:hanging="0"/>
        <w:jc w:val="left"/>
        <w:rPr>
          <w:rFonts w:ascii="Liberation Serif" w:hAnsi="Liberation Serif"/>
          <w:b w:val="false"/>
          <w:i w:val="false"/>
          <w:caps w:val="false"/>
          <w:smallCaps w:val="false"/>
          <w:color w:val="auto"/>
          <w:spacing w:val="0"/>
          <w:sz w:val="24"/>
          <w:szCs w:val="24"/>
          <w:lang w:val="en-GB"/>
        </w:rPr>
      </w:pPr>
      <w:r>
        <w:rPr>
          <w:rFonts w:ascii="Liberation Serif" w:hAnsi="Liberation Serif"/>
          <w:b w:val="false"/>
          <w:i w:val="false"/>
          <w:caps w:val="false"/>
          <w:smallCaps w:val="false"/>
          <w:color w:val="auto"/>
          <w:spacing w:val="0"/>
          <w:sz w:val="24"/>
          <w:szCs w:val="24"/>
          <w:lang w:val="en-GB"/>
        </w:rPr>
        <w:t>The </w:t>
      </w:r>
      <w:r>
        <w:rPr>
          <w:rFonts w:ascii="Liberation Serif" w:hAnsi="Liberation Serif"/>
          <w:b w:val="false"/>
          <w:i/>
          <w:caps w:val="false"/>
          <w:smallCaps w:val="false"/>
          <w:color w:val="auto"/>
          <w:spacing w:val="0"/>
          <w:sz w:val="24"/>
          <w:szCs w:val="24"/>
          <w:lang w:val="en-GB"/>
        </w:rPr>
        <w:t>criteria</w:t>
      </w:r>
      <w:r>
        <w:rPr>
          <w:rFonts w:ascii="Liberation Serif" w:hAnsi="Liberation Serif"/>
          <w:b w:val="false"/>
          <w:i w:val="false"/>
          <w:caps w:val="false"/>
          <w:smallCaps w:val="false"/>
          <w:color w:val="auto"/>
          <w:spacing w:val="0"/>
          <w:sz w:val="24"/>
          <w:szCs w:val="24"/>
          <w:lang w:val="en-GB"/>
        </w:rPr>
        <w:t> for learning refers to the measures used to assess learning. Waring and Takaki (2003) have shown that some test types are easier to complete than others. For example, a simple word recognition test (</w:t>
      </w:r>
      <w:r>
        <w:rPr>
          <w:rFonts w:ascii="Liberation Serif" w:hAnsi="Liberation Serif"/>
          <w:b w:val="false"/>
          <w:i/>
          <w:caps w:val="false"/>
          <w:smallCaps w:val="false"/>
          <w:color w:val="auto"/>
          <w:spacing w:val="0"/>
          <w:sz w:val="24"/>
          <w:szCs w:val="24"/>
          <w:lang w:val="en-GB"/>
        </w:rPr>
        <w:t>Have you seen this word?</w:t>
      </w:r>
      <w:r>
        <w:rPr>
          <w:rFonts w:ascii="Liberation Serif" w:hAnsi="Liberation Serif"/>
          <w:b w:val="false"/>
          <w:i w:val="false"/>
          <w:caps w:val="false"/>
          <w:smallCaps w:val="false"/>
          <w:color w:val="auto"/>
          <w:spacing w:val="0"/>
          <w:sz w:val="24"/>
          <w:szCs w:val="24"/>
          <w:lang w:val="en-GB"/>
        </w:rPr>
        <w:t>) requires only knowledge of seeing the orthographic string of letters and does not require the word’s meaning to be known. By contrast, an L1 to L2 translation test will require considerably more knowledge. Supporting this, Brown, Waring and Donkaewbua (2008) found that multiple choice tests consistently return higher scores than translation tests because they require less knowledge for completion. One of the reasons for this is that multiple choice tests will naturally generate a 25% score for 4 option tests if subjects guess randomly. Thus, depending on one’s criteria, the acquisition rates will vary considerably and researchers should be careful to select appropriate measures.</w:t>
      </w:r>
    </w:p>
    <w:p>
      <w:pPr>
        <w:pStyle w:val="TextBody"/>
        <w:widowControl/>
        <w:bidi w:val="0"/>
        <w:spacing w:lineRule="auto" w:line="360"/>
        <w:ind w:left="0" w:right="0" w:hanging="0"/>
        <w:jc w:val="left"/>
        <w:rPr>
          <w:rFonts w:ascii="Liberation Serif" w:hAnsi="Liberation Serif"/>
          <w:b w:val="false"/>
          <w:i w:val="false"/>
          <w:caps w:val="false"/>
          <w:smallCaps w:val="false"/>
          <w:color w:val="auto"/>
          <w:spacing w:val="0"/>
          <w:sz w:val="24"/>
          <w:szCs w:val="24"/>
          <w:lang w:val="en-GB"/>
        </w:rPr>
      </w:pPr>
      <w:r>
        <w:rPr>
          <w:rFonts w:ascii="Liberation Serif" w:hAnsi="Liberation Serif"/>
          <w:b w:val="false"/>
          <w:i w:val="false"/>
          <w:caps w:val="false"/>
          <w:smallCaps w:val="false"/>
          <w:color w:val="auto"/>
          <w:spacing w:val="0"/>
          <w:sz w:val="24"/>
          <w:szCs w:val="24"/>
          <w:lang w:val="en-GB"/>
        </w:rPr>
        <w:t>Uptake rates also depend on the </w:t>
      </w:r>
      <w:r>
        <w:rPr>
          <w:rFonts w:ascii="Liberation Serif" w:hAnsi="Liberation Serif"/>
          <w:b w:val="false"/>
          <w:i/>
          <w:caps w:val="false"/>
          <w:smallCaps w:val="false"/>
          <w:color w:val="auto"/>
          <w:spacing w:val="0"/>
          <w:sz w:val="24"/>
          <w:szCs w:val="24"/>
          <w:lang w:val="en-GB"/>
        </w:rPr>
        <w:t>opportunities for learning</w:t>
      </w:r>
      <w:r>
        <w:rPr>
          <w:rFonts w:ascii="Liberation Serif" w:hAnsi="Liberation Serif"/>
          <w:b w:val="false"/>
          <w:i w:val="false"/>
          <w:caps w:val="false"/>
          <w:smallCaps w:val="false"/>
          <w:color w:val="auto"/>
          <w:spacing w:val="0"/>
          <w:sz w:val="24"/>
          <w:szCs w:val="24"/>
          <w:lang w:val="en-GB"/>
        </w:rPr>
        <w:t> that is, the number of times an unknown word appears in a given text and how closely spaced the unknown words are, so that knowledge can be retained in memory before it is lost. It is pertinent to look at the opportunity that learners have for learning from natural text because this can tell us how how words are spaced in the language. Moreover, this data combined with the uptake rates stated above, can help us determine whether incidental learning of vocabulary from reading is efficient enough to be a major vocabulary learning strategy.</w:t>
      </w:r>
    </w:p>
    <w:p>
      <w:pPr>
        <w:pStyle w:val="TextBody"/>
        <w:widowControl/>
        <w:bidi w:val="0"/>
        <w:spacing w:lineRule="auto" w:line="360"/>
        <w:ind w:left="0" w:right="0" w:hanging="0"/>
        <w:jc w:val="left"/>
        <w:rPr>
          <w:rFonts w:ascii="Liberation Serif" w:hAnsi="Liberation Serif"/>
          <w:b w:val="false"/>
          <w:i w:val="false"/>
          <w:caps w:val="false"/>
          <w:smallCaps w:val="false"/>
          <w:color w:val="auto"/>
          <w:spacing w:val="0"/>
          <w:sz w:val="24"/>
          <w:szCs w:val="24"/>
          <w:lang w:val="en-GB"/>
        </w:rPr>
      </w:pPr>
      <w:r>
        <w:rPr>
          <w:rFonts w:ascii="Liberation Serif" w:hAnsi="Liberation Serif"/>
          <w:b w:val="false"/>
          <w:i w:val="false"/>
          <w:caps w:val="false"/>
          <w:smallCaps w:val="false"/>
          <w:color w:val="auto"/>
          <w:spacing w:val="0"/>
          <w:sz w:val="24"/>
          <w:szCs w:val="24"/>
          <w:lang w:val="en-GB"/>
        </w:rPr>
        <w:t>Table 1 shows the frequency at which words occur in a 50 million word sub-corpus (both written and spoken) of the British National Corpus (BNC) of English. The corpus was analyzed using </w:t>
      </w:r>
      <w:r>
        <w:rPr>
          <w:rFonts w:ascii="Liberation Serif" w:hAnsi="Liberation Serif"/>
          <w:b w:val="false"/>
          <w:i/>
          <w:caps w:val="false"/>
          <w:smallCaps w:val="false"/>
          <w:color w:val="auto"/>
          <w:spacing w:val="0"/>
          <w:sz w:val="24"/>
          <w:szCs w:val="24"/>
          <w:lang w:val="en-GB"/>
        </w:rPr>
        <w:t>Range</w:t>
      </w:r>
      <w:r>
        <w:rPr>
          <w:rFonts w:ascii="Liberation Serif" w:hAnsi="Liberation Serif"/>
          <w:b w:val="false"/>
          <w:i w:val="false"/>
          <w:caps w:val="false"/>
          <w:smallCaps w:val="false"/>
          <w:color w:val="auto"/>
          <w:spacing w:val="0"/>
          <w:sz w:val="24"/>
          <w:szCs w:val="24"/>
          <w:lang w:val="en-GB"/>
        </w:rPr>
        <w:t> (Nation – Wheatley 2000) whereby words were counted in word families by type. For example, all instances of the verb </w:t>
      </w:r>
      <w:r>
        <w:rPr>
          <w:rFonts w:ascii="Liberation Serif" w:hAnsi="Liberation Serif"/>
          <w:b w:val="false"/>
          <w:i/>
          <w:caps w:val="false"/>
          <w:smallCaps w:val="false"/>
          <w:color w:val="auto"/>
          <w:spacing w:val="0"/>
          <w:sz w:val="24"/>
          <w:szCs w:val="24"/>
          <w:lang w:val="en-GB"/>
        </w:rPr>
        <w:t>use</w:t>
      </w:r>
      <w:r>
        <w:rPr>
          <w:rFonts w:ascii="Liberation Serif" w:hAnsi="Liberation Serif"/>
          <w:b w:val="false"/>
          <w:i w:val="false"/>
          <w:caps w:val="false"/>
          <w:smallCaps w:val="false"/>
          <w:color w:val="auto"/>
          <w:spacing w:val="0"/>
          <w:sz w:val="24"/>
          <w:szCs w:val="24"/>
          <w:lang w:val="en-GB"/>
        </w:rPr>
        <w:t> and its derivations and inflections members (</w:t>
      </w:r>
      <w:r>
        <w:rPr>
          <w:rFonts w:ascii="Liberation Serif" w:hAnsi="Liberation Serif"/>
          <w:b w:val="false"/>
          <w:i/>
          <w:caps w:val="false"/>
          <w:smallCaps w:val="false"/>
          <w:color w:val="auto"/>
          <w:spacing w:val="0"/>
          <w:sz w:val="24"/>
          <w:szCs w:val="24"/>
          <w:lang w:val="en-GB"/>
        </w:rPr>
        <w:t>used, user, usefully, uselessness</w:t>
      </w:r>
      <w:r>
        <w:rPr>
          <w:rFonts w:ascii="Liberation Serif" w:hAnsi="Liberation Serif"/>
          <w:b w:val="false"/>
          <w:i w:val="false"/>
          <w:caps w:val="false"/>
          <w:smallCaps w:val="false"/>
          <w:color w:val="auto"/>
          <w:spacing w:val="0"/>
          <w:sz w:val="24"/>
          <w:szCs w:val="24"/>
          <w:lang w:val="en-GB"/>
        </w:rPr>
        <w:t>), count as one occurrence.  The table can be read as follows. The most frequent word in English (</w:t>
      </w:r>
      <w:r>
        <w:rPr>
          <w:rFonts w:ascii="Liberation Serif" w:hAnsi="Liberation Serif"/>
          <w:b w:val="false"/>
          <w:i/>
          <w:caps w:val="false"/>
          <w:smallCaps w:val="false"/>
          <w:color w:val="auto"/>
          <w:spacing w:val="0"/>
          <w:sz w:val="24"/>
          <w:szCs w:val="24"/>
          <w:lang w:val="en-GB"/>
        </w:rPr>
        <w:t>the</w:t>
      </w:r>
      <w:r>
        <w:rPr>
          <w:rFonts w:ascii="Liberation Serif" w:hAnsi="Liberation Serif"/>
          <w:b w:val="false"/>
          <w:i w:val="false"/>
          <w:caps w:val="false"/>
          <w:smallCaps w:val="false"/>
          <w:color w:val="auto"/>
          <w:spacing w:val="0"/>
          <w:sz w:val="24"/>
          <w:szCs w:val="24"/>
          <w:lang w:val="en-GB"/>
        </w:rPr>
        <w:t>) covers 5.839% of any general English text (i.e. it occurs once in every 17 words) (see (1) in the table). The 2000</w:t>
      </w:r>
      <w:r>
        <w:rPr>
          <w:rFonts w:ascii="Liberation Serif" w:hAnsi="Liberation Serif"/>
          <w:b w:val="false"/>
          <w:i w:val="false"/>
          <w:caps w:val="false"/>
          <w:smallCaps w:val="false"/>
          <w:color w:val="auto"/>
          <w:spacing w:val="0"/>
          <w:position w:val="8"/>
          <w:sz w:val="19"/>
          <w:sz w:val="24"/>
          <w:szCs w:val="24"/>
          <w:lang w:val="en-GB"/>
        </w:rPr>
        <w:t>th</w:t>
      </w:r>
      <w:r>
        <w:rPr>
          <w:rFonts w:ascii="Liberation Serif" w:hAnsi="Liberation Serif"/>
          <w:b w:val="false"/>
          <w:i w:val="false"/>
          <w:caps w:val="false"/>
          <w:smallCaps w:val="false"/>
          <w:color w:val="auto"/>
          <w:spacing w:val="0"/>
          <w:sz w:val="24"/>
          <w:szCs w:val="24"/>
          <w:lang w:val="en-GB"/>
        </w:rPr>
        <w:t> most frequent word in English covers 0.00432% of any general English text and occurs once every 23,103 words (2). Note that when the learner meets the 2000</w:t>
      </w:r>
      <w:r>
        <w:rPr>
          <w:rFonts w:ascii="Liberation Serif" w:hAnsi="Liberation Serif"/>
          <w:b w:val="false"/>
          <w:i w:val="false"/>
          <w:caps w:val="false"/>
          <w:smallCaps w:val="false"/>
          <w:color w:val="auto"/>
          <w:spacing w:val="0"/>
          <w:position w:val="8"/>
          <w:sz w:val="19"/>
          <w:sz w:val="24"/>
          <w:szCs w:val="24"/>
          <w:lang w:val="en-GB"/>
        </w:rPr>
        <w:t>th</w:t>
      </w:r>
      <w:r>
        <w:rPr>
          <w:rFonts w:ascii="Liberation Serif" w:hAnsi="Liberation Serif"/>
          <w:b w:val="false"/>
          <w:i w:val="false"/>
          <w:caps w:val="false"/>
          <w:smallCaps w:val="false"/>
          <w:color w:val="auto"/>
          <w:spacing w:val="0"/>
          <w:sz w:val="24"/>
          <w:szCs w:val="24"/>
          <w:lang w:val="en-GB"/>
        </w:rPr>
        <w:t> most frequent word in English, this means that all the previous 1999 words have also been met at least once.</w:t>
      </w:r>
    </w:p>
    <w:p>
      <w:pPr>
        <w:pStyle w:val="TextBody"/>
        <w:widowControl/>
        <w:bidi w:val="0"/>
        <w:spacing w:lineRule="auto" w:line="360"/>
        <w:ind w:left="0" w:right="0" w:hanging="0"/>
        <w:jc w:val="left"/>
        <w:rPr>
          <w:rFonts w:ascii="Liberation Serif" w:hAnsi="Liberation Serif"/>
          <w:b w:val="false"/>
          <w:i w:val="false"/>
          <w:caps w:val="false"/>
          <w:smallCaps w:val="false"/>
          <w:color w:val="auto"/>
          <w:spacing w:val="0"/>
          <w:sz w:val="24"/>
          <w:szCs w:val="24"/>
          <w:lang w:val="en-GB"/>
        </w:rPr>
      </w:pPr>
      <w:r>
        <w:rPr>
          <w:rFonts w:ascii="Liberation Serif" w:hAnsi="Liberation Serif"/>
          <w:b w:val="false"/>
          <w:i w:val="false"/>
          <w:caps w:val="false"/>
          <w:smallCaps w:val="false"/>
          <w:color w:val="auto"/>
          <w:spacing w:val="0"/>
          <w:sz w:val="24"/>
          <w:szCs w:val="24"/>
          <w:lang w:val="en-GB"/>
        </w:rPr>
      </w:r>
    </w:p>
    <w:p>
      <w:pPr>
        <w:pStyle w:val="TextBody"/>
        <w:widowControl/>
        <w:bidi w:val="0"/>
        <w:spacing w:lineRule="auto" w:line="360"/>
        <w:ind w:left="0" w:right="0" w:hanging="0"/>
        <w:jc w:val="left"/>
        <w:rPr>
          <w:rFonts w:ascii="Liberation Serif" w:hAnsi="Liberation Serif"/>
          <w:b w:val="false"/>
          <w:i w:val="false"/>
          <w:caps w:val="false"/>
          <w:smallCaps w:val="false"/>
          <w:color w:val="auto"/>
          <w:spacing w:val="0"/>
          <w:sz w:val="24"/>
          <w:szCs w:val="24"/>
          <w:lang w:val="en-GB"/>
        </w:rPr>
      </w:pPr>
      <w:r>
        <w:rPr>
          <w:rFonts w:ascii="Liberation Serif" w:hAnsi="Liberation Serif"/>
          <w:b w:val="false"/>
          <w:i w:val="false"/>
          <w:caps w:val="false"/>
          <w:smallCaps w:val="false"/>
          <w:color w:val="auto"/>
          <w:spacing w:val="0"/>
          <w:sz w:val="24"/>
          <w:szCs w:val="24"/>
          <w:lang w:val="en-GB"/>
        </w:rPr>
      </w:r>
    </w:p>
    <w:p>
      <w:pPr>
        <w:pStyle w:val="TextBody"/>
        <w:widowControl/>
        <w:bidi w:val="0"/>
        <w:spacing w:lineRule="auto" w:line="360"/>
        <w:ind w:left="0" w:right="0" w:hanging="0"/>
        <w:jc w:val="left"/>
        <w:rPr>
          <w:rFonts w:ascii="Liberation Serif" w:hAnsi="Liberation Serif"/>
          <w:b w:val="false"/>
          <w:i w:val="false"/>
          <w:caps w:val="false"/>
          <w:smallCaps w:val="false"/>
          <w:color w:val="auto"/>
          <w:spacing w:val="0"/>
          <w:sz w:val="24"/>
          <w:szCs w:val="24"/>
          <w:lang w:val="en-GB"/>
        </w:rPr>
      </w:pPr>
      <w:r>
        <w:rPr>
          <w:rFonts w:ascii="Liberation Serif" w:hAnsi="Liberation Serif"/>
          <w:b w:val="false"/>
          <w:i w:val="false"/>
          <w:caps w:val="false"/>
          <w:smallCaps w:val="false"/>
          <w:color w:val="auto"/>
          <w:spacing w:val="0"/>
          <w:sz w:val="24"/>
          <w:szCs w:val="24"/>
          <w:lang w:val="en-GB"/>
        </w:rPr>
      </w:r>
    </w:p>
    <w:p>
      <w:pPr>
        <w:pStyle w:val="TextBody"/>
        <w:widowControl/>
        <w:bidi w:val="0"/>
        <w:spacing w:lineRule="auto" w:line="360"/>
        <w:ind w:left="0" w:right="0" w:hanging="0"/>
        <w:jc w:val="left"/>
        <w:rPr>
          <w:rFonts w:ascii="Arial" w:hAnsi="Arial"/>
          <w:b w:val="false"/>
          <w:i/>
          <w:caps w:val="false"/>
          <w:smallCaps w:val="false"/>
          <w:color w:val="434343"/>
          <w:spacing w:val="0"/>
          <w:sz w:val="21"/>
          <w:lang w:val="en-GB"/>
        </w:rPr>
      </w:pPr>
      <w:r>
        <w:rPr>
          <w:rFonts w:ascii="Arial" w:hAnsi="Arial"/>
          <w:b w:val="false"/>
          <w:i/>
          <w:caps w:val="false"/>
          <w:smallCaps w:val="false"/>
          <w:color w:val="434343"/>
          <w:spacing w:val="0"/>
          <w:sz w:val="21"/>
          <w:szCs w:val="21"/>
          <w:lang w:val="en-GB"/>
        </w:rPr>
        <w:t>Table 1: A statistical analysis of the number of English words needed to meet at given occurrence rates to ‘learn’ that number of words</w:t>
      </w:r>
    </w:p>
    <w:tbl>
      <w:tblPr>
        <w:tblW w:w="9524" w:type="dxa"/>
        <w:jc w:val="left"/>
        <w:tblInd w:w="-10" w:type="dxa"/>
        <w:tblLayout w:type="fixed"/>
        <w:tblCellMar>
          <w:top w:w="28" w:type="dxa"/>
          <w:left w:w="108" w:type="dxa"/>
          <w:bottom w:w="28" w:type="dxa"/>
          <w:right w:w="108" w:type="dxa"/>
        </w:tblCellMar>
      </w:tblPr>
      <w:tblGrid>
        <w:gridCol w:w="2126"/>
        <w:gridCol w:w="1158"/>
        <w:gridCol w:w="1254"/>
        <w:gridCol w:w="1135"/>
        <w:gridCol w:w="1189"/>
        <w:gridCol w:w="1363"/>
        <w:gridCol w:w="1299"/>
      </w:tblGrid>
      <w:tr>
        <w:trPr/>
        <w:tc>
          <w:tcPr>
            <w:tcW w:w="2126" w:type="dxa"/>
            <w:tcBorders>
              <w:top w:val="single" w:sz="8" w:space="0" w:color="000000"/>
              <w:left w:val="single" w:sz="8" w:space="0" w:color="000000"/>
              <w:bottom w:val="single" w:sz="8" w:space="0" w:color="000000"/>
              <w:right w:val="single" w:sz="8" w:space="0" w:color="000000"/>
            </w:tcBorders>
            <w:vAlign w:val="bottom"/>
          </w:tcPr>
          <w:p>
            <w:pPr>
              <w:pStyle w:val="TableContents"/>
              <w:bidi w:val="0"/>
              <w:spacing w:lineRule="atLeast" w:line="218" w:before="0" w:after="283"/>
              <w:jc w:val="center"/>
              <w:rPr>
                <w:rFonts w:ascii="Arial" w:hAnsi="Arial"/>
                <w:sz w:val="20"/>
                <w:szCs w:val="20"/>
                <w:lang w:val="en-GB"/>
              </w:rPr>
            </w:pPr>
            <w:r>
              <w:rPr>
                <w:rFonts w:ascii="Arial" w:hAnsi="Arial"/>
                <w:sz w:val="20"/>
                <w:szCs w:val="20"/>
                <w:lang w:val="en-GB"/>
              </w:rPr>
              <w:t>A</w:t>
            </w:r>
          </w:p>
        </w:tc>
        <w:tc>
          <w:tcPr>
            <w:tcW w:w="1158" w:type="dxa"/>
            <w:tcBorders>
              <w:top w:val="single" w:sz="4" w:space="0" w:color="000000"/>
              <w:bottom w:val="single" w:sz="4" w:space="0" w:color="000000"/>
              <w:right w:val="single" w:sz="4" w:space="0" w:color="000000"/>
            </w:tcBorders>
            <w:tcMar>
              <w:left w:w="0" w:type="dxa"/>
            </w:tcMar>
          </w:tcPr>
          <w:p>
            <w:pPr>
              <w:pStyle w:val="TableContents"/>
              <w:bidi w:val="0"/>
              <w:spacing w:lineRule="atLeast" w:line="218" w:before="0" w:after="283"/>
              <w:jc w:val="center"/>
              <w:rPr>
                <w:sz w:val="20"/>
                <w:szCs w:val="20"/>
              </w:rPr>
            </w:pPr>
            <w:r>
              <w:rPr>
                <w:sz w:val="20"/>
                <w:szCs w:val="20"/>
              </w:rPr>
              <w:t> </w:t>
            </w:r>
          </w:p>
          <w:p>
            <w:pPr>
              <w:pStyle w:val="TableContents"/>
              <w:bidi w:val="0"/>
              <w:spacing w:lineRule="atLeast" w:line="218" w:before="0" w:after="283"/>
              <w:jc w:val="center"/>
              <w:rPr>
                <w:rFonts w:ascii="Arial" w:hAnsi="Arial"/>
                <w:sz w:val="20"/>
                <w:szCs w:val="20"/>
                <w:lang w:val="en-GB"/>
              </w:rPr>
            </w:pPr>
            <w:r>
              <w:rPr>
                <w:rFonts w:ascii="Arial" w:hAnsi="Arial"/>
                <w:sz w:val="20"/>
                <w:szCs w:val="20"/>
                <w:lang w:val="en-GB"/>
              </w:rPr>
              <w:t>B</w:t>
            </w:r>
          </w:p>
        </w:tc>
        <w:tc>
          <w:tcPr>
            <w:tcW w:w="1254" w:type="dxa"/>
            <w:tcBorders>
              <w:top w:val="single" w:sz="4" w:space="0" w:color="000000"/>
              <w:bottom w:val="single" w:sz="4" w:space="0" w:color="000000"/>
              <w:right w:val="single" w:sz="4" w:space="0" w:color="000000"/>
            </w:tcBorders>
            <w:tcMar>
              <w:left w:w="0" w:type="dxa"/>
            </w:tcMar>
          </w:tcPr>
          <w:p>
            <w:pPr>
              <w:pStyle w:val="TableContents"/>
              <w:bidi w:val="0"/>
              <w:spacing w:lineRule="atLeast" w:line="218" w:before="0" w:after="283"/>
              <w:jc w:val="center"/>
              <w:rPr>
                <w:sz w:val="20"/>
                <w:szCs w:val="20"/>
              </w:rPr>
            </w:pPr>
            <w:r>
              <w:rPr>
                <w:sz w:val="20"/>
                <w:szCs w:val="20"/>
              </w:rPr>
              <w:t> </w:t>
            </w:r>
          </w:p>
          <w:p>
            <w:pPr>
              <w:pStyle w:val="TableContents"/>
              <w:bidi w:val="0"/>
              <w:spacing w:lineRule="atLeast" w:line="218" w:before="0" w:after="283"/>
              <w:jc w:val="center"/>
              <w:rPr>
                <w:rFonts w:ascii="Arial" w:hAnsi="Arial"/>
                <w:sz w:val="20"/>
                <w:szCs w:val="20"/>
                <w:lang w:val="en-GB"/>
              </w:rPr>
            </w:pPr>
            <w:r>
              <w:rPr>
                <w:rFonts w:ascii="Arial" w:hAnsi="Arial"/>
                <w:sz w:val="20"/>
                <w:szCs w:val="20"/>
                <w:lang w:val="en-GB"/>
              </w:rPr>
              <w:t>C (= 100 / B)</w:t>
            </w:r>
          </w:p>
        </w:tc>
        <w:tc>
          <w:tcPr>
            <w:tcW w:w="4986" w:type="dxa"/>
            <w:gridSpan w:val="4"/>
            <w:tcBorders>
              <w:top w:val="single" w:sz="4" w:space="0" w:color="000000"/>
              <w:bottom w:val="single" w:sz="4" w:space="0" w:color="000000"/>
              <w:right w:val="single" w:sz="4" w:space="0" w:color="000000"/>
            </w:tcBorders>
            <w:tcMar>
              <w:left w:w="0" w:type="dxa"/>
            </w:tcMar>
            <w:vAlign w:val="bottom"/>
          </w:tcPr>
          <w:p>
            <w:pPr>
              <w:pStyle w:val="TableContents"/>
              <w:bidi w:val="0"/>
              <w:spacing w:lineRule="atLeast" w:line="218" w:before="0" w:after="283"/>
              <w:jc w:val="center"/>
              <w:rPr>
                <w:rFonts w:ascii="Arial" w:hAnsi="Arial"/>
                <w:sz w:val="20"/>
                <w:szCs w:val="20"/>
                <w:lang w:val="en-GB"/>
              </w:rPr>
            </w:pPr>
            <w:r>
              <w:rPr>
                <w:rFonts w:ascii="Arial" w:hAnsi="Arial"/>
                <w:sz w:val="20"/>
                <w:szCs w:val="20"/>
                <w:lang w:val="en-GB"/>
              </w:rPr>
              <w:t>D   (= x times C    )</w:t>
            </w:r>
          </w:p>
        </w:tc>
      </w:tr>
      <w:tr>
        <w:trPr/>
        <w:tc>
          <w:tcPr>
            <w:tcW w:w="2126" w:type="dxa"/>
            <w:vMerge w:val="restart"/>
            <w:tcBorders>
              <w:left w:val="single" w:sz="4" w:space="0" w:color="000000"/>
              <w:bottom w:val="single" w:sz="4" w:space="0" w:color="000000"/>
              <w:right w:val="single" w:sz="4" w:space="0" w:color="000000"/>
            </w:tcBorders>
            <w:tcMar>
              <w:top w:w="0" w:type="dxa"/>
            </w:tcMar>
          </w:tcPr>
          <w:p>
            <w:pPr>
              <w:pStyle w:val="TableContents"/>
              <w:bidi w:val="0"/>
              <w:spacing w:lineRule="atLeast" w:line="218" w:before="0" w:after="283"/>
              <w:jc w:val="center"/>
              <w:rPr>
                <w:rFonts w:ascii="Times New Roman;serif" w:hAnsi="Times New Roman;serif"/>
                <w:sz w:val="20"/>
                <w:szCs w:val="20"/>
                <w:lang w:val="en-GB"/>
              </w:rPr>
            </w:pPr>
            <w:r>
              <w:rPr>
                <w:rFonts w:ascii="Times New Roman;serif" w:hAnsi="Times New Roman;serif"/>
                <w:sz w:val="20"/>
                <w:szCs w:val="20"/>
                <w:lang w:val="en-GB"/>
              </w:rPr>
              <w:br w:type="textWrapping" w:clear="all"/>
            </w:r>
            <w:r>
              <w:rPr>
                <w:rFonts w:ascii="Times New Roman;serif" w:hAnsi="Times New Roman;serif"/>
                <w:sz w:val="20"/>
                <w:szCs w:val="20"/>
                <w:lang w:val="en-GB"/>
              </w:rPr>
              <w:t> </w:t>
            </w:r>
          </w:p>
          <w:p>
            <w:pPr>
              <w:pStyle w:val="TableContents"/>
              <w:bidi w:val="0"/>
              <w:spacing w:lineRule="atLeast" w:line="218" w:before="0" w:after="283"/>
              <w:jc w:val="center"/>
              <w:rPr>
                <w:rFonts w:ascii="Arial" w:hAnsi="Arial"/>
                <w:sz w:val="20"/>
                <w:szCs w:val="20"/>
                <w:lang w:val="en-GB"/>
              </w:rPr>
            </w:pPr>
            <w:r>
              <w:rPr>
                <w:rFonts w:ascii="Arial" w:hAnsi="Arial"/>
                <w:sz w:val="20"/>
                <w:szCs w:val="20"/>
                <w:lang w:val="en-GB"/>
              </w:rPr>
              <w:t>Word rank</w:t>
            </w:r>
          </w:p>
        </w:tc>
        <w:tc>
          <w:tcPr>
            <w:tcW w:w="1158" w:type="dxa"/>
            <w:vMerge w:val="restart"/>
            <w:tcBorders>
              <w:bottom w:val="single" w:sz="4" w:space="0" w:color="000000"/>
              <w:right w:val="single" w:sz="4" w:space="0" w:color="000000"/>
            </w:tcBorders>
            <w:tcMar>
              <w:top w:w="0" w:type="dxa"/>
              <w:left w:w="0" w:type="dxa"/>
            </w:tcMar>
          </w:tcPr>
          <w:p>
            <w:pPr>
              <w:pStyle w:val="TableContents"/>
              <w:bidi w:val="0"/>
              <w:spacing w:lineRule="atLeast" w:line="218" w:before="0" w:after="283"/>
              <w:jc w:val="left"/>
              <w:rPr>
                <w:rFonts w:ascii="Arial" w:hAnsi="Arial"/>
                <w:sz w:val="20"/>
                <w:szCs w:val="20"/>
                <w:lang w:val="en-GB"/>
              </w:rPr>
            </w:pPr>
            <w:r>
              <w:rPr>
                <w:rFonts w:ascii="Arial" w:hAnsi="Arial"/>
                <w:sz w:val="20"/>
                <w:szCs w:val="20"/>
                <w:lang w:val="en-GB"/>
              </w:rPr>
              <w:t>Percentage of English this word covers</w:t>
            </w:r>
          </w:p>
        </w:tc>
        <w:tc>
          <w:tcPr>
            <w:tcW w:w="1254" w:type="dxa"/>
            <w:vMerge w:val="restart"/>
            <w:tcBorders>
              <w:bottom w:val="single" w:sz="4" w:space="0" w:color="000000"/>
              <w:right w:val="single" w:sz="4" w:space="0" w:color="000000"/>
            </w:tcBorders>
            <w:tcMar>
              <w:top w:w="0" w:type="dxa"/>
              <w:left w:w="0" w:type="dxa"/>
            </w:tcMar>
          </w:tcPr>
          <w:p>
            <w:pPr>
              <w:pStyle w:val="TableContents"/>
              <w:bidi w:val="0"/>
              <w:spacing w:lineRule="atLeast" w:line="218" w:before="0" w:after="283"/>
              <w:jc w:val="left"/>
              <w:rPr>
                <w:rFonts w:ascii="Arial" w:hAnsi="Arial"/>
                <w:sz w:val="20"/>
                <w:szCs w:val="20"/>
                <w:lang w:val="en-GB"/>
              </w:rPr>
            </w:pPr>
            <w:r>
              <w:rPr>
                <w:rFonts w:ascii="Arial" w:hAnsi="Arial"/>
                <w:sz w:val="20"/>
                <w:szCs w:val="20"/>
                <w:lang w:val="en-GB"/>
              </w:rPr>
              <w:t>Number of running words needed meet all these words </w:t>
            </w:r>
            <w:r>
              <w:rPr>
                <w:rFonts w:ascii="Arial" w:hAnsi="Arial"/>
                <w:sz w:val="20"/>
                <w:szCs w:val="20"/>
                <w:u w:val="single"/>
                <w:lang w:val="en-GB"/>
              </w:rPr>
              <w:t>once</w:t>
            </w:r>
          </w:p>
        </w:tc>
        <w:tc>
          <w:tcPr>
            <w:tcW w:w="4986" w:type="dxa"/>
            <w:gridSpan w:val="4"/>
            <w:tcBorders>
              <w:bottom w:val="single" w:sz="4" w:space="0" w:color="000000"/>
              <w:right w:val="single" w:sz="4" w:space="0" w:color="000000"/>
            </w:tcBorders>
            <w:tcMar>
              <w:top w:w="0" w:type="dxa"/>
              <w:left w:w="0" w:type="dxa"/>
            </w:tcMar>
            <w:vAlign w:val="bottom"/>
          </w:tcPr>
          <w:p>
            <w:pPr>
              <w:pStyle w:val="TableContents"/>
              <w:bidi w:val="0"/>
              <w:spacing w:lineRule="atLeast" w:line="218" w:before="0" w:after="283"/>
              <w:jc w:val="center"/>
              <w:rPr>
                <w:sz w:val="20"/>
                <w:szCs w:val="20"/>
                <w:lang w:val="en-GB"/>
              </w:rPr>
            </w:pPr>
            <w:r>
              <w:rPr>
                <w:sz w:val="20"/>
                <w:szCs w:val="20"/>
                <w:lang w:val="en-GB"/>
              </w:rPr>
              <w:t>Volume of text needed to be read to meet the</w:t>
            </w:r>
          </w:p>
          <w:p>
            <w:pPr>
              <w:pStyle w:val="TableContents"/>
              <w:bidi w:val="0"/>
              <w:spacing w:lineRule="atLeast" w:line="218" w:before="0" w:after="283"/>
              <w:jc w:val="center"/>
              <w:rPr>
                <w:rFonts w:ascii="Arial" w:hAnsi="Arial"/>
                <w:sz w:val="20"/>
                <w:szCs w:val="20"/>
                <w:lang w:val="en-GB"/>
              </w:rPr>
            </w:pPr>
            <w:r>
              <w:rPr>
                <w:rFonts w:ascii="Arial" w:hAnsi="Arial"/>
                <w:sz w:val="20"/>
                <w:szCs w:val="20"/>
                <w:lang w:val="en-GB"/>
              </w:rPr>
              <w:t>words at these recurrence rates</w:t>
            </w:r>
          </w:p>
        </w:tc>
      </w:tr>
      <w:tr>
        <w:trPr/>
        <w:tc>
          <w:tcPr>
            <w:tcW w:w="2126" w:type="dxa"/>
            <w:vMerge w:val="continue"/>
            <w:tcBorders>
              <w:left w:val="single" w:sz="4" w:space="0" w:color="000000"/>
              <w:bottom w:val="single" w:sz="4" w:space="0" w:color="000000"/>
              <w:right w:val="single" w:sz="4" w:space="0" w:color="000000"/>
            </w:tcBorders>
            <w:tcMar>
              <w:top w:w="0" w:type="dxa"/>
            </w:tcMar>
          </w:tcPr>
          <w:p>
            <w:pPr>
              <w:pStyle w:val="TableContents"/>
              <w:bidi w:val="0"/>
              <w:jc w:val="left"/>
              <w:rPr>
                <w:sz w:val="20"/>
                <w:szCs w:val="20"/>
              </w:rPr>
            </w:pPr>
            <w:r>
              <w:rPr>
                <w:sz w:val="20"/>
                <w:szCs w:val="20"/>
              </w:rPr>
            </w:r>
          </w:p>
        </w:tc>
        <w:tc>
          <w:tcPr>
            <w:tcW w:w="1158" w:type="dxa"/>
            <w:vMerge w:val="continue"/>
            <w:tcBorders>
              <w:bottom w:val="single" w:sz="4" w:space="0" w:color="000000"/>
              <w:right w:val="single" w:sz="4" w:space="0" w:color="000000"/>
            </w:tcBorders>
            <w:tcMar>
              <w:top w:w="0" w:type="dxa"/>
              <w:left w:w="0" w:type="dxa"/>
            </w:tcMar>
          </w:tcPr>
          <w:p>
            <w:pPr>
              <w:pStyle w:val="TableContents"/>
              <w:bidi w:val="0"/>
              <w:jc w:val="left"/>
              <w:rPr>
                <w:sz w:val="20"/>
                <w:szCs w:val="20"/>
              </w:rPr>
            </w:pPr>
            <w:r>
              <w:rPr>
                <w:sz w:val="20"/>
                <w:szCs w:val="20"/>
              </w:rPr>
            </w:r>
          </w:p>
        </w:tc>
        <w:tc>
          <w:tcPr>
            <w:tcW w:w="1254" w:type="dxa"/>
            <w:vMerge w:val="continue"/>
            <w:tcBorders>
              <w:bottom w:val="single" w:sz="4" w:space="0" w:color="000000"/>
              <w:right w:val="single" w:sz="4" w:space="0" w:color="000000"/>
            </w:tcBorders>
            <w:tcMar>
              <w:top w:w="0" w:type="dxa"/>
              <w:left w:w="0" w:type="dxa"/>
            </w:tcMar>
          </w:tcPr>
          <w:p>
            <w:pPr>
              <w:pStyle w:val="TableContents"/>
              <w:bidi w:val="0"/>
              <w:jc w:val="left"/>
              <w:rPr>
                <w:sz w:val="20"/>
                <w:szCs w:val="20"/>
              </w:rPr>
            </w:pPr>
            <w:r>
              <w:rPr>
                <w:sz w:val="20"/>
                <w:szCs w:val="20"/>
              </w:rPr>
            </w:r>
          </w:p>
        </w:tc>
        <w:tc>
          <w:tcPr>
            <w:tcW w:w="1135" w:type="dxa"/>
            <w:tcBorders>
              <w:bottom w:val="single" w:sz="4" w:space="0" w:color="000000"/>
              <w:right w:val="single" w:sz="4" w:space="0" w:color="000000"/>
            </w:tcBorders>
            <w:tcMar>
              <w:top w:w="0" w:type="dxa"/>
              <w:left w:w="0" w:type="dxa"/>
            </w:tcMar>
            <w:vAlign w:val="bottom"/>
          </w:tcPr>
          <w:p>
            <w:pPr>
              <w:pStyle w:val="TableContents"/>
              <w:bidi w:val="0"/>
              <w:spacing w:lineRule="atLeast" w:line="218" w:before="0" w:after="283"/>
              <w:jc w:val="center"/>
              <w:rPr>
                <w:rFonts w:ascii="Arial" w:hAnsi="Arial"/>
                <w:sz w:val="20"/>
                <w:szCs w:val="20"/>
                <w:lang w:val="en-GB"/>
              </w:rPr>
            </w:pPr>
            <w:r>
              <w:rPr>
                <w:rFonts w:ascii="Arial" w:hAnsi="Arial"/>
                <w:sz w:val="20"/>
                <w:szCs w:val="20"/>
                <w:lang w:val="en-GB"/>
              </w:rPr>
              <w:t>5 times</w:t>
            </w:r>
          </w:p>
        </w:tc>
        <w:tc>
          <w:tcPr>
            <w:tcW w:w="1189" w:type="dxa"/>
            <w:tcBorders>
              <w:bottom w:val="single" w:sz="4" w:space="0" w:color="000000"/>
              <w:right w:val="single" w:sz="4" w:space="0" w:color="000000"/>
            </w:tcBorders>
            <w:tcMar>
              <w:top w:w="0" w:type="dxa"/>
              <w:left w:w="0" w:type="dxa"/>
            </w:tcMar>
            <w:vAlign w:val="bottom"/>
          </w:tcPr>
          <w:p>
            <w:pPr>
              <w:pStyle w:val="TableContents"/>
              <w:bidi w:val="0"/>
              <w:spacing w:lineRule="atLeast" w:line="218" w:before="0" w:after="283"/>
              <w:jc w:val="center"/>
              <w:rPr>
                <w:rFonts w:ascii="Arial" w:hAnsi="Arial"/>
                <w:sz w:val="20"/>
                <w:szCs w:val="20"/>
                <w:lang w:val="en-GB"/>
              </w:rPr>
            </w:pPr>
            <w:r>
              <w:rPr>
                <w:rFonts w:ascii="Arial" w:hAnsi="Arial"/>
                <w:sz w:val="20"/>
                <w:szCs w:val="20"/>
                <w:lang w:val="en-GB"/>
              </w:rPr>
              <w:t>10 times</w:t>
            </w:r>
          </w:p>
        </w:tc>
        <w:tc>
          <w:tcPr>
            <w:tcW w:w="1363" w:type="dxa"/>
            <w:tcBorders>
              <w:bottom w:val="single" w:sz="4" w:space="0" w:color="000000"/>
              <w:right w:val="single" w:sz="4" w:space="0" w:color="000000"/>
            </w:tcBorders>
            <w:tcMar>
              <w:top w:w="0" w:type="dxa"/>
              <w:left w:w="0" w:type="dxa"/>
            </w:tcMar>
            <w:vAlign w:val="bottom"/>
          </w:tcPr>
          <w:p>
            <w:pPr>
              <w:pStyle w:val="TableContents"/>
              <w:bidi w:val="0"/>
              <w:spacing w:lineRule="atLeast" w:line="218" w:before="0" w:after="283"/>
              <w:jc w:val="center"/>
              <w:rPr>
                <w:rFonts w:ascii="Arial" w:hAnsi="Arial"/>
                <w:sz w:val="20"/>
                <w:szCs w:val="20"/>
                <w:lang w:val="en-GB"/>
              </w:rPr>
            </w:pPr>
            <w:r>
              <w:rPr>
                <w:rFonts w:ascii="Arial" w:hAnsi="Arial"/>
                <w:sz w:val="20"/>
                <w:szCs w:val="20"/>
                <w:lang w:val="en-GB"/>
              </w:rPr>
              <w:t>20 times</w:t>
            </w:r>
          </w:p>
        </w:tc>
        <w:tc>
          <w:tcPr>
            <w:tcW w:w="1299" w:type="dxa"/>
            <w:tcBorders>
              <w:bottom w:val="single" w:sz="4" w:space="0" w:color="000000"/>
              <w:right w:val="single" w:sz="4" w:space="0" w:color="000000"/>
            </w:tcBorders>
            <w:tcMar>
              <w:top w:w="0" w:type="dxa"/>
              <w:left w:w="0" w:type="dxa"/>
            </w:tcMar>
            <w:vAlign w:val="bottom"/>
          </w:tcPr>
          <w:p>
            <w:pPr>
              <w:pStyle w:val="TableContents"/>
              <w:bidi w:val="0"/>
              <w:spacing w:lineRule="atLeast" w:line="218" w:before="0" w:after="283"/>
              <w:jc w:val="center"/>
              <w:rPr>
                <w:rFonts w:ascii="Arial" w:hAnsi="Arial"/>
                <w:sz w:val="20"/>
                <w:szCs w:val="20"/>
                <w:lang w:val="en-GB"/>
              </w:rPr>
            </w:pPr>
            <w:r>
              <w:rPr>
                <w:rFonts w:ascii="Arial" w:hAnsi="Arial"/>
                <w:sz w:val="20"/>
                <w:szCs w:val="20"/>
                <w:lang w:val="en-GB"/>
              </w:rPr>
              <w:t>50 times</w:t>
            </w:r>
          </w:p>
        </w:tc>
      </w:tr>
      <w:tr>
        <w:trPr/>
        <w:tc>
          <w:tcPr>
            <w:tcW w:w="2126" w:type="dxa"/>
            <w:tcBorders>
              <w:left w:val="single" w:sz="4" w:space="0" w:color="000000"/>
              <w:bottom w:val="single" w:sz="4" w:space="0" w:color="000000"/>
              <w:right w:val="single" w:sz="4" w:space="0" w:color="000000"/>
            </w:tcBorders>
            <w:tcMar>
              <w:top w:w="0" w:type="dxa"/>
            </w:tcMar>
            <w:vAlign w:val="center"/>
          </w:tcPr>
          <w:p>
            <w:pPr>
              <w:pStyle w:val="TableContents"/>
              <w:bidi w:val="0"/>
              <w:spacing w:lineRule="atLeast" w:line="218" w:before="0" w:after="283"/>
              <w:jc w:val="left"/>
              <w:rPr>
                <w:rFonts w:ascii="Arial" w:hAnsi="Arial"/>
                <w:sz w:val="20"/>
                <w:szCs w:val="20"/>
                <w:lang w:val="en-GB"/>
              </w:rPr>
            </w:pPr>
            <w:r>
              <w:rPr>
                <w:rFonts w:ascii="Arial" w:hAnsi="Arial"/>
                <w:sz w:val="20"/>
                <w:szCs w:val="20"/>
                <w:lang w:val="en-GB"/>
              </w:rPr>
              <w:t>1</w:t>
            </w:r>
            <w:r>
              <w:rPr>
                <w:rFonts w:ascii="Arial" w:hAnsi="Arial"/>
                <w:position w:val="7"/>
                <w:sz w:val="16"/>
                <w:sz w:val="20"/>
                <w:szCs w:val="20"/>
                <w:lang w:val="en-GB"/>
              </w:rPr>
              <w:t>st</w:t>
            </w:r>
            <w:r>
              <w:rPr>
                <w:rFonts w:ascii="Arial" w:hAnsi="Arial"/>
                <w:sz w:val="20"/>
                <w:szCs w:val="20"/>
                <w:lang w:val="en-GB"/>
              </w:rPr>
              <w:t>  most frequent (</w:t>
            </w:r>
            <w:r>
              <w:rPr>
                <w:rFonts w:ascii="Arial" w:hAnsi="Arial"/>
                <w:i/>
                <w:sz w:val="20"/>
                <w:szCs w:val="20"/>
                <w:lang w:val="en-GB"/>
              </w:rPr>
              <w:t>the</w:t>
            </w:r>
            <w:r>
              <w:rPr>
                <w:rFonts w:ascii="Arial" w:hAnsi="Arial"/>
                <w:sz w:val="20"/>
                <w:szCs w:val="20"/>
                <w:lang w:val="en-GB"/>
              </w:rPr>
              <w:t>)</w:t>
            </w:r>
          </w:p>
        </w:tc>
        <w:tc>
          <w:tcPr>
            <w:tcW w:w="1158" w:type="dxa"/>
            <w:tcBorders>
              <w:bottom w:val="single" w:sz="4" w:space="0" w:color="000000"/>
              <w:right w:val="single" w:sz="4" w:space="0" w:color="000000"/>
            </w:tcBorders>
            <w:tcMar>
              <w:top w:w="0" w:type="dxa"/>
              <w:left w:w="0" w:type="dxa"/>
            </w:tcMar>
            <w:vAlign w:val="center"/>
          </w:tcPr>
          <w:p>
            <w:pPr>
              <w:pStyle w:val="TableContents"/>
              <w:bidi w:val="0"/>
              <w:spacing w:lineRule="atLeast" w:line="218" w:before="0" w:after="283"/>
              <w:jc w:val="center"/>
              <w:rPr>
                <w:rFonts w:ascii="Arial" w:hAnsi="Arial"/>
                <w:sz w:val="20"/>
                <w:szCs w:val="20"/>
                <w:lang w:val="en-GB"/>
              </w:rPr>
            </w:pPr>
            <w:r>
              <w:rPr>
                <w:rFonts w:ascii="Arial" w:hAnsi="Arial"/>
                <w:sz w:val="20"/>
                <w:szCs w:val="20"/>
                <w:lang w:val="en-GB"/>
              </w:rPr>
              <w:t>5.83898%</w:t>
            </w:r>
          </w:p>
        </w:tc>
        <w:tc>
          <w:tcPr>
            <w:tcW w:w="1254" w:type="dxa"/>
            <w:tcBorders>
              <w:bottom w:val="single" w:sz="4" w:space="0" w:color="000000"/>
              <w:right w:val="single" w:sz="4" w:space="0" w:color="000000"/>
            </w:tcBorders>
            <w:tcMar>
              <w:top w:w="0" w:type="dxa"/>
              <w:left w:w="0" w:type="dxa"/>
            </w:tcMar>
            <w:vAlign w:val="center"/>
          </w:tcPr>
          <w:p>
            <w:pPr>
              <w:pStyle w:val="TableContents"/>
              <w:bidi w:val="0"/>
              <w:spacing w:lineRule="atLeast" w:line="218" w:before="0" w:after="283"/>
              <w:jc w:val="center"/>
              <w:rPr>
                <w:rFonts w:ascii="Arial" w:hAnsi="Arial"/>
                <w:sz w:val="20"/>
                <w:szCs w:val="20"/>
                <w:lang w:val="en-GB"/>
              </w:rPr>
            </w:pPr>
            <w:r>
              <w:rPr>
                <w:rFonts w:ascii="Arial" w:hAnsi="Arial"/>
                <w:sz w:val="20"/>
                <w:szCs w:val="20"/>
                <w:lang w:val="en-GB"/>
              </w:rPr>
              <w:t>17 (1)</w:t>
            </w:r>
          </w:p>
        </w:tc>
        <w:tc>
          <w:tcPr>
            <w:tcW w:w="1135" w:type="dxa"/>
            <w:tcBorders>
              <w:bottom w:val="single" w:sz="4" w:space="0" w:color="000000"/>
              <w:right w:val="single" w:sz="4" w:space="0" w:color="000000"/>
            </w:tcBorders>
            <w:tcMar>
              <w:top w:w="0" w:type="dxa"/>
              <w:left w:w="0" w:type="dxa"/>
            </w:tcMar>
            <w:vAlign w:val="center"/>
          </w:tcPr>
          <w:p>
            <w:pPr>
              <w:pStyle w:val="TableContents"/>
              <w:bidi w:val="0"/>
              <w:spacing w:lineRule="atLeast" w:line="218" w:before="0" w:after="283"/>
              <w:jc w:val="center"/>
              <w:rPr>
                <w:rFonts w:ascii="Arial" w:hAnsi="Arial"/>
                <w:sz w:val="20"/>
                <w:szCs w:val="20"/>
                <w:lang w:val="en-GB"/>
              </w:rPr>
            </w:pPr>
            <w:r>
              <w:rPr>
                <w:rFonts w:ascii="Arial" w:hAnsi="Arial"/>
                <w:sz w:val="20"/>
                <w:szCs w:val="20"/>
                <w:lang w:val="en-GB"/>
              </w:rPr>
              <w:t>86</w:t>
            </w:r>
          </w:p>
        </w:tc>
        <w:tc>
          <w:tcPr>
            <w:tcW w:w="1189" w:type="dxa"/>
            <w:tcBorders>
              <w:bottom w:val="single" w:sz="4" w:space="0" w:color="000000"/>
              <w:right w:val="single" w:sz="4" w:space="0" w:color="000000"/>
            </w:tcBorders>
            <w:tcMar>
              <w:top w:w="0" w:type="dxa"/>
              <w:left w:w="0" w:type="dxa"/>
            </w:tcMar>
            <w:vAlign w:val="center"/>
          </w:tcPr>
          <w:p>
            <w:pPr>
              <w:pStyle w:val="TableContents"/>
              <w:bidi w:val="0"/>
              <w:spacing w:lineRule="atLeast" w:line="218" w:before="0" w:after="283"/>
              <w:jc w:val="center"/>
              <w:rPr>
                <w:rFonts w:ascii="Arial" w:hAnsi="Arial"/>
                <w:sz w:val="20"/>
                <w:szCs w:val="20"/>
                <w:lang w:val="en-GB"/>
              </w:rPr>
            </w:pPr>
            <w:r>
              <w:rPr>
                <w:rFonts w:ascii="Arial" w:hAnsi="Arial"/>
                <w:sz w:val="20"/>
                <w:szCs w:val="20"/>
                <w:lang w:val="en-GB"/>
              </w:rPr>
              <w:t>171</w:t>
            </w:r>
          </w:p>
        </w:tc>
        <w:tc>
          <w:tcPr>
            <w:tcW w:w="1363" w:type="dxa"/>
            <w:tcBorders>
              <w:bottom w:val="single" w:sz="4" w:space="0" w:color="000000"/>
              <w:right w:val="single" w:sz="4" w:space="0" w:color="000000"/>
            </w:tcBorders>
            <w:tcMar>
              <w:top w:w="0" w:type="dxa"/>
              <w:left w:w="0" w:type="dxa"/>
            </w:tcMar>
            <w:vAlign w:val="center"/>
          </w:tcPr>
          <w:p>
            <w:pPr>
              <w:pStyle w:val="TableContents"/>
              <w:bidi w:val="0"/>
              <w:spacing w:lineRule="atLeast" w:line="218" w:before="0" w:after="283"/>
              <w:jc w:val="center"/>
              <w:rPr>
                <w:rFonts w:ascii="Arial" w:hAnsi="Arial"/>
                <w:sz w:val="20"/>
                <w:szCs w:val="20"/>
                <w:lang w:val="en-GB"/>
              </w:rPr>
            </w:pPr>
            <w:r>
              <w:rPr>
                <w:rFonts w:ascii="Arial" w:hAnsi="Arial"/>
                <w:sz w:val="20"/>
                <w:szCs w:val="20"/>
                <w:lang w:val="en-GB"/>
              </w:rPr>
              <w:t>343</w:t>
            </w:r>
          </w:p>
        </w:tc>
        <w:tc>
          <w:tcPr>
            <w:tcW w:w="1299" w:type="dxa"/>
            <w:tcBorders>
              <w:bottom w:val="single" w:sz="4" w:space="0" w:color="000000"/>
              <w:right w:val="single" w:sz="4" w:space="0" w:color="000000"/>
            </w:tcBorders>
            <w:tcMar>
              <w:top w:w="0" w:type="dxa"/>
              <w:left w:w="0" w:type="dxa"/>
            </w:tcMar>
            <w:vAlign w:val="center"/>
          </w:tcPr>
          <w:p>
            <w:pPr>
              <w:pStyle w:val="TableContents"/>
              <w:bidi w:val="0"/>
              <w:spacing w:lineRule="atLeast" w:line="218" w:before="0" w:after="283"/>
              <w:jc w:val="center"/>
              <w:rPr>
                <w:rFonts w:ascii="Arial" w:hAnsi="Arial"/>
                <w:sz w:val="20"/>
                <w:szCs w:val="20"/>
                <w:lang w:val="en-GB"/>
              </w:rPr>
            </w:pPr>
            <w:r>
              <w:rPr>
                <w:rFonts w:ascii="Arial" w:hAnsi="Arial"/>
                <w:sz w:val="20"/>
                <w:szCs w:val="20"/>
                <w:lang w:val="en-GB"/>
              </w:rPr>
              <w:t>856</w:t>
            </w:r>
          </w:p>
        </w:tc>
      </w:tr>
      <w:tr>
        <w:trPr/>
        <w:tc>
          <w:tcPr>
            <w:tcW w:w="2126" w:type="dxa"/>
            <w:tcBorders>
              <w:left w:val="single" w:sz="4" w:space="0" w:color="000000"/>
              <w:bottom w:val="single" w:sz="4" w:space="0" w:color="000000"/>
              <w:right w:val="single" w:sz="4" w:space="0" w:color="000000"/>
            </w:tcBorders>
            <w:tcMar>
              <w:top w:w="0" w:type="dxa"/>
            </w:tcMar>
            <w:vAlign w:val="center"/>
          </w:tcPr>
          <w:p>
            <w:pPr>
              <w:pStyle w:val="TableContents"/>
              <w:bidi w:val="0"/>
              <w:spacing w:lineRule="atLeast" w:line="218" w:before="0" w:after="283"/>
              <w:jc w:val="left"/>
              <w:rPr>
                <w:rFonts w:ascii="Arial" w:hAnsi="Arial"/>
                <w:sz w:val="20"/>
                <w:szCs w:val="20"/>
                <w:lang w:val="en-GB"/>
              </w:rPr>
            </w:pPr>
            <w:r>
              <w:rPr>
                <w:rFonts w:ascii="Arial" w:hAnsi="Arial"/>
                <w:sz w:val="20"/>
                <w:szCs w:val="20"/>
                <w:lang w:val="en-GB"/>
              </w:rPr>
              <w:t>2</w:t>
            </w:r>
            <w:r>
              <w:rPr>
                <w:rFonts w:ascii="Arial" w:hAnsi="Arial"/>
                <w:position w:val="7"/>
                <w:sz w:val="16"/>
                <w:sz w:val="20"/>
                <w:szCs w:val="20"/>
                <w:lang w:val="en-GB"/>
              </w:rPr>
              <w:t>nd</w:t>
            </w:r>
            <w:r>
              <w:rPr>
                <w:rFonts w:ascii="Arial" w:hAnsi="Arial"/>
                <w:sz w:val="20"/>
                <w:szCs w:val="20"/>
                <w:lang w:val="en-GB"/>
              </w:rPr>
              <w:t> most frequent (</w:t>
            </w:r>
            <w:r>
              <w:rPr>
                <w:rFonts w:ascii="Arial" w:hAnsi="Arial"/>
                <w:i/>
                <w:sz w:val="20"/>
                <w:szCs w:val="20"/>
                <w:lang w:val="en-GB"/>
              </w:rPr>
              <w:t>be</w:t>
            </w:r>
            <w:r>
              <w:rPr>
                <w:rFonts w:ascii="Arial" w:hAnsi="Arial"/>
                <w:sz w:val="20"/>
                <w:szCs w:val="20"/>
                <w:lang w:val="en-GB"/>
              </w:rPr>
              <w:t>)</w:t>
            </w:r>
          </w:p>
        </w:tc>
        <w:tc>
          <w:tcPr>
            <w:tcW w:w="1158" w:type="dxa"/>
            <w:tcBorders>
              <w:bottom w:val="single" w:sz="4" w:space="0" w:color="000000"/>
              <w:right w:val="single" w:sz="4" w:space="0" w:color="000000"/>
            </w:tcBorders>
            <w:tcMar>
              <w:top w:w="0" w:type="dxa"/>
              <w:left w:w="0" w:type="dxa"/>
            </w:tcMar>
            <w:vAlign w:val="center"/>
          </w:tcPr>
          <w:p>
            <w:pPr>
              <w:pStyle w:val="TableContents"/>
              <w:bidi w:val="0"/>
              <w:spacing w:lineRule="atLeast" w:line="218" w:before="0" w:after="283"/>
              <w:jc w:val="center"/>
              <w:rPr>
                <w:rFonts w:ascii="Arial" w:hAnsi="Arial"/>
                <w:sz w:val="20"/>
                <w:szCs w:val="20"/>
                <w:lang w:val="en-GB"/>
              </w:rPr>
            </w:pPr>
            <w:r>
              <w:rPr>
                <w:rFonts w:ascii="Arial" w:hAnsi="Arial"/>
                <w:sz w:val="20"/>
                <w:szCs w:val="20"/>
                <w:lang w:val="en-GB"/>
              </w:rPr>
              <w:t>5.12332%</w:t>
            </w:r>
          </w:p>
        </w:tc>
        <w:tc>
          <w:tcPr>
            <w:tcW w:w="1254" w:type="dxa"/>
            <w:tcBorders>
              <w:bottom w:val="single" w:sz="4" w:space="0" w:color="000000"/>
              <w:right w:val="single" w:sz="4" w:space="0" w:color="000000"/>
            </w:tcBorders>
            <w:tcMar>
              <w:top w:w="0" w:type="dxa"/>
              <w:left w:w="0" w:type="dxa"/>
            </w:tcMar>
            <w:vAlign w:val="center"/>
          </w:tcPr>
          <w:p>
            <w:pPr>
              <w:pStyle w:val="TableContents"/>
              <w:bidi w:val="0"/>
              <w:spacing w:lineRule="atLeast" w:line="218" w:before="0" w:after="283"/>
              <w:jc w:val="center"/>
              <w:rPr>
                <w:rFonts w:ascii="Arial" w:hAnsi="Arial"/>
                <w:sz w:val="20"/>
                <w:szCs w:val="20"/>
                <w:lang w:val="en-GB"/>
              </w:rPr>
            </w:pPr>
            <w:r>
              <w:rPr>
                <w:rFonts w:ascii="Arial" w:hAnsi="Arial"/>
                <w:sz w:val="20"/>
                <w:szCs w:val="20"/>
                <w:lang w:val="en-GB"/>
              </w:rPr>
              <w:t>20</w:t>
            </w:r>
          </w:p>
        </w:tc>
        <w:tc>
          <w:tcPr>
            <w:tcW w:w="1135" w:type="dxa"/>
            <w:tcBorders>
              <w:bottom w:val="single" w:sz="4" w:space="0" w:color="000000"/>
              <w:right w:val="single" w:sz="4" w:space="0" w:color="000000"/>
            </w:tcBorders>
            <w:tcMar>
              <w:top w:w="0" w:type="dxa"/>
              <w:left w:w="0" w:type="dxa"/>
            </w:tcMar>
            <w:vAlign w:val="center"/>
          </w:tcPr>
          <w:p>
            <w:pPr>
              <w:pStyle w:val="TableContents"/>
              <w:bidi w:val="0"/>
              <w:spacing w:lineRule="atLeast" w:line="218" w:before="0" w:after="283"/>
              <w:jc w:val="center"/>
              <w:rPr>
                <w:rFonts w:ascii="Arial" w:hAnsi="Arial"/>
                <w:sz w:val="20"/>
                <w:szCs w:val="20"/>
                <w:lang w:val="en-GB"/>
              </w:rPr>
            </w:pPr>
            <w:r>
              <w:rPr>
                <w:rFonts w:ascii="Arial" w:hAnsi="Arial"/>
                <w:sz w:val="20"/>
                <w:szCs w:val="20"/>
                <w:lang w:val="en-GB"/>
              </w:rPr>
              <w:t>98</w:t>
            </w:r>
          </w:p>
        </w:tc>
        <w:tc>
          <w:tcPr>
            <w:tcW w:w="1189" w:type="dxa"/>
            <w:tcBorders>
              <w:bottom w:val="single" w:sz="4" w:space="0" w:color="000000"/>
              <w:right w:val="single" w:sz="4" w:space="0" w:color="000000"/>
            </w:tcBorders>
            <w:tcMar>
              <w:top w:w="0" w:type="dxa"/>
              <w:left w:w="0" w:type="dxa"/>
            </w:tcMar>
            <w:vAlign w:val="center"/>
          </w:tcPr>
          <w:p>
            <w:pPr>
              <w:pStyle w:val="TableContents"/>
              <w:bidi w:val="0"/>
              <w:spacing w:lineRule="atLeast" w:line="218" w:before="0" w:after="283"/>
              <w:jc w:val="center"/>
              <w:rPr>
                <w:rFonts w:ascii="Arial" w:hAnsi="Arial"/>
                <w:sz w:val="20"/>
                <w:szCs w:val="20"/>
                <w:lang w:val="en-GB"/>
              </w:rPr>
            </w:pPr>
            <w:r>
              <w:rPr>
                <w:rFonts w:ascii="Arial" w:hAnsi="Arial"/>
                <w:sz w:val="20"/>
                <w:szCs w:val="20"/>
                <w:lang w:val="en-GB"/>
              </w:rPr>
              <w:t>195</w:t>
            </w:r>
          </w:p>
        </w:tc>
        <w:tc>
          <w:tcPr>
            <w:tcW w:w="1363" w:type="dxa"/>
            <w:tcBorders>
              <w:bottom w:val="single" w:sz="4" w:space="0" w:color="000000"/>
              <w:right w:val="single" w:sz="4" w:space="0" w:color="000000"/>
            </w:tcBorders>
            <w:tcMar>
              <w:top w:w="0" w:type="dxa"/>
              <w:left w:w="0" w:type="dxa"/>
            </w:tcMar>
            <w:vAlign w:val="center"/>
          </w:tcPr>
          <w:p>
            <w:pPr>
              <w:pStyle w:val="TableContents"/>
              <w:bidi w:val="0"/>
              <w:spacing w:lineRule="atLeast" w:line="218" w:before="0" w:after="283"/>
              <w:jc w:val="center"/>
              <w:rPr>
                <w:rFonts w:ascii="Arial" w:hAnsi="Arial"/>
                <w:sz w:val="20"/>
                <w:szCs w:val="20"/>
                <w:lang w:val="en-GB"/>
              </w:rPr>
            </w:pPr>
            <w:r>
              <w:rPr>
                <w:rFonts w:ascii="Arial" w:hAnsi="Arial"/>
                <w:sz w:val="20"/>
                <w:szCs w:val="20"/>
                <w:lang w:val="en-GB"/>
              </w:rPr>
              <w:t>390</w:t>
            </w:r>
          </w:p>
        </w:tc>
        <w:tc>
          <w:tcPr>
            <w:tcW w:w="1299" w:type="dxa"/>
            <w:tcBorders>
              <w:bottom w:val="single" w:sz="4" w:space="0" w:color="000000"/>
              <w:right w:val="single" w:sz="4" w:space="0" w:color="000000"/>
            </w:tcBorders>
            <w:tcMar>
              <w:top w:w="0" w:type="dxa"/>
              <w:left w:w="0" w:type="dxa"/>
            </w:tcMar>
            <w:vAlign w:val="center"/>
          </w:tcPr>
          <w:p>
            <w:pPr>
              <w:pStyle w:val="TableContents"/>
              <w:bidi w:val="0"/>
              <w:spacing w:lineRule="atLeast" w:line="218" w:before="0" w:after="283"/>
              <w:jc w:val="center"/>
              <w:rPr>
                <w:rFonts w:ascii="Arial" w:hAnsi="Arial"/>
                <w:sz w:val="20"/>
                <w:szCs w:val="20"/>
                <w:lang w:val="en-GB"/>
              </w:rPr>
            </w:pPr>
            <w:r>
              <w:rPr>
                <w:rFonts w:ascii="Arial" w:hAnsi="Arial"/>
                <w:sz w:val="20"/>
                <w:szCs w:val="20"/>
                <w:lang w:val="en-GB"/>
              </w:rPr>
              <w:t>976</w:t>
            </w:r>
          </w:p>
        </w:tc>
      </w:tr>
      <w:tr>
        <w:trPr/>
        <w:tc>
          <w:tcPr>
            <w:tcW w:w="2126" w:type="dxa"/>
            <w:tcBorders>
              <w:left w:val="single" w:sz="4" w:space="0" w:color="000000"/>
              <w:bottom w:val="single" w:sz="4" w:space="0" w:color="000000"/>
              <w:right w:val="single" w:sz="4" w:space="0" w:color="000000"/>
            </w:tcBorders>
            <w:tcMar>
              <w:top w:w="0" w:type="dxa"/>
            </w:tcMar>
            <w:vAlign w:val="center"/>
          </w:tcPr>
          <w:p>
            <w:pPr>
              <w:pStyle w:val="TableContents"/>
              <w:bidi w:val="0"/>
              <w:spacing w:lineRule="atLeast" w:line="218" w:before="0" w:after="283"/>
              <w:jc w:val="left"/>
              <w:rPr>
                <w:rFonts w:ascii="Arial" w:hAnsi="Arial"/>
                <w:sz w:val="20"/>
                <w:szCs w:val="20"/>
                <w:lang w:val="en-GB"/>
              </w:rPr>
            </w:pPr>
            <w:r>
              <w:rPr>
                <w:rFonts w:ascii="Arial" w:hAnsi="Arial"/>
                <w:sz w:val="20"/>
                <w:szCs w:val="20"/>
                <w:lang w:val="en-GB"/>
              </w:rPr>
              <w:t>25</w:t>
            </w:r>
            <w:r>
              <w:rPr>
                <w:rFonts w:ascii="Arial" w:hAnsi="Arial"/>
                <w:position w:val="7"/>
                <w:sz w:val="16"/>
                <w:sz w:val="20"/>
                <w:szCs w:val="20"/>
                <w:lang w:val="en-GB"/>
              </w:rPr>
              <w:t>th</w:t>
            </w:r>
            <w:r>
              <w:rPr>
                <w:rFonts w:ascii="Arial" w:hAnsi="Arial"/>
                <w:sz w:val="20"/>
                <w:szCs w:val="20"/>
                <w:lang w:val="en-GB"/>
              </w:rPr>
              <w:t> (</w:t>
            </w:r>
            <w:r>
              <w:rPr>
                <w:rFonts w:ascii="Arial" w:hAnsi="Arial"/>
                <w:i/>
                <w:sz w:val="20"/>
                <w:szCs w:val="20"/>
                <w:lang w:val="en-GB"/>
              </w:rPr>
              <w:t>as</w:t>
            </w:r>
            <w:r>
              <w:rPr>
                <w:rFonts w:ascii="Arial" w:hAnsi="Arial"/>
                <w:sz w:val="20"/>
                <w:szCs w:val="20"/>
                <w:lang w:val="en-GB"/>
              </w:rPr>
              <w:t>)</w:t>
            </w:r>
          </w:p>
        </w:tc>
        <w:tc>
          <w:tcPr>
            <w:tcW w:w="1158" w:type="dxa"/>
            <w:tcBorders>
              <w:bottom w:val="single" w:sz="4" w:space="0" w:color="000000"/>
              <w:right w:val="single" w:sz="4" w:space="0" w:color="000000"/>
            </w:tcBorders>
            <w:tcMar>
              <w:top w:w="0" w:type="dxa"/>
              <w:left w:w="0" w:type="dxa"/>
            </w:tcMar>
            <w:vAlign w:val="center"/>
          </w:tcPr>
          <w:p>
            <w:pPr>
              <w:pStyle w:val="TableContents"/>
              <w:bidi w:val="0"/>
              <w:spacing w:lineRule="atLeast" w:line="218" w:before="0" w:after="283"/>
              <w:jc w:val="center"/>
              <w:rPr>
                <w:rFonts w:ascii="Arial" w:hAnsi="Arial"/>
                <w:sz w:val="20"/>
                <w:szCs w:val="20"/>
                <w:lang w:val="en-GB"/>
              </w:rPr>
            </w:pPr>
            <w:r>
              <w:rPr>
                <w:rFonts w:ascii="Arial" w:hAnsi="Arial"/>
                <w:sz w:val="20"/>
                <w:szCs w:val="20"/>
                <w:lang w:val="en-GB"/>
              </w:rPr>
              <w:t>0.44382%</w:t>
            </w:r>
          </w:p>
        </w:tc>
        <w:tc>
          <w:tcPr>
            <w:tcW w:w="1254" w:type="dxa"/>
            <w:tcBorders>
              <w:bottom w:val="single" w:sz="4" w:space="0" w:color="000000"/>
              <w:right w:val="single" w:sz="4" w:space="0" w:color="000000"/>
            </w:tcBorders>
            <w:tcMar>
              <w:top w:w="0" w:type="dxa"/>
              <w:left w:w="0" w:type="dxa"/>
            </w:tcMar>
            <w:vAlign w:val="center"/>
          </w:tcPr>
          <w:p>
            <w:pPr>
              <w:pStyle w:val="TableContents"/>
              <w:bidi w:val="0"/>
              <w:spacing w:lineRule="atLeast" w:line="218" w:before="0" w:after="283"/>
              <w:jc w:val="center"/>
              <w:rPr>
                <w:rFonts w:ascii="Arial" w:hAnsi="Arial"/>
                <w:sz w:val="20"/>
                <w:szCs w:val="20"/>
                <w:lang w:val="en-GB"/>
              </w:rPr>
            </w:pPr>
            <w:r>
              <w:rPr>
                <w:rFonts w:ascii="Arial" w:hAnsi="Arial"/>
                <w:sz w:val="20"/>
                <w:szCs w:val="20"/>
                <w:lang w:val="en-GB"/>
              </w:rPr>
              <w:t>225</w:t>
            </w:r>
          </w:p>
        </w:tc>
        <w:tc>
          <w:tcPr>
            <w:tcW w:w="1135" w:type="dxa"/>
            <w:tcBorders>
              <w:bottom w:val="single" w:sz="4" w:space="0" w:color="000000"/>
              <w:right w:val="single" w:sz="4" w:space="0" w:color="000000"/>
            </w:tcBorders>
            <w:tcMar>
              <w:top w:w="0" w:type="dxa"/>
              <w:left w:w="0" w:type="dxa"/>
            </w:tcMar>
            <w:vAlign w:val="center"/>
          </w:tcPr>
          <w:p>
            <w:pPr>
              <w:pStyle w:val="TableContents"/>
              <w:bidi w:val="0"/>
              <w:spacing w:lineRule="atLeast" w:line="218" w:before="0" w:after="283"/>
              <w:jc w:val="center"/>
              <w:rPr>
                <w:rFonts w:ascii="Arial" w:hAnsi="Arial"/>
                <w:sz w:val="20"/>
                <w:szCs w:val="20"/>
                <w:lang w:val="en-GB"/>
              </w:rPr>
            </w:pPr>
            <w:r>
              <w:rPr>
                <w:rFonts w:ascii="Arial" w:hAnsi="Arial"/>
                <w:sz w:val="20"/>
                <w:szCs w:val="20"/>
                <w:lang w:val="en-GB"/>
              </w:rPr>
              <w:t>1,127</w:t>
            </w:r>
          </w:p>
        </w:tc>
        <w:tc>
          <w:tcPr>
            <w:tcW w:w="1189" w:type="dxa"/>
            <w:tcBorders>
              <w:bottom w:val="single" w:sz="4" w:space="0" w:color="000000"/>
              <w:right w:val="single" w:sz="4" w:space="0" w:color="000000"/>
            </w:tcBorders>
            <w:tcMar>
              <w:top w:w="0" w:type="dxa"/>
              <w:left w:w="0" w:type="dxa"/>
            </w:tcMar>
            <w:vAlign w:val="center"/>
          </w:tcPr>
          <w:p>
            <w:pPr>
              <w:pStyle w:val="TableContents"/>
              <w:bidi w:val="0"/>
              <w:spacing w:lineRule="atLeast" w:line="218" w:before="0" w:after="283"/>
              <w:jc w:val="center"/>
              <w:rPr>
                <w:rFonts w:ascii="Arial" w:hAnsi="Arial"/>
                <w:sz w:val="20"/>
                <w:szCs w:val="20"/>
                <w:lang w:val="en-GB"/>
              </w:rPr>
            </w:pPr>
            <w:r>
              <w:rPr>
                <w:rFonts w:ascii="Arial" w:hAnsi="Arial"/>
                <w:sz w:val="20"/>
                <w:szCs w:val="20"/>
                <w:lang w:val="en-GB"/>
              </w:rPr>
              <w:t>2,253</w:t>
            </w:r>
          </w:p>
        </w:tc>
        <w:tc>
          <w:tcPr>
            <w:tcW w:w="1363" w:type="dxa"/>
            <w:tcBorders>
              <w:bottom w:val="single" w:sz="4" w:space="0" w:color="000000"/>
              <w:right w:val="single" w:sz="4" w:space="0" w:color="000000"/>
            </w:tcBorders>
            <w:tcMar>
              <w:top w:w="0" w:type="dxa"/>
              <w:left w:w="0" w:type="dxa"/>
            </w:tcMar>
            <w:vAlign w:val="center"/>
          </w:tcPr>
          <w:p>
            <w:pPr>
              <w:pStyle w:val="TableContents"/>
              <w:bidi w:val="0"/>
              <w:spacing w:lineRule="atLeast" w:line="218" w:before="0" w:after="283"/>
              <w:jc w:val="center"/>
              <w:rPr>
                <w:rFonts w:ascii="Arial" w:hAnsi="Arial"/>
                <w:sz w:val="20"/>
                <w:szCs w:val="20"/>
                <w:lang w:val="en-GB"/>
              </w:rPr>
            </w:pPr>
            <w:r>
              <w:rPr>
                <w:rFonts w:ascii="Arial" w:hAnsi="Arial"/>
                <w:sz w:val="20"/>
                <w:szCs w:val="20"/>
                <w:lang w:val="en-GB"/>
              </w:rPr>
              <w:t>4,506</w:t>
            </w:r>
          </w:p>
        </w:tc>
        <w:tc>
          <w:tcPr>
            <w:tcW w:w="1299" w:type="dxa"/>
            <w:tcBorders>
              <w:bottom w:val="single" w:sz="4" w:space="0" w:color="000000"/>
              <w:right w:val="single" w:sz="4" w:space="0" w:color="000000"/>
            </w:tcBorders>
            <w:tcMar>
              <w:top w:w="0" w:type="dxa"/>
              <w:left w:w="0" w:type="dxa"/>
            </w:tcMar>
            <w:vAlign w:val="center"/>
          </w:tcPr>
          <w:p>
            <w:pPr>
              <w:pStyle w:val="TableContents"/>
              <w:bidi w:val="0"/>
              <w:spacing w:lineRule="atLeast" w:line="218" w:before="0" w:after="283"/>
              <w:jc w:val="center"/>
              <w:rPr>
                <w:rFonts w:ascii="Arial" w:hAnsi="Arial"/>
                <w:sz w:val="20"/>
                <w:szCs w:val="20"/>
                <w:lang w:val="en-GB"/>
              </w:rPr>
            </w:pPr>
            <w:r>
              <w:rPr>
                <w:rFonts w:ascii="Arial" w:hAnsi="Arial"/>
                <w:sz w:val="20"/>
                <w:szCs w:val="20"/>
                <w:lang w:val="en-GB"/>
              </w:rPr>
              <w:t>11,266</w:t>
            </w:r>
          </w:p>
        </w:tc>
      </w:tr>
      <w:tr>
        <w:trPr/>
        <w:tc>
          <w:tcPr>
            <w:tcW w:w="2126" w:type="dxa"/>
            <w:tcBorders>
              <w:left w:val="single" w:sz="4" w:space="0" w:color="000000"/>
              <w:bottom w:val="single" w:sz="4" w:space="0" w:color="000000"/>
              <w:right w:val="single" w:sz="4" w:space="0" w:color="000000"/>
            </w:tcBorders>
            <w:tcMar>
              <w:top w:w="0" w:type="dxa"/>
            </w:tcMar>
            <w:vAlign w:val="center"/>
          </w:tcPr>
          <w:p>
            <w:pPr>
              <w:pStyle w:val="TableContents"/>
              <w:bidi w:val="0"/>
              <w:spacing w:lineRule="atLeast" w:line="218" w:before="0" w:after="283"/>
              <w:jc w:val="left"/>
              <w:rPr>
                <w:rFonts w:ascii="Arial" w:hAnsi="Arial"/>
                <w:sz w:val="20"/>
                <w:szCs w:val="20"/>
                <w:lang w:val="en-GB"/>
              </w:rPr>
            </w:pPr>
            <w:r>
              <w:rPr>
                <w:rFonts w:ascii="Arial" w:hAnsi="Arial"/>
                <w:sz w:val="20"/>
                <w:szCs w:val="20"/>
                <w:lang w:val="en-GB"/>
              </w:rPr>
              <w:t>50</w:t>
            </w:r>
            <w:r>
              <w:rPr>
                <w:rFonts w:ascii="Arial" w:hAnsi="Arial"/>
                <w:position w:val="7"/>
                <w:sz w:val="16"/>
                <w:sz w:val="20"/>
                <w:szCs w:val="20"/>
                <w:lang w:val="en-GB"/>
              </w:rPr>
              <w:t>th</w:t>
            </w:r>
            <w:r>
              <w:rPr>
                <w:rFonts w:ascii="Arial" w:hAnsi="Arial"/>
                <w:sz w:val="20"/>
                <w:szCs w:val="20"/>
                <w:lang w:val="en-GB"/>
              </w:rPr>
              <w:t> (</w:t>
            </w:r>
            <w:r>
              <w:rPr>
                <w:rFonts w:ascii="Arial" w:hAnsi="Arial"/>
                <w:i/>
                <w:sz w:val="20"/>
                <w:szCs w:val="20"/>
                <w:lang w:val="en-GB"/>
              </w:rPr>
              <w:t>like</w:t>
            </w:r>
            <w:r>
              <w:rPr>
                <w:rFonts w:ascii="Arial" w:hAnsi="Arial"/>
                <w:sz w:val="20"/>
                <w:szCs w:val="20"/>
                <w:lang w:val="en-GB"/>
              </w:rPr>
              <w:t>)</w:t>
            </w:r>
          </w:p>
        </w:tc>
        <w:tc>
          <w:tcPr>
            <w:tcW w:w="1158" w:type="dxa"/>
            <w:tcBorders>
              <w:bottom w:val="single" w:sz="4" w:space="0" w:color="000000"/>
              <w:right w:val="single" w:sz="4" w:space="0" w:color="000000"/>
            </w:tcBorders>
            <w:tcMar>
              <w:top w:w="0" w:type="dxa"/>
              <w:left w:w="0" w:type="dxa"/>
            </w:tcMar>
            <w:vAlign w:val="center"/>
          </w:tcPr>
          <w:p>
            <w:pPr>
              <w:pStyle w:val="TableContents"/>
              <w:bidi w:val="0"/>
              <w:spacing w:lineRule="atLeast" w:line="218" w:before="0" w:after="283"/>
              <w:jc w:val="center"/>
              <w:rPr>
                <w:rFonts w:ascii="Arial" w:hAnsi="Arial"/>
                <w:sz w:val="20"/>
                <w:szCs w:val="20"/>
                <w:lang w:val="en-GB"/>
              </w:rPr>
            </w:pPr>
            <w:r>
              <w:rPr>
                <w:rFonts w:ascii="Arial" w:hAnsi="Arial"/>
                <w:sz w:val="20"/>
                <w:szCs w:val="20"/>
                <w:lang w:val="en-GB"/>
              </w:rPr>
              <w:t>0.24109%</w:t>
            </w:r>
          </w:p>
        </w:tc>
        <w:tc>
          <w:tcPr>
            <w:tcW w:w="1254" w:type="dxa"/>
            <w:tcBorders>
              <w:bottom w:val="single" w:sz="4" w:space="0" w:color="000000"/>
              <w:right w:val="single" w:sz="4" w:space="0" w:color="000000"/>
            </w:tcBorders>
            <w:tcMar>
              <w:top w:w="0" w:type="dxa"/>
              <w:left w:w="0" w:type="dxa"/>
            </w:tcMar>
            <w:vAlign w:val="center"/>
          </w:tcPr>
          <w:p>
            <w:pPr>
              <w:pStyle w:val="TableContents"/>
              <w:bidi w:val="0"/>
              <w:spacing w:lineRule="atLeast" w:line="218" w:before="0" w:after="283"/>
              <w:jc w:val="center"/>
              <w:rPr>
                <w:rFonts w:ascii="Arial" w:hAnsi="Arial"/>
                <w:sz w:val="20"/>
                <w:szCs w:val="20"/>
                <w:lang w:val="en-GB"/>
              </w:rPr>
            </w:pPr>
            <w:r>
              <w:rPr>
                <w:rFonts w:ascii="Arial" w:hAnsi="Arial"/>
                <w:sz w:val="20"/>
                <w:szCs w:val="20"/>
                <w:lang w:val="en-GB"/>
              </w:rPr>
              <w:t>415</w:t>
            </w:r>
          </w:p>
        </w:tc>
        <w:tc>
          <w:tcPr>
            <w:tcW w:w="1135" w:type="dxa"/>
            <w:tcBorders>
              <w:bottom w:val="single" w:sz="4" w:space="0" w:color="000000"/>
              <w:right w:val="single" w:sz="4" w:space="0" w:color="000000"/>
            </w:tcBorders>
            <w:tcMar>
              <w:top w:w="0" w:type="dxa"/>
              <w:left w:w="0" w:type="dxa"/>
            </w:tcMar>
            <w:vAlign w:val="center"/>
          </w:tcPr>
          <w:p>
            <w:pPr>
              <w:pStyle w:val="TableContents"/>
              <w:bidi w:val="0"/>
              <w:spacing w:lineRule="atLeast" w:line="218" w:before="0" w:after="283"/>
              <w:jc w:val="center"/>
              <w:rPr>
                <w:rFonts w:ascii="Arial" w:hAnsi="Arial"/>
                <w:sz w:val="20"/>
                <w:szCs w:val="20"/>
                <w:lang w:val="en-GB"/>
              </w:rPr>
            </w:pPr>
            <w:r>
              <w:rPr>
                <w:rFonts w:ascii="Arial" w:hAnsi="Arial"/>
                <w:sz w:val="20"/>
                <w:szCs w:val="20"/>
                <w:lang w:val="en-GB"/>
              </w:rPr>
              <w:t>2,074</w:t>
            </w:r>
          </w:p>
        </w:tc>
        <w:tc>
          <w:tcPr>
            <w:tcW w:w="1189" w:type="dxa"/>
            <w:tcBorders>
              <w:bottom w:val="single" w:sz="4" w:space="0" w:color="000000"/>
              <w:right w:val="single" w:sz="4" w:space="0" w:color="000000"/>
            </w:tcBorders>
            <w:tcMar>
              <w:top w:w="0" w:type="dxa"/>
              <w:left w:w="0" w:type="dxa"/>
            </w:tcMar>
            <w:vAlign w:val="center"/>
          </w:tcPr>
          <w:p>
            <w:pPr>
              <w:pStyle w:val="TableContents"/>
              <w:bidi w:val="0"/>
              <w:spacing w:lineRule="atLeast" w:line="218" w:before="0" w:after="283"/>
              <w:jc w:val="center"/>
              <w:rPr>
                <w:rFonts w:ascii="Arial" w:hAnsi="Arial"/>
                <w:sz w:val="20"/>
                <w:szCs w:val="20"/>
                <w:lang w:val="en-GB"/>
              </w:rPr>
            </w:pPr>
            <w:r>
              <w:rPr>
                <w:rFonts w:ascii="Arial" w:hAnsi="Arial"/>
                <w:sz w:val="20"/>
                <w:szCs w:val="20"/>
                <w:lang w:val="en-GB"/>
              </w:rPr>
              <w:t>4,148</w:t>
            </w:r>
          </w:p>
        </w:tc>
        <w:tc>
          <w:tcPr>
            <w:tcW w:w="1363" w:type="dxa"/>
            <w:tcBorders>
              <w:bottom w:val="single" w:sz="4" w:space="0" w:color="000000"/>
              <w:right w:val="single" w:sz="4" w:space="0" w:color="000000"/>
            </w:tcBorders>
            <w:tcMar>
              <w:top w:w="0" w:type="dxa"/>
              <w:left w:w="0" w:type="dxa"/>
            </w:tcMar>
            <w:vAlign w:val="center"/>
          </w:tcPr>
          <w:p>
            <w:pPr>
              <w:pStyle w:val="TableContents"/>
              <w:bidi w:val="0"/>
              <w:spacing w:lineRule="atLeast" w:line="218" w:before="0" w:after="283"/>
              <w:jc w:val="center"/>
              <w:rPr>
                <w:rFonts w:ascii="Arial" w:hAnsi="Arial"/>
                <w:sz w:val="20"/>
                <w:szCs w:val="20"/>
                <w:lang w:val="en-GB"/>
              </w:rPr>
            </w:pPr>
            <w:r>
              <w:rPr>
                <w:rFonts w:ascii="Arial" w:hAnsi="Arial"/>
                <w:sz w:val="20"/>
                <w:szCs w:val="20"/>
                <w:lang w:val="en-GB"/>
              </w:rPr>
              <w:t>8,296</w:t>
            </w:r>
          </w:p>
        </w:tc>
        <w:tc>
          <w:tcPr>
            <w:tcW w:w="1299" w:type="dxa"/>
            <w:tcBorders>
              <w:bottom w:val="single" w:sz="4" w:space="0" w:color="000000"/>
              <w:right w:val="single" w:sz="4" w:space="0" w:color="000000"/>
            </w:tcBorders>
            <w:tcMar>
              <w:top w:w="0" w:type="dxa"/>
              <w:left w:w="0" w:type="dxa"/>
            </w:tcMar>
            <w:vAlign w:val="center"/>
          </w:tcPr>
          <w:p>
            <w:pPr>
              <w:pStyle w:val="TableContents"/>
              <w:bidi w:val="0"/>
              <w:spacing w:lineRule="atLeast" w:line="218" w:before="0" w:after="283"/>
              <w:jc w:val="center"/>
              <w:rPr>
                <w:rFonts w:ascii="Arial" w:hAnsi="Arial"/>
                <w:sz w:val="20"/>
                <w:szCs w:val="20"/>
                <w:lang w:val="en-GB"/>
              </w:rPr>
            </w:pPr>
            <w:r>
              <w:rPr>
                <w:rFonts w:ascii="Arial" w:hAnsi="Arial"/>
                <w:sz w:val="20"/>
                <w:szCs w:val="20"/>
                <w:lang w:val="en-GB"/>
              </w:rPr>
              <w:t>20,739</w:t>
            </w:r>
          </w:p>
        </w:tc>
      </w:tr>
      <w:tr>
        <w:trPr/>
        <w:tc>
          <w:tcPr>
            <w:tcW w:w="2126" w:type="dxa"/>
            <w:tcBorders>
              <w:left w:val="single" w:sz="4" w:space="0" w:color="000000"/>
              <w:bottom w:val="single" w:sz="4" w:space="0" w:color="000000"/>
              <w:right w:val="single" w:sz="4" w:space="0" w:color="000000"/>
            </w:tcBorders>
            <w:tcMar>
              <w:top w:w="0" w:type="dxa"/>
            </w:tcMar>
            <w:vAlign w:val="center"/>
          </w:tcPr>
          <w:p>
            <w:pPr>
              <w:pStyle w:val="TableContents"/>
              <w:bidi w:val="0"/>
              <w:spacing w:lineRule="atLeast" w:line="218" w:before="0" w:after="283"/>
              <w:jc w:val="left"/>
              <w:rPr>
                <w:rFonts w:ascii="Arial" w:hAnsi="Arial"/>
                <w:sz w:val="20"/>
                <w:szCs w:val="20"/>
                <w:lang w:val="en-GB"/>
              </w:rPr>
            </w:pPr>
            <w:r>
              <w:rPr>
                <w:rFonts w:ascii="Arial" w:hAnsi="Arial"/>
                <w:sz w:val="20"/>
                <w:szCs w:val="20"/>
                <w:lang w:val="en-GB"/>
              </w:rPr>
              <w:t>100</w:t>
            </w:r>
            <w:r>
              <w:rPr>
                <w:rFonts w:ascii="Arial" w:hAnsi="Arial"/>
                <w:position w:val="7"/>
                <w:sz w:val="16"/>
                <w:sz w:val="20"/>
                <w:szCs w:val="20"/>
                <w:lang w:val="en-GB"/>
              </w:rPr>
              <w:t>th</w:t>
            </w:r>
            <w:r>
              <w:rPr>
                <w:rFonts w:ascii="Arial" w:hAnsi="Arial"/>
                <w:sz w:val="20"/>
                <w:szCs w:val="20"/>
                <w:lang w:val="en-GB"/>
              </w:rPr>
              <w:t> (</w:t>
            </w:r>
            <w:r>
              <w:rPr>
                <w:rFonts w:ascii="Arial" w:hAnsi="Arial"/>
                <w:i/>
                <w:sz w:val="20"/>
                <w:szCs w:val="20"/>
                <w:lang w:val="en-GB"/>
              </w:rPr>
              <w:t>hear</w:t>
            </w:r>
            <w:r>
              <w:rPr>
                <w:rFonts w:ascii="Arial" w:hAnsi="Arial"/>
                <w:sz w:val="20"/>
                <w:szCs w:val="20"/>
                <w:lang w:val="en-GB"/>
              </w:rPr>
              <w:t>)</w:t>
            </w:r>
          </w:p>
        </w:tc>
        <w:tc>
          <w:tcPr>
            <w:tcW w:w="1158" w:type="dxa"/>
            <w:tcBorders>
              <w:bottom w:val="single" w:sz="4" w:space="0" w:color="000000"/>
              <w:right w:val="single" w:sz="4" w:space="0" w:color="000000"/>
            </w:tcBorders>
            <w:tcMar>
              <w:top w:w="0" w:type="dxa"/>
              <w:left w:w="0" w:type="dxa"/>
            </w:tcMar>
            <w:vAlign w:val="center"/>
          </w:tcPr>
          <w:p>
            <w:pPr>
              <w:pStyle w:val="TableContents"/>
              <w:bidi w:val="0"/>
              <w:spacing w:lineRule="atLeast" w:line="218" w:before="0" w:after="283"/>
              <w:jc w:val="center"/>
              <w:rPr>
                <w:rFonts w:ascii="Arial" w:hAnsi="Arial"/>
                <w:sz w:val="20"/>
                <w:szCs w:val="20"/>
                <w:lang w:val="en-GB"/>
              </w:rPr>
            </w:pPr>
            <w:r>
              <w:rPr>
                <w:rFonts w:ascii="Arial" w:hAnsi="Arial"/>
                <w:sz w:val="20"/>
                <w:szCs w:val="20"/>
                <w:lang w:val="en-GB"/>
              </w:rPr>
              <w:t>0.10505%</w:t>
            </w:r>
          </w:p>
        </w:tc>
        <w:tc>
          <w:tcPr>
            <w:tcW w:w="1254" w:type="dxa"/>
            <w:tcBorders>
              <w:bottom w:val="single" w:sz="4" w:space="0" w:color="000000"/>
              <w:right w:val="single" w:sz="4" w:space="0" w:color="000000"/>
            </w:tcBorders>
            <w:tcMar>
              <w:top w:w="0" w:type="dxa"/>
              <w:left w:w="0" w:type="dxa"/>
            </w:tcMar>
            <w:vAlign w:val="center"/>
          </w:tcPr>
          <w:p>
            <w:pPr>
              <w:pStyle w:val="TableContents"/>
              <w:bidi w:val="0"/>
              <w:spacing w:lineRule="atLeast" w:line="218" w:before="0" w:after="283"/>
              <w:jc w:val="center"/>
              <w:rPr>
                <w:rFonts w:ascii="Arial" w:hAnsi="Arial"/>
                <w:sz w:val="20"/>
                <w:szCs w:val="20"/>
                <w:lang w:val="en-GB"/>
              </w:rPr>
            </w:pPr>
            <w:r>
              <w:rPr>
                <w:rFonts w:ascii="Arial" w:hAnsi="Arial"/>
                <w:sz w:val="20"/>
                <w:szCs w:val="20"/>
                <w:lang w:val="en-GB"/>
              </w:rPr>
              <w:t>952</w:t>
            </w:r>
          </w:p>
        </w:tc>
        <w:tc>
          <w:tcPr>
            <w:tcW w:w="1135" w:type="dxa"/>
            <w:tcBorders>
              <w:bottom w:val="single" w:sz="4" w:space="0" w:color="000000"/>
              <w:right w:val="single" w:sz="4" w:space="0" w:color="000000"/>
            </w:tcBorders>
            <w:tcMar>
              <w:top w:w="0" w:type="dxa"/>
              <w:left w:w="0" w:type="dxa"/>
            </w:tcMar>
            <w:vAlign w:val="center"/>
          </w:tcPr>
          <w:p>
            <w:pPr>
              <w:pStyle w:val="TableContents"/>
              <w:bidi w:val="0"/>
              <w:spacing w:lineRule="atLeast" w:line="218" w:before="0" w:after="283"/>
              <w:jc w:val="center"/>
              <w:rPr>
                <w:rFonts w:ascii="Arial" w:hAnsi="Arial"/>
                <w:sz w:val="20"/>
                <w:szCs w:val="20"/>
                <w:lang w:val="en-GB"/>
              </w:rPr>
            </w:pPr>
            <w:r>
              <w:rPr>
                <w:rFonts w:ascii="Arial" w:hAnsi="Arial"/>
                <w:sz w:val="20"/>
                <w:szCs w:val="20"/>
                <w:lang w:val="en-GB"/>
              </w:rPr>
              <w:t>4,759</w:t>
            </w:r>
          </w:p>
        </w:tc>
        <w:tc>
          <w:tcPr>
            <w:tcW w:w="1189" w:type="dxa"/>
            <w:tcBorders>
              <w:bottom w:val="single" w:sz="4" w:space="0" w:color="000000"/>
              <w:right w:val="single" w:sz="4" w:space="0" w:color="000000"/>
            </w:tcBorders>
            <w:tcMar>
              <w:top w:w="0" w:type="dxa"/>
              <w:left w:w="0" w:type="dxa"/>
            </w:tcMar>
            <w:vAlign w:val="center"/>
          </w:tcPr>
          <w:p>
            <w:pPr>
              <w:pStyle w:val="TableContents"/>
              <w:bidi w:val="0"/>
              <w:spacing w:lineRule="atLeast" w:line="218" w:before="0" w:after="283"/>
              <w:jc w:val="center"/>
              <w:rPr>
                <w:rFonts w:ascii="Arial" w:hAnsi="Arial"/>
                <w:sz w:val="20"/>
                <w:szCs w:val="20"/>
                <w:lang w:val="en-GB"/>
              </w:rPr>
            </w:pPr>
            <w:r>
              <w:rPr>
                <w:rFonts w:ascii="Arial" w:hAnsi="Arial"/>
                <w:sz w:val="20"/>
                <w:szCs w:val="20"/>
                <w:lang w:val="en-GB"/>
              </w:rPr>
              <w:t>9,519</w:t>
            </w:r>
          </w:p>
        </w:tc>
        <w:tc>
          <w:tcPr>
            <w:tcW w:w="1363" w:type="dxa"/>
            <w:tcBorders>
              <w:bottom w:val="single" w:sz="4" w:space="0" w:color="000000"/>
              <w:right w:val="single" w:sz="4" w:space="0" w:color="000000"/>
            </w:tcBorders>
            <w:tcMar>
              <w:top w:w="0" w:type="dxa"/>
              <w:left w:w="0" w:type="dxa"/>
            </w:tcMar>
            <w:vAlign w:val="center"/>
          </w:tcPr>
          <w:p>
            <w:pPr>
              <w:pStyle w:val="TableContents"/>
              <w:bidi w:val="0"/>
              <w:spacing w:lineRule="atLeast" w:line="218" w:before="0" w:after="283"/>
              <w:jc w:val="center"/>
              <w:rPr>
                <w:rFonts w:ascii="Arial" w:hAnsi="Arial"/>
                <w:sz w:val="20"/>
                <w:szCs w:val="20"/>
                <w:lang w:val="en-GB"/>
              </w:rPr>
            </w:pPr>
            <w:r>
              <w:rPr>
                <w:rFonts w:ascii="Arial" w:hAnsi="Arial"/>
                <w:sz w:val="20"/>
                <w:szCs w:val="20"/>
                <w:lang w:val="en-GB"/>
              </w:rPr>
              <w:t>19,038</w:t>
            </w:r>
          </w:p>
        </w:tc>
        <w:tc>
          <w:tcPr>
            <w:tcW w:w="1299" w:type="dxa"/>
            <w:tcBorders>
              <w:bottom w:val="single" w:sz="4" w:space="0" w:color="000000"/>
              <w:right w:val="single" w:sz="4" w:space="0" w:color="000000"/>
            </w:tcBorders>
            <w:tcMar>
              <w:top w:w="0" w:type="dxa"/>
              <w:left w:w="0" w:type="dxa"/>
            </w:tcMar>
            <w:vAlign w:val="center"/>
          </w:tcPr>
          <w:p>
            <w:pPr>
              <w:pStyle w:val="TableContents"/>
              <w:bidi w:val="0"/>
              <w:spacing w:lineRule="atLeast" w:line="218" w:before="0" w:after="283"/>
              <w:jc w:val="center"/>
              <w:rPr>
                <w:rFonts w:ascii="Arial" w:hAnsi="Arial"/>
                <w:sz w:val="20"/>
                <w:szCs w:val="20"/>
                <w:lang w:val="en-GB"/>
              </w:rPr>
            </w:pPr>
            <w:r>
              <w:rPr>
                <w:rFonts w:ascii="Arial" w:hAnsi="Arial"/>
                <w:sz w:val="20"/>
                <w:szCs w:val="20"/>
                <w:lang w:val="en-GB"/>
              </w:rPr>
              <w:t>47,595</w:t>
            </w:r>
          </w:p>
        </w:tc>
      </w:tr>
      <w:tr>
        <w:trPr/>
        <w:tc>
          <w:tcPr>
            <w:tcW w:w="2126" w:type="dxa"/>
            <w:tcBorders>
              <w:left w:val="single" w:sz="4" w:space="0" w:color="000000"/>
              <w:bottom w:val="single" w:sz="4" w:space="0" w:color="000000"/>
              <w:right w:val="single" w:sz="4" w:space="0" w:color="000000"/>
            </w:tcBorders>
            <w:tcMar>
              <w:top w:w="0" w:type="dxa"/>
            </w:tcMar>
            <w:vAlign w:val="center"/>
          </w:tcPr>
          <w:p>
            <w:pPr>
              <w:pStyle w:val="TableContents"/>
              <w:bidi w:val="0"/>
              <w:spacing w:lineRule="atLeast" w:line="218" w:before="0" w:after="283"/>
              <w:jc w:val="left"/>
              <w:rPr>
                <w:rFonts w:ascii="Arial" w:hAnsi="Arial"/>
                <w:sz w:val="20"/>
                <w:szCs w:val="20"/>
                <w:lang w:val="en-GB"/>
              </w:rPr>
            </w:pPr>
            <w:r>
              <w:rPr>
                <w:rFonts w:ascii="Arial" w:hAnsi="Arial"/>
                <w:sz w:val="20"/>
                <w:szCs w:val="20"/>
                <w:lang w:val="en-GB"/>
              </w:rPr>
              <w:t>500</w:t>
            </w:r>
            <w:r>
              <w:rPr>
                <w:rFonts w:ascii="Arial" w:hAnsi="Arial"/>
                <w:position w:val="7"/>
                <w:sz w:val="16"/>
                <w:sz w:val="20"/>
                <w:szCs w:val="20"/>
                <w:lang w:val="en-GB"/>
              </w:rPr>
              <w:t>th</w:t>
            </w:r>
            <w:r>
              <w:rPr>
                <w:rFonts w:ascii="Arial" w:hAnsi="Arial"/>
                <w:sz w:val="20"/>
                <w:szCs w:val="20"/>
                <w:lang w:val="en-GB"/>
              </w:rPr>
              <w:t> (</w:t>
            </w:r>
            <w:r>
              <w:rPr>
                <w:rFonts w:ascii="Arial" w:hAnsi="Arial"/>
                <w:i/>
                <w:sz w:val="20"/>
                <w:szCs w:val="20"/>
                <w:lang w:val="en-GB"/>
              </w:rPr>
              <w:t>present</w:t>
            </w:r>
            <w:r>
              <w:rPr>
                <w:rFonts w:ascii="Arial" w:hAnsi="Arial"/>
                <w:sz w:val="20"/>
                <w:szCs w:val="20"/>
                <w:lang w:val="en-GB"/>
              </w:rPr>
              <w:t>)</w:t>
            </w:r>
          </w:p>
        </w:tc>
        <w:tc>
          <w:tcPr>
            <w:tcW w:w="1158" w:type="dxa"/>
            <w:tcBorders>
              <w:bottom w:val="single" w:sz="4" w:space="0" w:color="000000"/>
              <w:right w:val="single" w:sz="4" w:space="0" w:color="000000"/>
            </w:tcBorders>
            <w:tcMar>
              <w:top w:w="0" w:type="dxa"/>
              <w:left w:w="0" w:type="dxa"/>
            </w:tcMar>
            <w:vAlign w:val="center"/>
          </w:tcPr>
          <w:p>
            <w:pPr>
              <w:pStyle w:val="TableContents"/>
              <w:bidi w:val="0"/>
              <w:spacing w:lineRule="atLeast" w:line="218" w:before="0" w:after="283"/>
              <w:jc w:val="center"/>
              <w:rPr>
                <w:rFonts w:ascii="Arial" w:hAnsi="Arial"/>
                <w:sz w:val="20"/>
                <w:szCs w:val="20"/>
                <w:lang w:val="en-GB"/>
              </w:rPr>
            </w:pPr>
            <w:r>
              <w:rPr>
                <w:rFonts w:ascii="Arial" w:hAnsi="Arial"/>
                <w:sz w:val="20"/>
                <w:szCs w:val="20"/>
                <w:lang w:val="en-GB"/>
              </w:rPr>
              <w:t>0.02477%</w:t>
            </w:r>
          </w:p>
        </w:tc>
        <w:tc>
          <w:tcPr>
            <w:tcW w:w="1254" w:type="dxa"/>
            <w:tcBorders>
              <w:bottom w:val="single" w:sz="4" w:space="0" w:color="000000"/>
              <w:right w:val="single" w:sz="4" w:space="0" w:color="000000"/>
            </w:tcBorders>
            <w:tcMar>
              <w:top w:w="0" w:type="dxa"/>
              <w:left w:w="0" w:type="dxa"/>
            </w:tcMar>
            <w:vAlign w:val="center"/>
          </w:tcPr>
          <w:p>
            <w:pPr>
              <w:pStyle w:val="TableContents"/>
              <w:bidi w:val="0"/>
              <w:spacing w:lineRule="atLeast" w:line="218" w:before="0" w:after="283"/>
              <w:jc w:val="center"/>
              <w:rPr>
                <w:rFonts w:ascii="Arial" w:hAnsi="Arial"/>
                <w:sz w:val="20"/>
                <w:szCs w:val="20"/>
                <w:lang w:val="en-GB"/>
              </w:rPr>
            </w:pPr>
            <w:r>
              <w:rPr>
                <w:rFonts w:ascii="Arial" w:hAnsi="Arial"/>
                <w:sz w:val="20"/>
                <w:szCs w:val="20"/>
                <w:lang w:val="en-GB"/>
              </w:rPr>
              <w:t>4,037</w:t>
            </w:r>
          </w:p>
        </w:tc>
        <w:tc>
          <w:tcPr>
            <w:tcW w:w="1135" w:type="dxa"/>
            <w:tcBorders>
              <w:bottom w:val="single" w:sz="4" w:space="0" w:color="000000"/>
              <w:right w:val="single" w:sz="4" w:space="0" w:color="000000"/>
            </w:tcBorders>
            <w:tcMar>
              <w:top w:w="0" w:type="dxa"/>
              <w:left w:w="0" w:type="dxa"/>
            </w:tcMar>
            <w:vAlign w:val="center"/>
          </w:tcPr>
          <w:p>
            <w:pPr>
              <w:pStyle w:val="TableContents"/>
              <w:bidi w:val="0"/>
              <w:spacing w:lineRule="atLeast" w:line="218" w:before="0" w:after="283"/>
              <w:jc w:val="center"/>
              <w:rPr>
                <w:rFonts w:ascii="Arial" w:hAnsi="Arial"/>
                <w:sz w:val="20"/>
                <w:szCs w:val="20"/>
                <w:lang w:val="en-GB"/>
              </w:rPr>
            </w:pPr>
            <w:r>
              <w:rPr>
                <w:rFonts w:ascii="Arial" w:hAnsi="Arial"/>
                <w:sz w:val="20"/>
                <w:szCs w:val="20"/>
                <w:lang w:val="en-GB"/>
              </w:rPr>
              <w:t>20,183</w:t>
            </w:r>
          </w:p>
        </w:tc>
        <w:tc>
          <w:tcPr>
            <w:tcW w:w="1189" w:type="dxa"/>
            <w:tcBorders>
              <w:bottom w:val="single" w:sz="4" w:space="0" w:color="000000"/>
              <w:right w:val="single" w:sz="4" w:space="0" w:color="000000"/>
            </w:tcBorders>
            <w:tcMar>
              <w:top w:w="0" w:type="dxa"/>
              <w:left w:w="0" w:type="dxa"/>
            </w:tcMar>
            <w:vAlign w:val="center"/>
          </w:tcPr>
          <w:p>
            <w:pPr>
              <w:pStyle w:val="TableContents"/>
              <w:bidi w:val="0"/>
              <w:spacing w:lineRule="atLeast" w:line="218" w:before="0" w:after="283"/>
              <w:jc w:val="center"/>
              <w:rPr>
                <w:rFonts w:ascii="Arial" w:hAnsi="Arial"/>
                <w:sz w:val="20"/>
                <w:szCs w:val="20"/>
                <w:lang w:val="en-GB"/>
              </w:rPr>
            </w:pPr>
            <w:r>
              <w:rPr>
                <w:rFonts w:ascii="Arial" w:hAnsi="Arial"/>
                <w:sz w:val="20"/>
                <w:szCs w:val="20"/>
                <w:lang w:val="en-GB"/>
              </w:rPr>
              <w:t>40,366</w:t>
            </w:r>
          </w:p>
        </w:tc>
        <w:tc>
          <w:tcPr>
            <w:tcW w:w="1363" w:type="dxa"/>
            <w:tcBorders>
              <w:bottom w:val="single" w:sz="4" w:space="0" w:color="000000"/>
              <w:right w:val="single" w:sz="4" w:space="0" w:color="000000"/>
            </w:tcBorders>
            <w:tcMar>
              <w:top w:w="0" w:type="dxa"/>
              <w:left w:w="0" w:type="dxa"/>
            </w:tcMar>
            <w:vAlign w:val="center"/>
          </w:tcPr>
          <w:p>
            <w:pPr>
              <w:pStyle w:val="TableContents"/>
              <w:bidi w:val="0"/>
              <w:spacing w:lineRule="atLeast" w:line="218" w:before="0" w:after="283"/>
              <w:jc w:val="center"/>
              <w:rPr>
                <w:rFonts w:ascii="Arial" w:hAnsi="Arial"/>
                <w:sz w:val="20"/>
                <w:szCs w:val="20"/>
                <w:lang w:val="en-GB"/>
              </w:rPr>
            </w:pPr>
            <w:r>
              <w:rPr>
                <w:rFonts w:ascii="Arial" w:hAnsi="Arial"/>
                <w:sz w:val="20"/>
                <w:szCs w:val="20"/>
                <w:lang w:val="en-GB"/>
              </w:rPr>
              <w:t>80,732 (4)</w:t>
            </w:r>
          </w:p>
        </w:tc>
        <w:tc>
          <w:tcPr>
            <w:tcW w:w="1299" w:type="dxa"/>
            <w:tcBorders>
              <w:bottom w:val="single" w:sz="4" w:space="0" w:color="000000"/>
              <w:right w:val="single" w:sz="4" w:space="0" w:color="000000"/>
            </w:tcBorders>
            <w:tcMar>
              <w:top w:w="0" w:type="dxa"/>
              <w:left w:w="0" w:type="dxa"/>
            </w:tcMar>
            <w:vAlign w:val="center"/>
          </w:tcPr>
          <w:p>
            <w:pPr>
              <w:pStyle w:val="TableContents"/>
              <w:bidi w:val="0"/>
              <w:spacing w:lineRule="atLeast" w:line="218" w:before="0" w:after="283"/>
              <w:jc w:val="center"/>
              <w:rPr>
                <w:rFonts w:ascii="Arial" w:hAnsi="Arial"/>
                <w:sz w:val="20"/>
                <w:szCs w:val="20"/>
                <w:lang w:val="en-GB"/>
              </w:rPr>
            </w:pPr>
            <w:r>
              <w:rPr>
                <w:rFonts w:ascii="Arial" w:hAnsi="Arial"/>
                <w:sz w:val="20"/>
                <w:szCs w:val="20"/>
                <w:lang w:val="en-GB"/>
              </w:rPr>
              <w:t>201,829</w:t>
            </w:r>
          </w:p>
        </w:tc>
      </w:tr>
      <w:tr>
        <w:trPr/>
        <w:tc>
          <w:tcPr>
            <w:tcW w:w="2126" w:type="dxa"/>
            <w:tcBorders>
              <w:left w:val="single" w:sz="4" w:space="0" w:color="000000"/>
              <w:bottom w:val="single" w:sz="4" w:space="0" w:color="000000"/>
              <w:right w:val="single" w:sz="4" w:space="0" w:color="000000"/>
            </w:tcBorders>
            <w:tcMar>
              <w:top w:w="0" w:type="dxa"/>
            </w:tcMar>
            <w:vAlign w:val="center"/>
          </w:tcPr>
          <w:p>
            <w:pPr>
              <w:pStyle w:val="TableContents"/>
              <w:bidi w:val="0"/>
              <w:spacing w:lineRule="atLeast" w:line="218" w:before="0" w:after="283"/>
              <w:jc w:val="left"/>
              <w:rPr>
                <w:rFonts w:ascii="Arial" w:hAnsi="Arial"/>
                <w:sz w:val="20"/>
                <w:szCs w:val="20"/>
                <w:lang w:val="en-GB"/>
              </w:rPr>
            </w:pPr>
            <w:r>
              <w:rPr>
                <w:rFonts w:ascii="Arial" w:hAnsi="Arial"/>
                <w:sz w:val="20"/>
                <w:szCs w:val="20"/>
                <w:lang w:val="en-GB"/>
              </w:rPr>
              <w:t>1000</w:t>
            </w:r>
            <w:r>
              <w:rPr>
                <w:rFonts w:ascii="Arial" w:hAnsi="Arial"/>
                <w:position w:val="7"/>
                <w:sz w:val="16"/>
                <w:sz w:val="20"/>
                <w:szCs w:val="20"/>
                <w:lang w:val="en-GB"/>
              </w:rPr>
              <w:t>th</w:t>
            </w:r>
            <w:r>
              <w:rPr>
                <w:rFonts w:ascii="Arial" w:hAnsi="Arial"/>
                <w:sz w:val="20"/>
                <w:szCs w:val="20"/>
                <w:lang w:val="en-GB"/>
              </w:rPr>
              <w:t> (</w:t>
            </w:r>
            <w:r>
              <w:rPr>
                <w:rFonts w:ascii="Arial" w:hAnsi="Arial"/>
                <w:i/>
                <w:sz w:val="20"/>
                <w:szCs w:val="20"/>
                <w:lang w:val="en-GB"/>
              </w:rPr>
              <w:t>blood</w:t>
            </w:r>
            <w:r>
              <w:rPr>
                <w:rFonts w:ascii="Arial" w:hAnsi="Arial"/>
                <w:sz w:val="20"/>
                <w:szCs w:val="20"/>
                <w:lang w:val="en-GB"/>
              </w:rPr>
              <w:t>)</w:t>
            </w:r>
          </w:p>
        </w:tc>
        <w:tc>
          <w:tcPr>
            <w:tcW w:w="1158" w:type="dxa"/>
            <w:tcBorders>
              <w:bottom w:val="single" w:sz="4" w:space="0" w:color="000000"/>
              <w:right w:val="single" w:sz="4" w:space="0" w:color="000000"/>
            </w:tcBorders>
            <w:tcMar>
              <w:top w:w="0" w:type="dxa"/>
              <w:left w:w="0" w:type="dxa"/>
            </w:tcMar>
            <w:vAlign w:val="center"/>
          </w:tcPr>
          <w:p>
            <w:pPr>
              <w:pStyle w:val="TableContents"/>
              <w:bidi w:val="0"/>
              <w:spacing w:lineRule="atLeast" w:line="218" w:before="0" w:after="283"/>
              <w:jc w:val="center"/>
              <w:rPr>
                <w:rFonts w:ascii="Arial" w:hAnsi="Arial"/>
                <w:sz w:val="20"/>
                <w:szCs w:val="20"/>
                <w:lang w:val="en-GB"/>
              </w:rPr>
            </w:pPr>
            <w:r>
              <w:rPr>
                <w:rFonts w:ascii="Arial" w:hAnsi="Arial"/>
                <w:sz w:val="20"/>
                <w:szCs w:val="20"/>
                <w:lang w:val="en-GB"/>
              </w:rPr>
              <w:t>0.01172%</w:t>
            </w:r>
          </w:p>
        </w:tc>
        <w:tc>
          <w:tcPr>
            <w:tcW w:w="1254" w:type="dxa"/>
            <w:tcBorders>
              <w:bottom w:val="single" w:sz="4" w:space="0" w:color="000000"/>
              <w:right w:val="single" w:sz="4" w:space="0" w:color="000000"/>
            </w:tcBorders>
            <w:tcMar>
              <w:top w:w="0" w:type="dxa"/>
              <w:left w:w="0" w:type="dxa"/>
            </w:tcMar>
            <w:vAlign w:val="center"/>
          </w:tcPr>
          <w:p>
            <w:pPr>
              <w:pStyle w:val="TableContents"/>
              <w:bidi w:val="0"/>
              <w:spacing w:lineRule="atLeast" w:line="218" w:before="0" w:after="283"/>
              <w:jc w:val="center"/>
              <w:rPr>
                <w:rFonts w:ascii="Arial" w:hAnsi="Arial"/>
                <w:sz w:val="20"/>
                <w:szCs w:val="20"/>
                <w:lang w:val="en-GB"/>
              </w:rPr>
            </w:pPr>
            <w:r>
              <w:rPr>
                <w:rFonts w:ascii="Arial" w:hAnsi="Arial"/>
                <w:sz w:val="20"/>
                <w:szCs w:val="20"/>
                <w:lang w:val="en-GB"/>
              </w:rPr>
              <w:t>8,533</w:t>
            </w:r>
          </w:p>
        </w:tc>
        <w:tc>
          <w:tcPr>
            <w:tcW w:w="1135" w:type="dxa"/>
            <w:tcBorders>
              <w:bottom w:val="single" w:sz="4" w:space="0" w:color="000000"/>
              <w:right w:val="single" w:sz="4" w:space="0" w:color="000000"/>
            </w:tcBorders>
            <w:tcMar>
              <w:top w:w="0" w:type="dxa"/>
              <w:left w:w="0" w:type="dxa"/>
            </w:tcMar>
            <w:vAlign w:val="center"/>
          </w:tcPr>
          <w:p>
            <w:pPr>
              <w:pStyle w:val="TableContents"/>
              <w:bidi w:val="0"/>
              <w:spacing w:lineRule="atLeast" w:line="218" w:before="0" w:after="283"/>
              <w:jc w:val="center"/>
              <w:rPr>
                <w:rFonts w:ascii="Arial" w:hAnsi="Arial"/>
                <w:sz w:val="20"/>
                <w:szCs w:val="20"/>
                <w:lang w:val="en-GB"/>
              </w:rPr>
            </w:pPr>
            <w:r>
              <w:rPr>
                <w:rFonts w:ascii="Arial" w:hAnsi="Arial"/>
                <w:sz w:val="20"/>
                <w:szCs w:val="20"/>
                <w:lang w:val="en-GB"/>
              </w:rPr>
              <w:t>42,665</w:t>
            </w:r>
          </w:p>
        </w:tc>
        <w:tc>
          <w:tcPr>
            <w:tcW w:w="1189" w:type="dxa"/>
            <w:tcBorders>
              <w:bottom w:val="single" w:sz="4" w:space="0" w:color="000000"/>
              <w:right w:val="single" w:sz="4" w:space="0" w:color="000000"/>
            </w:tcBorders>
            <w:tcMar>
              <w:top w:w="0" w:type="dxa"/>
              <w:left w:w="0" w:type="dxa"/>
            </w:tcMar>
            <w:vAlign w:val="center"/>
          </w:tcPr>
          <w:p>
            <w:pPr>
              <w:pStyle w:val="TableContents"/>
              <w:bidi w:val="0"/>
              <w:spacing w:lineRule="atLeast" w:line="218" w:before="0" w:after="283"/>
              <w:jc w:val="center"/>
              <w:rPr>
                <w:rFonts w:ascii="Arial" w:hAnsi="Arial"/>
                <w:sz w:val="20"/>
                <w:szCs w:val="20"/>
                <w:lang w:val="en-GB"/>
              </w:rPr>
            </w:pPr>
            <w:r>
              <w:rPr>
                <w:rFonts w:ascii="Arial" w:hAnsi="Arial"/>
                <w:sz w:val="20"/>
                <w:szCs w:val="20"/>
                <w:lang w:val="en-GB"/>
              </w:rPr>
              <w:t>85,329 (3)</w:t>
            </w:r>
          </w:p>
        </w:tc>
        <w:tc>
          <w:tcPr>
            <w:tcW w:w="1363" w:type="dxa"/>
            <w:tcBorders>
              <w:bottom w:val="single" w:sz="4" w:space="0" w:color="000000"/>
              <w:right w:val="single" w:sz="4" w:space="0" w:color="000000"/>
            </w:tcBorders>
            <w:tcMar>
              <w:top w:w="0" w:type="dxa"/>
              <w:left w:w="0" w:type="dxa"/>
            </w:tcMar>
            <w:vAlign w:val="center"/>
          </w:tcPr>
          <w:p>
            <w:pPr>
              <w:pStyle w:val="TableContents"/>
              <w:bidi w:val="0"/>
              <w:spacing w:lineRule="atLeast" w:line="218" w:before="0" w:after="283"/>
              <w:jc w:val="center"/>
              <w:rPr>
                <w:rFonts w:ascii="Arial" w:hAnsi="Arial"/>
                <w:sz w:val="20"/>
                <w:szCs w:val="20"/>
                <w:lang w:val="en-GB"/>
              </w:rPr>
            </w:pPr>
            <w:r>
              <w:rPr>
                <w:rFonts w:ascii="Arial" w:hAnsi="Arial"/>
                <w:sz w:val="20"/>
                <w:szCs w:val="20"/>
                <w:lang w:val="en-GB"/>
              </w:rPr>
              <w:t>170,658</w:t>
            </w:r>
          </w:p>
        </w:tc>
        <w:tc>
          <w:tcPr>
            <w:tcW w:w="1299" w:type="dxa"/>
            <w:tcBorders>
              <w:bottom w:val="single" w:sz="4" w:space="0" w:color="000000"/>
              <w:right w:val="single" w:sz="4" w:space="0" w:color="000000"/>
            </w:tcBorders>
            <w:tcMar>
              <w:top w:w="0" w:type="dxa"/>
              <w:left w:w="0" w:type="dxa"/>
            </w:tcMar>
            <w:vAlign w:val="center"/>
          </w:tcPr>
          <w:p>
            <w:pPr>
              <w:pStyle w:val="TableContents"/>
              <w:bidi w:val="0"/>
              <w:spacing w:lineRule="atLeast" w:line="218" w:before="0" w:after="283"/>
              <w:jc w:val="center"/>
              <w:rPr>
                <w:rFonts w:ascii="Arial" w:hAnsi="Arial"/>
                <w:sz w:val="20"/>
                <w:szCs w:val="20"/>
                <w:lang w:val="en-GB"/>
              </w:rPr>
            </w:pPr>
            <w:r>
              <w:rPr>
                <w:rFonts w:ascii="Arial" w:hAnsi="Arial"/>
                <w:sz w:val="20"/>
                <w:szCs w:val="20"/>
                <w:lang w:val="en-GB"/>
              </w:rPr>
              <w:t>426,645</w:t>
            </w:r>
          </w:p>
        </w:tc>
      </w:tr>
      <w:tr>
        <w:trPr/>
        <w:tc>
          <w:tcPr>
            <w:tcW w:w="2126" w:type="dxa"/>
            <w:tcBorders>
              <w:left w:val="single" w:sz="4" w:space="0" w:color="000000"/>
              <w:bottom w:val="single" w:sz="4" w:space="0" w:color="000000"/>
              <w:right w:val="single" w:sz="4" w:space="0" w:color="000000"/>
            </w:tcBorders>
            <w:tcMar>
              <w:top w:w="0" w:type="dxa"/>
            </w:tcMar>
            <w:vAlign w:val="center"/>
          </w:tcPr>
          <w:p>
            <w:pPr>
              <w:pStyle w:val="TableContents"/>
              <w:bidi w:val="0"/>
              <w:spacing w:lineRule="atLeast" w:line="218" w:before="0" w:after="283"/>
              <w:jc w:val="left"/>
              <w:rPr>
                <w:rFonts w:ascii="Arial" w:hAnsi="Arial"/>
                <w:sz w:val="20"/>
                <w:szCs w:val="20"/>
                <w:lang w:val="en-GB"/>
              </w:rPr>
            </w:pPr>
            <w:r>
              <w:rPr>
                <w:rFonts w:ascii="Arial" w:hAnsi="Arial"/>
                <w:sz w:val="20"/>
                <w:szCs w:val="20"/>
                <w:lang w:val="en-GB"/>
              </w:rPr>
              <w:t>1500</w:t>
            </w:r>
            <w:r>
              <w:rPr>
                <w:rFonts w:ascii="Arial" w:hAnsi="Arial"/>
                <w:position w:val="7"/>
                <w:sz w:val="16"/>
                <w:sz w:val="20"/>
                <w:szCs w:val="20"/>
                <w:lang w:val="en-GB"/>
              </w:rPr>
              <w:t>th</w:t>
            </w:r>
            <w:r>
              <w:rPr>
                <w:rFonts w:ascii="Arial" w:hAnsi="Arial"/>
                <w:sz w:val="20"/>
                <w:szCs w:val="20"/>
                <w:lang w:val="en-GB"/>
              </w:rPr>
              <w:t> (</w:t>
            </w:r>
            <w:r>
              <w:rPr>
                <w:rFonts w:ascii="Arial" w:hAnsi="Arial"/>
                <w:i/>
                <w:sz w:val="20"/>
                <w:szCs w:val="20"/>
                <w:lang w:val="en-GB"/>
              </w:rPr>
              <w:t>intent</w:t>
            </w:r>
            <w:r>
              <w:rPr>
                <w:rFonts w:ascii="Arial" w:hAnsi="Arial"/>
                <w:sz w:val="20"/>
                <w:szCs w:val="20"/>
                <w:lang w:val="en-GB"/>
              </w:rPr>
              <w:t>)</w:t>
            </w:r>
          </w:p>
        </w:tc>
        <w:tc>
          <w:tcPr>
            <w:tcW w:w="1158" w:type="dxa"/>
            <w:tcBorders>
              <w:bottom w:val="single" w:sz="4" w:space="0" w:color="000000"/>
              <w:right w:val="single" w:sz="4" w:space="0" w:color="000000"/>
            </w:tcBorders>
            <w:tcMar>
              <w:top w:w="0" w:type="dxa"/>
              <w:left w:w="0" w:type="dxa"/>
            </w:tcMar>
            <w:vAlign w:val="center"/>
          </w:tcPr>
          <w:p>
            <w:pPr>
              <w:pStyle w:val="TableContents"/>
              <w:bidi w:val="0"/>
              <w:spacing w:lineRule="atLeast" w:line="218" w:before="0" w:after="283"/>
              <w:jc w:val="center"/>
              <w:rPr>
                <w:rFonts w:ascii="Arial" w:hAnsi="Arial"/>
                <w:sz w:val="20"/>
                <w:szCs w:val="20"/>
                <w:lang w:val="en-GB"/>
              </w:rPr>
            </w:pPr>
            <w:r>
              <w:rPr>
                <w:rFonts w:ascii="Arial" w:hAnsi="Arial"/>
                <w:sz w:val="20"/>
                <w:szCs w:val="20"/>
                <w:lang w:val="en-GB"/>
              </w:rPr>
              <w:t>0.00677%</w:t>
            </w:r>
          </w:p>
        </w:tc>
        <w:tc>
          <w:tcPr>
            <w:tcW w:w="1254" w:type="dxa"/>
            <w:tcBorders>
              <w:bottom w:val="single" w:sz="4" w:space="0" w:color="000000"/>
              <w:right w:val="single" w:sz="4" w:space="0" w:color="000000"/>
            </w:tcBorders>
            <w:tcMar>
              <w:top w:w="0" w:type="dxa"/>
              <w:left w:w="0" w:type="dxa"/>
            </w:tcMar>
            <w:vAlign w:val="center"/>
          </w:tcPr>
          <w:p>
            <w:pPr>
              <w:pStyle w:val="TableContents"/>
              <w:bidi w:val="0"/>
              <w:spacing w:lineRule="atLeast" w:line="218" w:before="0" w:after="283"/>
              <w:jc w:val="center"/>
              <w:rPr>
                <w:rFonts w:ascii="Arial" w:hAnsi="Arial"/>
                <w:sz w:val="20"/>
                <w:szCs w:val="20"/>
                <w:lang w:val="en-GB"/>
              </w:rPr>
            </w:pPr>
            <w:r>
              <w:rPr>
                <w:rFonts w:ascii="Arial" w:hAnsi="Arial"/>
                <w:sz w:val="20"/>
                <w:szCs w:val="20"/>
                <w:lang w:val="en-GB"/>
              </w:rPr>
              <w:t>14,773</w:t>
            </w:r>
          </w:p>
        </w:tc>
        <w:tc>
          <w:tcPr>
            <w:tcW w:w="1135" w:type="dxa"/>
            <w:tcBorders>
              <w:bottom w:val="single" w:sz="4" w:space="0" w:color="000000"/>
              <w:right w:val="single" w:sz="4" w:space="0" w:color="000000"/>
            </w:tcBorders>
            <w:tcMar>
              <w:top w:w="0" w:type="dxa"/>
              <w:left w:w="0" w:type="dxa"/>
            </w:tcMar>
            <w:vAlign w:val="center"/>
          </w:tcPr>
          <w:p>
            <w:pPr>
              <w:pStyle w:val="TableContents"/>
              <w:bidi w:val="0"/>
              <w:spacing w:lineRule="atLeast" w:line="218" w:before="0" w:after="283"/>
              <w:jc w:val="center"/>
              <w:rPr>
                <w:rFonts w:ascii="Arial" w:hAnsi="Arial"/>
                <w:sz w:val="20"/>
                <w:szCs w:val="20"/>
                <w:lang w:val="en-GB"/>
              </w:rPr>
            </w:pPr>
            <w:r>
              <w:rPr>
                <w:rFonts w:ascii="Arial" w:hAnsi="Arial"/>
                <w:sz w:val="20"/>
                <w:szCs w:val="20"/>
                <w:lang w:val="en-GB"/>
              </w:rPr>
              <w:t>73,864</w:t>
            </w:r>
          </w:p>
        </w:tc>
        <w:tc>
          <w:tcPr>
            <w:tcW w:w="1189" w:type="dxa"/>
            <w:tcBorders>
              <w:bottom w:val="single" w:sz="4" w:space="0" w:color="000000"/>
              <w:right w:val="single" w:sz="4" w:space="0" w:color="000000"/>
            </w:tcBorders>
            <w:tcMar>
              <w:top w:w="0" w:type="dxa"/>
              <w:left w:w="0" w:type="dxa"/>
            </w:tcMar>
            <w:vAlign w:val="center"/>
          </w:tcPr>
          <w:p>
            <w:pPr>
              <w:pStyle w:val="TableContents"/>
              <w:bidi w:val="0"/>
              <w:spacing w:lineRule="atLeast" w:line="218" w:before="0" w:after="283"/>
              <w:jc w:val="center"/>
              <w:rPr>
                <w:rFonts w:ascii="Arial" w:hAnsi="Arial"/>
                <w:sz w:val="20"/>
                <w:szCs w:val="20"/>
                <w:lang w:val="en-GB"/>
              </w:rPr>
            </w:pPr>
            <w:r>
              <w:rPr>
                <w:rFonts w:ascii="Arial" w:hAnsi="Arial"/>
                <w:sz w:val="20"/>
                <w:szCs w:val="20"/>
                <w:lang w:val="en-GB"/>
              </w:rPr>
              <w:t>147,727</w:t>
            </w:r>
          </w:p>
        </w:tc>
        <w:tc>
          <w:tcPr>
            <w:tcW w:w="1363" w:type="dxa"/>
            <w:tcBorders>
              <w:bottom w:val="single" w:sz="4" w:space="0" w:color="000000"/>
              <w:right w:val="single" w:sz="4" w:space="0" w:color="000000"/>
            </w:tcBorders>
            <w:tcMar>
              <w:top w:w="0" w:type="dxa"/>
              <w:left w:w="0" w:type="dxa"/>
            </w:tcMar>
            <w:vAlign w:val="center"/>
          </w:tcPr>
          <w:p>
            <w:pPr>
              <w:pStyle w:val="TableContents"/>
              <w:bidi w:val="0"/>
              <w:spacing w:lineRule="atLeast" w:line="218" w:before="0" w:after="283"/>
              <w:jc w:val="center"/>
              <w:rPr>
                <w:rFonts w:ascii="Arial" w:hAnsi="Arial"/>
                <w:sz w:val="20"/>
                <w:szCs w:val="20"/>
                <w:lang w:val="en-GB"/>
              </w:rPr>
            </w:pPr>
            <w:r>
              <w:rPr>
                <w:rFonts w:ascii="Arial" w:hAnsi="Arial"/>
                <w:sz w:val="20"/>
                <w:szCs w:val="20"/>
                <w:lang w:val="en-GB"/>
              </w:rPr>
              <w:t>295,455</w:t>
            </w:r>
          </w:p>
        </w:tc>
        <w:tc>
          <w:tcPr>
            <w:tcW w:w="1299" w:type="dxa"/>
            <w:tcBorders>
              <w:bottom w:val="single" w:sz="4" w:space="0" w:color="000000"/>
              <w:right w:val="single" w:sz="4" w:space="0" w:color="000000"/>
            </w:tcBorders>
            <w:tcMar>
              <w:top w:w="0" w:type="dxa"/>
              <w:left w:w="0" w:type="dxa"/>
            </w:tcMar>
            <w:vAlign w:val="center"/>
          </w:tcPr>
          <w:p>
            <w:pPr>
              <w:pStyle w:val="TableContents"/>
              <w:bidi w:val="0"/>
              <w:spacing w:lineRule="atLeast" w:line="218" w:before="0" w:after="283"/>
              <w:jc w:val="center"/>
              <w:rPr>
                <w:rFonts w:ascii="Arial" w:hAnsi="Arial"/>
                <w:sz w:val="20"/>
                <w:szCs w:val="20"/>
                <w:lang w:val="en-GB"/>
              </w:rPr>
            </w:pPr>
            <w:r>
              <w:rPr>
                <w:rFonts w:ascii="Arial" w:hAnsi="Arial"/>
                <w:sz w:val="20"/>
                <w:szCs w:val="20"/>
                <w:lang w:val="en-GB"/>
              </w:rPr>
              <w:t>738,636</w:t>
            </w:r>
          </w:p>
        </w:tc>
      </w:tr>
      <w:tr>
        <w:trPr/>
        <w:tc>
          <w:tcPr>
            <w:tcW w:w="2126" w:type="dxa"/>
            <w:tcBorders>
              <w:left w:val="single" w:sz="4" w:space="0" w:color="000000"/>
              <w:bottom w:val="single" w:sz="4" w:space="0" w:color="000000"/>
              <w:right w:val="single" w:sz="4" w:space="0" w:color="000000"/>
            </w:tcBorders>
            <w:tcMar>
              <w:top w:w="0" w:type="dxa"/>
            </w:tcMar>
            <w:vAlign w:val="center"/>
          </w:tcPr>
          <w:p>
            <w:pPr>
              <w:pStyle w:val="TableContents"/>
              <w:bidi w:val="0"/>
              <w:spacing w:lineRule="atLeast" w:line="218" w:before="0" w:after="283"/>
              <w:jc w:val="left"/>
              <w:rPr>
                <w:rFonts w:ascii="Arial" w:hAnsi="Arial"/>
                <w:sz w:val="20"/>
                <w:szCs w:val="20"/>
                <w:lang w:val="en-GB"/>
              </w:rPr>
            </w:pPr>
            <w:r>
              <w:rPr>
                <w:rFonts w:ascii="Arial" w:hAnsi="Arial"/>
                <w:sz w:val="20"/>
                <w:szCs w:val="20"/>
                <w:lang w:val="en-GB"/>
              </w:rPr>
              <w:t>2000</w:t>
            </w:r>
            <w:r>
              <w:rPr>
                <w:rFonts w:ascii="Arial" w:hAnsi="Arial"/>
                <w:position w:val="7"/>
                <w:sz w:val="16"/>
                <w:sz w:val="20"/>
                <w:szCs w:val="20"/>
                <w:lang w:val="en-GB"/>
              </w:rPr>
              <w:t>th</w:t>
            </w:r>
            <w:r>
              <w:rPr>
                <w:rFonts w:ascii="Arial" w:hAnsi="Arial"/>
                <w:sz w:val="20"/>
                <w:szCs w:val="20"/>
                <w:lang w:val="en-GB"/>
              </w:rPr>
              <w:t> (</w:t>
            </w:r>
            <w:r>
              <w:rPr>
                <w:rFonts w:ascii="Arial" w:hAnsi="Arial"/>
                <w:i/>
                <w:sz w:val="20"/>
                <w:szCs w:val="20"/>
                <w:lang w:val="en-GB"/>
              </w:rPr>
              <w:t>stumble</w:t>
            </w:r>
            <w:r>
              <w:rPr>
                <w:rFonts w:ascii="Arial" w:hAnsi="Arial"/>
                <w:sz w:val="20"/>
                <w:szCs w:val="20"/>
                <w:lang w:val="en-GB"/>
              </w:rPr>
              <w:t>)</w:t>
            </w:r>
          </w:p>
        </w:tc>
        <w:tc>
          <w:tcPr>
            <w:tcW w:w="1158" w:type="dxa"/>
            <w:tcBorders>
              <w:bottom w:val="single" w:sz="4" w:space="0" w:color="000000"/>
              <w:right w:val="single" w:sz="4" w:space="0" w:color="000000"/>
            </w:tcBorders>
            <w:tcMar>
              <w:top w:w="0" w:type="dxa"/>
              <w:left w:w="0" w:type="dxa"/>
            </w:tcMar>
            <w:vAlign w:val="center"/>
          </w:tcPr>
          <w:p>
            <w:pPr>
              <w:pStyle w:val="TableContents"/>
              <w:bidi w:val="0"/>
              <w:spacing w:lineRule="atLeast" w:line="218" w:before="0" w:after="283"/>
              <w:jc w:val="center"/>
              <w:rPr>
                <w:rFonts w:ascii="Arial" w:hAnsi="Arial"/>
                <w:sz w:val="20"/>
                <w:szCs w:val="20"/>
                <w:lang w:val="en-GB"/>
              </w:rPr>
            </w:pPr>
            <w:r>
              <w:rPr>
                <w:rFonts w:ascii="Arial" w:hAnsi="Arial"/>
                <w:sz w:val="20"/>
                <w:szCs w:val="20"/>
                <w:lang w:val="en-GB"/>
              </w:rPr>
              <w:t>0.00432% (2)</w:t>
            </w:r>
          </w:p>
        </w:tc>
        <w:tc>
          <w:tcPr>
            <w:tcW w:w="1254" w:type="dxa"/>
            <w:tcBorders>
              <w:bottom w:val="single" w:sz="4" w:space="0" w:color="000000"/>
              <w:right w:val="single" w:sz="4" w:space="0" w:color="000000"/>
            </w:tcBorders>
            <w:tcMar>
              <w:top w:w="0" w:type="dxa"/>
              <w:left w:w="0" w:type="dxa"/>
            </w:tcMar>
            <w:vAlign w:val="center"/>
          </w:tcPr>
          <w:p>
            <w:pPr>
              <w:pStyle w:val="TableContents"/>
              <w:bidi w:val="0"/>
              <w:spacing w:lineRule="atLeast" w:line="218" w:before="0" w:after="283"/>
              <w:jc w:val="center"/>
              <w:rPr>
                <w:rFonts w:ascii="Arial" w:hAnsi="Arial"/>
                <w:sz w:val="20"/>
                <w:szCs w:val="20"/>
                <w:lang w:val="en-GB"/>
              </w:rPr>
            </w:pPr>
            <w:r>
              <w:rPr>
                <w:rFonts w:ascii="Arial" w:hAnsi="Arial"/>
                <w:sz w:val="20"/>
                <w:szCs w:val="20"/>
                <w:lang w:val="en-GB"/>
              </w:rPr>
              <w:t>23,103</w:t>
            </w:r>
          </w:p>
        </w:tc>
        <w:tc>
          <w:tcPr>
            <w:tcW w:w="1135" w:type="dxa"/>
            <w:tcBorders>
              <w:bottom w:val="single" w:sz="4" w:space="0" w:color="000000"/>
              <w:right w:val="single" w:sz="4" w:space="0" w:color="000000"/>
            </w:tcBorders>
            <w:tcMar>
              <w:top w:w="0" w:type="dxa"/>
              <w:left w:w="0" w:type="dxa"/>
            </w:tcMar>
            <w:vAlign w:val="center"/>
          </w:tcPr>
          <w:p>
            <w:pPr>
              <w:pStyle w:val="TableContents"/>
              <w:bidi w:val="0"/>
              <w:spacing w:lineRule="atLeast" w:line="218" w:before="0" w:after="283"/>
              <w:jc w:val="center"/>
              <w:rPr>
                <w:rFonts w:ascii="Arial" w:hAnsi="Arial"/>
                <w:sz w:val="20"/>
                <w:szCs w:val="20"/>
                <w:lang w:val="en-GB"/>
              </w:rPr>
            </w:pPr>
            <w:r>
              <w:rPr>
                <w:rFonts w:ascii="Arial" w:hAnsi="Arial"/>
                <w:sz w:val="20"/>
                <w:szCs w:val="20"/>
                <w:lang w:val="en-GB"/>
              </w:rPr>
              <w:t>115,625</w:t>
            </w:r>
          </w:p>
        </w:tc>
        <w:tc>
          <w:tcPr>
            <w:tcW w:w="1189" w:type="dxa"/>
            <w:tcBorders>
              <w:bottom w:val="single" w:sz="4" w:space="0" w:color="000000"/>
              <w:right w:val="single" w:sz="4" w:space="0" w:color="000000"/>
            </w:tcBorders>
            <w:tcMar>
              <w:top w:w="0" w:type="dxa"/>
              <w:left w:w="0" w:type="dxa"/>
            </w:tcMar>
            <w:vAlign w:val="center"/>
          </w:tcPr>
          <w:p>
            <w:pPr>
              <w:pStyle w:val="TableContents"/>
              <w:bidi w:val="0"/>
              <w:spacing w:lineRule="atLeast" w:line="218" w:before="0" w:after="283"/>
              <w:jc w:val="center"/>
              <w:rPr>
                <w:rFonts w:ascii="Arial" w:hAnsi="Arial"/>
                <w:sz w:val="20"/>
                <w:szCs w:val="20"/>
                <w:lang w:val="en-GB"/>
              </w:rPr>
            </w:pPr>
            <w:r>
              <w:rPr>
                <w:rFonts w:ascii="Arial" w:hAnsi="Arial"/>
                <w:sz w:val="20"/>
                <w:szCs w:val="20"/>
                <w:lang w:val="en-GB"/>
              </w:rPr>
              <w:t>231,250</w:t>
            </w:r>
          </w:p>
        </w:tc>
        <w:tc>
          <w:tcPr>
            <w:tcW w:w="1363" w:type="dxa"/>
            <w:tcBorders>
              <w:bottom w:val="single" w:sz="4" w:space="0" w:color="000000"/>
              <w:right w:val="single" w:sz="4" w:space="0" w:color="000000"/>
            </w:tcBorders>
            <w:tcMar>
              <w:top w:w="0" w:type="dxa"/>
              <w:left w:w="0" w:type="dxa"/>
            </w:tcMar>
            <w:vAlign w:val="center"/>
          </w:tcPr>
          <w:p>
            <w:pPr>
              <w:pStyle w:val="TableContents"/>
              <w:bidi w:val="0"/>
              <w:spacing w:lineRule="atLeast" w:line="218" w:before="0" w:after="283"/>
              <w:jc w:val="center"/>
              <w:rPr>
                <w:rFonts w:ascii="Arial" w:hAnsi="Arial"/>
                <w:sz w:val="20"/>
                <w:szCs w:val="20"/>
                <w:lang w:val="en-GB"/>
              </w:rPr>
            </w:pPr>
            <w:r>
              <w:rPr>
                <w:rFonts w:ascii="Arial" w:hAnsi="Arial"/>
                <w:sz w:val="20"/>
                <w:szCs w:val="20"/>
                <w:lang w:val="en-GB"/>
              </w:rPr>
              <w:t>462,500</w:t>
            </w:r>
          </w:p>
        </w:tc>
        <w:tc>
          <w:tcPr>
            <w:tcW w:w="1299" w:type="dxa"/>
            <w:tcBorders>
              <w:bottom w:val="single" w:sz="4" w:space="0" w:color="000000"/>
              <w:right w:val="single" w:sz="4" w:space="0" w:color="000000"/>
            </w:tcBorders>
            <w:tcMar>
              <w:top w:w="0" w:type="dxa"/>
              <w:left w:w="0" w:type="dxa"/>
            </w:tcMar>
            <w:vAlign w:val="center"/>
          </w:tcPr>
          <w:p>
            <w:pPr>
              <w:pStyle w:val="TableContents"/>
              <w:bidi w:val="0"/>
              <w:spacing w:lineRule="atLeast" w:line="218" w:before="0" w:after="283"/>
              <w:jc w:val="center"/>
              <w:rPr>
                <w:rFonts w:ascii="Arial" w:hAnsi="Arial"/>
                <w:sz w:val="20"/>
                <w:szCs w:val="20"/>
                <w:lang w:val="en-GB"/>
              </w:rPr>
            </w:pPr>
            <w:r>
              <w:rPr>
                <w:rFonts w:ascii="Arial" w:hAnsi="Arial"/>
                <w:sz w:val="20"/>
                <w:szCs w:val="20"/>
                <w:lang w:val="en-GB"/>
              </w:rPr>
              <w:t>1,156,250</w:t>
            </w:r>
          </w:p>
        </w:tc>
      </w:tr>
      <w:tr>
        <w:trPr/>
        <w:tc>
          <w:tcPr>
            <w:tcW w:w="2126" w:type="dxa"/>
            <w:tcBorders>
              <w:left w:val="single" w:sz="4" w:space="0" w:color="000000"/>
              <w:bottom w:val="single" w:sz="4" w:space="0" w:color="000000"/>
              <w:right w:val="single" w:sz="4" w:space="0" w:color="000000"/>
            </w:tcBorders>
            <w:tcMar>
              <w:top w:w="0" w:type="dxa"/>
            </w:tcMar>
            <w:vAlign w:val="center"/>
          </w:tcPr>
          <w:p>
            <w:pPr>
              <w:pStyle w:val="TableContents"/>
              <w:bidi w:val="0"/>
              <w:spacing w:lineRule="atLeast" w:line="218" w:before="0" w:after="283"/>
              <w:jc w:val="left"/>
              <w:rPr>
                <w:rFonts w:ascii="Arial" w:hAnsi="Arial"/>
                <w:sz w:val="20"/>
                <w:szCs w:val="20"/>
                <w:lang w:val="en-GB"/>
              </w:rPr>
            </w:pPr>
            <w:r>
              <w:rPr>
                <w:rFonts w:ascii="Arial" w:hAnsi="Arial"/>
                <w:sz w:val="20"/>
                <w:szCs w:val="20"/>
                <w:lang w:val="en-GB"/>
              </w:rPr>
              <w:t>3000</w:t>
            </w:r>
            <w:r>
              <w:rPr>
                <w:rFonts w:ascii="Arial" w:hAnsi="Arial"/>
                <w:position w:val="7"/>
                <w:sz w:val="16"/>
                <w:sz w:val="20"/>
                <w:szCs w:val="20"/>
                <w:lang w:val="en-GB"/>
              </w:rPr>
              <w:t>th</w:t>
            </w:r>
            <w:r>
              <w:rPr>
                <w:rFonts w:ascii="Arial" w:hAnsi="Arial"/>
                <w:sz w:val="20"/>
                <w:szCs w:val="20"/>
                <w:lang w:val="en-GB"/>
              </w:rPr>
              <w:t> (</w:t>
            </w:r>
            <w:r>
              <w:rPr>
                <w:rFonts w:ascii="Arial" w:hAnsi="Arial"/>
                <w:i/>
                <w:sz w:val="20"/>
                <w:szCs w:val="20"/>
                <w:lang w:val="en-GB"/>
              </w:rPr>
              <w:t>sergeant</w:t>
            </w:r>
            <w:r>
              <w:rPr>
                <w:rFonts w:ascii="Arial" w:hAnsi="Arial"/>
                <w:sz w:val="20"/>
                <w:szCs w:val="20"/>
                <w:lang w:val="en-GB"/>
              </w:rPr>
              <w:t>)</w:t>
            </w:r>
          </w:p>
        </w:tc>
        <w:tc>
          <w:tcPr>
            <w:tcW w:w="1158" w:type="dxa"/>
            <w:tcBorders>
              <w:bottom w:val="single" w:sz="4" w:space="0" w:color="000000"/>
              <w:right w:val="single" w:sz="4" w:space="0" w:color="000000"/>
            </w:tcBorders>
            <w:tcMar>
              <w:top w:w="0" w:type="dxa"/>
              <w:left w:w="0" w:type="dxa"/>
            </w:tcMar>
            <w:vAlign w:val="center"/>
          </w:tcPr>
          <w:p>
            <w:pPr>
              <w:pStyle w:val="TableContents"/>
              <w:bidi w:val="0"/>
              <w:spacing w:lineRule="atLeast" w:line="218" w:before="0" w:after="283"/>
              <w:jc w:val="center"/>
              <w:rPr>
                <w:rFonts w:ascii="Arial" w:hAnsi="Arial"/>
                <w:sz w:val="20"/>
                <w:szCs w:val="20"/>
                <w:lang w:val="en-GB"/>
              </w:rPr>
            </w:pPr>
            <w:r>
              <w:rPr>
                <w:rFonts w:ascii="Arial" w:hAnsi="Arial"/>
                <w:sz w:val="20"/>
                <w:szCs w:val="20"/>
                <w:lang w:val="en-GB"/>
              </w:rPr>
              <w:t>0.00211%</w:t>
            </w:r>
          </w:p>
        </w:tc>
        <w:tc>
          <w:tcPr>
            <w:tcW w:w="1254" w:type="dxa"/>
            <w:tcBorders>
              <w:bottom w:val="single" w:sz="4" w:space="0" w:color="000000"/>
              <w:right w:val="single" w:sz="4" w:space="0" w:color="000000"/>
            </w:tcBorders>
            <w:tcMar>
              <w:top w:w="0" w:type="dxa"/>
              <w:left w:w="0" w:type="dxa"/>
            </w:tcMar>
            <w:vAlign w:val="center"/>
          </w:tcPr>
          <w:p>
            <w:pPr>
              <w:pStyle w:val="TableContents"/>
              <w:bidi w:val="0"/>
              <w:spacing w:lineRule="atLeast" w:line="218" w:before="0" w:after="283"/>
              <w:jc w:val="center"/>
              <w:rPr>
                <w:rFonts w:ascii="Arial" w:hAnsi="Arial"/>
                <w:sz w:val="20"/>
                <w:szCs w:val="20"/>
                <w:lang w:val="en-GB"/>
              </w:rPr>
            </w:pPr>
            <w:r>
              <w:rPr>
                <w:rFonts w:ascii="Arial" w:hAnsi="Arial"/>
                <w:sz w:val="20"/>
                <w:szCs w:val="20"/>
                <w:lang w:val="en-GB"/>
              </w:rPr>
              <w:t>47,343</w:t>
            </w:r>
          </w:p>
        </w:tc>
        <w:tc>
          <w:tcPr>
            <w:tcW w:w="1135" w:type="dxa"/>
            <w:tcBorders>
              <w:bottom w:val="single" w:sz="4" w:space="0" w:color="000000"/>
              <w:right w:val="single" w:sz="4" w:space="0" w:color="000000"/>
            </w:tcBorders>
            <w:tcMar>
              <w:top w:w="0" w:type="dxa"/>
              <w:left w:w="0" w:type="dxa"/>
            </w:tcMar>
            <w:vAlign w:val="center"/>
          </w:tcPr>
          <w:p>
            <w:pPr>
              <w:pStyle w:val="TableContents"/>
              <w:bidi w:val="0"/>
              <w:spacing w:lineRule="atLeast" w:line="218" w:before="0" w:after="283"/>
              <w:jc w:val="center"/>
              <w:rPr>
                <w:rFonts w:ascii="Arial" w:hAnsi="Arial"/>
                <w:sz w:val="20"/>
                <w:szCs w:val="20"/>
                <w:lang w:val="en-GB"/>
              </w:rPr>
            </w:pPr>
            <w:r>
              <w:rPr>
                <w:rFonts w:ascii="Arial" w:hAnsi="Arial"/>
                <w:sz w:val="20"/>
                <w:szCs w:val="20"/>
                <w:lang w:val="en-GB"/>
              </w:rPr>
              <w:t>236,713</w:t>
            </w:r>
          </w:p>
        </w:tc>
        <w:tc>
          <w:tcPr>
            <w:tcW w:w="1189" w:type="dxa"/>
            <w:tcBorders>
              <w:bottom w:val="single" w:sz="4" w:space="0" w:color="000000"/>
              <w:right w:val="single" w:sz="4" w:space="0" w:color="000000"/>
            </w:tcBorders>
            <w:tcMar>
              <w:top w:w="0" w:type="dxa"/>
              <w:left w:w="0" w:type="dxa"/>
            </w:tcMar>
            <w:vAlign w:val="center"/>
          </w:tcPr>
          <w:p>
            <w:pPr>
              <w:pStyle w:val="TableContents"/>
              <w:bidi w:val="0"/>
              <w:spacing w:lineRule="atLeast" w:line="218" w:before="0" w:after="283"/>
              <w:jc w:val="center"/>
              <w:rPr>
                <w:rFonts w:ascii="Arial" w:hAnsi="Arial"/>
                <w:sz w:val="20"/>
                <w:szCs w:val="20"/>
                <w:lang w:val="en-GB"/>
              </w:rPr>
            </w:pPr>
            <w:r>
              <w:rPr>
                <w:rFonts w:ascii="Arial" w:hAnsi="Arial"/>
                <w:sz w:val="20"/>
                <w:szCs w:val="20"/>
                <w:lang w:val="en-GB"/>
              </w:rPr>
              <w:t>473,425</w:t>
            </w:r>
          </w:p>
        </w:tc>
        <w:tc>
          <w:tcPr>
            <w:tcW w:w="1363" w:type="dxa"/>
            <w:tcBorders>
              <w:bottom w:val="single" w:sz="4" w:space="0" w:color="000000"/>
              <w:right w:val="single" w:sz="4" w:space="0" w:color="000000"/>
            </w:tcBorders>
            <w:tcMar>
              <w:top w:w="0" w:type="dxa"/>
              <w:left w:w="0" w:type="dxa"/>
            </w:tcMar>
            <w:vAlign w:val="center"/>
          </w:tcPr>
          <w:p>
            <w:pPr>
              <w:pStyle w:val="TableContents"/>
              <w:bidi w:val="0"/>
              <w:spacing w:lineRule="atLeast" w:line="218" w:before="0" w:after="283"/>
              <w:jc w:val="center"/>
              <w:rPr>
                <w:rFonts w:ascii="Arial" w:hAnsi="Arial"/>
                <w:sz w:val="20"/>
                <w:szCs w:val="20"/>
                <w:lang w:val="en-GB"/>
              </w:rPr>
            </w:pPr>
            <w:r>
              <w:rPr>
                <w:rFonts w:ascii="Arial" w:hAnsi="Arial"/>
                <w:sz w:val="20"/>
                <w:szCs w:val="20"/>
                <w:lang w:val="en-GB"/>
              </w:rPr>
              <w:t>946,850</w:t>
            </w:r>
          </w:p>
        </w:tc>
        <w:tc>
          <w:tcPr>
            <w:tcW w:w="1299" w:type="dxa"/>
            <w:tcBorders>
              <w:bottom w:val="single" w:sz="4" w:space="0" w:color="000000"/>
              <w:right w:val="single" w:sz="4" w:space="0" w:color="000000"/>
            </w:tcBorders>
            <w:tcMar>
              <w:top w:w="0" w:type="dxa"/>
              <w:left w:w="0" w:type="dxa"/>
            </w:tcMar>
            <w:vAlign w:val="center"/>
          </w:tcPr>
          <w:p>
            <w:pPr>
              <w:pStyle w:val="TableContents"/>
              <w:bidi w:val="0"/>
              <w:spacing w:lineRule="atLeast" w:line="218" w:before="0" w:after="283"/>
              <w:jc w:val="center"/>
              <w:rPr>
                <w:rFonts w:ascii="Arial" w:hAnsi="Arial"/>
                <w:sz w:val="20"/>
                <w:szCs w:val="20"/>
                <w:lang w:val="en-GB"/>
              </w:rPr>
            </w:pPr>
            <w:r>
              <w:rPr>
                <w:rFonts w:ascii="Arial" w:hAnsi="Arial"/>
                <w:sz w:val="20"/>
                <w:szCs w:val="20"/>
                <w:lang w:val="en-GB"/>
              </w:rPr>
              <w:t>2,367,126</w:t>
            </w:r>
          </w:p>
        </w:tc>
      </w:tr>
      <w:tr>
        <w:trPr/>
        <w:tc>
          <w:tcPr>
            <w:tcW w:w="2126" w:type="dxa"/>
            <w:tcBorders>
              <w:left w:val="single" w:sz="4" w:space="0" w:color="000000"/>
              <w:bottom w:val="single" w:sz="4" w:space="0" w:color="000000"/>
              <w:right w:val="single" w:sz="4" w:space="0" w:color="000000"/>
            </w:tcBorders>
            <w:tcMar>
              <w:top w:w="0" w:type="dxa"/>
            </w:tcMar>
            <w:vAlign w:val="center"/>
          </w:tcPr>
          <w:p>
            <w:pPr>
              <w:pStyle w:val="TableContents"/>
              <w:bidi w:val="0"/>
              <w:spacing w:lineRule="atLeast" w:line="218" w:before="0" w:after="283"/>
              <w:jc w:val="left"/>
              <w:rPr>
                <w:rFonts w:ascii="Arial" w:hAnsi="Arial"/>
                <w:sz w:val="20"/>
                <w:szCs w:val="20"/>
                <w:lang w:val="en-GB"/>
              </w:rPr>
            </w:pPr>
            <w:r>
              <w:rPr>
                <w:rFonts w:ascii="Arial" w:hAnsi="Arial"/>
                <w:sz w:val="20"/>
                <w:szCs w:val="20"/>
                <w:lang w:val="en-GB"/>
              </w:rPr>
              <w:t>5000</w:t>
            </w:r>
            <w:r>
              <w:rPr>
                <w:rFonts w:ascii="Arial" w:hAnsi="Arial"/>
                <w:position w:val="7"/>
                <w:sz w:val="16"/>
                <w:sz w:val="20"/>
                <w:szCs w:val="20"/>
                <w:lang w:val="en-GB"/>
              </w:rPr>
              <w:t>th</w:t>
            </w:r>
            <w:r>
              <w:rPr>
                <w:rFonts w:ascii="Arial" w:hAnsi="Arial"/>
                <w:sz w:val="20"/>
                <w:szCs w:val="20"/>
                <w:lang w:val="en-GB"/>
              </w:rPr>
              <w:t> (</w:t>
            </w:r>
            <w:r>
              <w:rPr>
                <w:rFonts w:ascii="Arial" w:hAnsi="Arial"/>
                <w:i/>
                <w:sz w:val="20"/>
                <w:szCs w:val="20"/>
                <w:lang w:val="en-GB"/>
              </w:rPr>
              <w:t>satellite</w:t>
            </w:r>
            <w:r>
              <w:rPr>
                <w:rFonts w:ascii="Arial" w:hAnsi="Arial"/>
                <w:sz w:val="20"/>
                <w:szCs w:val="20"/>
                <w:lang w:val="en-GB"/>
              </w:rPr>
              <w:t>)</w:t>
            </w:r>
          </w:p>
        </w:tc>
        <w:tc>
          <w:tcPr>
            <w:tcW w:w="1158" w:type="dxa"/>
            <w:tcBorders>
              <w:bottom w:val="single" w:sz="4" w:space="0" w:color="000000"/>
              <w:right w:val="single" w:sz="4" w:space="0" w:color="000000"/>
            </w:tcBorders>
            <w:tcMar>
              <w:top w:w="0" w:type="dxa"/>
              <w:left w:w="0" w:type="dxa"/>
            </w:tcMar>
            <w:vAlign w:val="center"/>
          </w:tcPr>
          <w:p>
            <w:pPr>
              <w:pStyle w:val="TableContents"/>
              <w:bidi w:val="0"/>
              <w:spacing w:lineRule="atLeast" w:line="218" w:before="0" w:after="283"/>
              <w:jc w:val="center"/>
              <w:rPr>
                <w:rFonts w:ascii="Arial" w:hAnsi="Arial"/>
                <w:sz w:val="20"/>
                <w:szCs w:val="20"/>
                <w:lang w:val="en-GB"/>
              </w:rPr>
            </w:pPr>
            <w:r>
              <w:rPr>
                <w:rFonts w:ascii="Arial" w:hAnsi="Arial"/>
                <w:sz w:val="20"/>
                <w:szCs w:val="20"/>
                <w:lang w:val="en-GB"/>
              </w:rPr>
              <w:t>0.00076%</w:t>
            </w:r>
          </w:p>
        </w:tc>
        <w:tc>
          <w:tcPr>
            <w:tcW w:w="1254" w:type="dxa"/>
            <w:tcBorders>
              <w:bottom w:val="single" w:sz="4" w:space="0" w:color="000000"/>
              <w:right w:val="single" w:sz="4" w:space="0" w:color="000000"/>
            </w:tcBorders>
            <w:tcMar>
              <w:top w:w="0" w:type="dxa"/>
              <w:left w:w="0" w:type="dxa"/>
            </w:tcMar>
            <w:vAlign w:val="center"/>
          </w:tcPr>
          <w:p>
            <w:pPr>
              <w:pStyle w:val="TableContents"/>
              <w:bidi w:val="0"/>
              <w:spacing w:lineRule="atLeast" w:line="218" w:before="0" w:after="283"/>
              <w:jc w:val="center"/>
              <w:rPr>
                <w:rFonts w:ascii="Arial" w:hAnsi="Arial"/>
                <w:sz w:val="20"/>
                <w:szCs w:val="20"/>
                <w:lang w:val="en-GB"/>
              </w:rPr>
            </w:pPr>
            <w:r>
              <w:rPr>
                <w:rFonts w:ascii="Arial" w:hAnsi="Arial"/>
                <w:sz w:val="20"/>
                <w:szCs w:val="20"/>
                <w:lang w:val="en-GB"/>
              </w:rPr>
              <w:t>132,143</w:t>
            </w:r>
          </w:p>
        </w:tc>
        <w:tc>
          <w:tcPr>
            <w:tcW w:w="1135" w:type="dxa"/>
            <w:tcBorders>
              <w:bottom w:val="single" w:sz="4" w:space="0" w:color="000000"/>
              <w:right w:val="single" w:sz="4" w:space="0" w:color="000000"/>
            </w:tcBorders>
            <w:tcMar>
              <w:top w:w="0" w:type="dxa"/>
              <w:left w:w="0" w:type="dxa"/>
            </w:tcMar>
            <w:vAlign w:val="center"/>
          </w:tcPr>
          <w:p>
            <w:pPr>
              <w:pStyle w:val="TableContents"/>
              <w:bidi w:val="0"/>
              <w:spacing w:lineRule="atLeast" w:line="218" w:before="0" w:after="283"/>
              <w:jc w:val="center"/>
              <w:rPr>
                <w:rFonts w:ascii="Arial" w:hAnsi="Arial"/>
                <w:sz w:val="20"/>
                <w:szCs w:val="20"/>
                <w:lang w:val="en-GB"/>
              </w:rPr>
            </w:pPr>
            <w:r>
              <w:rPr>
                <w:rFonts w:ascii="Arial" w:hAnsi="Arial"/>
                <w:sz w:val="20"/>
                <w:szCs w:val="20"/>
                <w:lang w:val="en-GB"/>
              </w:rPr>
              <w:t>660,714</w:t>
            </w:r>
          </w:p>
        </w:tc>
        <w:tc>
          <w:tcPr>
            <w:tcW w:w="1189" w:type="dxa"/>
            <w:tcBorders>
              <w:bottom w:val="single" w:sz="4" w:space="0" w:color="000000"/>
              <w:right w:val="single" w:sz="4" w:space="0" w:color="000000"/>
            </w:tcBorders>
            <w:tcMar>
              <w:top w:w="0" w:type="dxa"/>
              <w:left w:w="0" w:type="dxa"/>
            </w:tcMar>
            <w:vAlign w:val="center"/>
          </w:tcPr>
          <w:p>
            <w:pPr>
              <w:pStyle w:val="TableContents"/>
              <w:bidi w:val="0"/>
              <w:spacing w:lineRule="atLeast" w:line="218" w:before="0" w:after="283"/>
              <w:jc w:val="center"/>
              <w:rPr>
                <w:rFonts w:ascii="Arial" w:hAnsi="Arial"/>
                <w:sz w:val="20"/>
                <w:szCs w:val="20"/>
                <w:lang w:val="en-GB"/>
              </w:rPr>
            </w:pPr>
            <w:r>
              <w:rPr>
                <w:rFonts w:ascii="Arial" w:hAnsi="Arial"/>
                <w:sz w:val="20"/>
                <w:szCs w:val="20"/>
                <w:lang w:val="en-GB"/>
              </w:rPr>
              <w:t>1,321,429</w:t>
            </w:r>
          </w:p>
        </w:tc>
        <w:tc>
          <w:tcPr>
            <w:tcW w:w="1363" w:type="dxa"/>
            <w:tcBorders>
              <w:bottom w:val="single" w:sz="4" w:space="0" w:color="000000"/>
              <w:right w:val="single" w:sz="4" w:space="0" w:color="000000"/>
            </w:tcBorders>
            <w:tcMar>
              <w:top w:w="0" w:type="dxa"/>
              <w:left w:w="0" w:type="dxa"/>
            </w:tcMar>
            <w:vAlign w:val="center"/>
          </w:tcPr>
          <w:p>
            <w:pPr>
              <w:pStyle w:val="TableContents"/>
              <w:bidi w:val="0"/>
              <w:spacing w:lineRule="atLeast" w:line="218" w:before="0" w:after="283"/>
              <w:jc w:val="center"/>
              <w:rPr>
                <w:rFonts w:ascii="Arial" w:hAnsi="Arial"/>
                <w:sz w:val="20"/>
                <w:szCs w:val="20"/>
                <w:lang w:val="en-GB"/>
              </w:rPr>
            </w:pPr>
            <w:r>
              <w:rPr>
                <w:rFonts w:ascii="Arial" w:hAnsi="Arial"/>
                <w:sz w:val="20"/>
                <w:szCs w:val="20"/>
                <w:lang w:val="en-GB"/>
              </w:rPr>
              <w:t>2,642,857 (5)</w:t>
            </w:r>
          </w:p>
        </w:tc>
        <w:tc>
          <w:tcPr>
            <w:tcW w:w="1299" w:type="dxa"/>
            <w:tcBorders>
              <w:bottom w:val="single" w:sz="4" w:space="0" w:color="000000"/>
              <w:right w:val="single" w:sz="4" w:space="0" w:color="000000"/>
            </w:tcBorders>
            <w:tcMar>
              <w:top w:w="0" w:type="dxa"/>
              <w:left w:w="0" w:type="dxa"/>
            </w:tcMar>
            <w:vAlign w:val="center"/>
          </w:tcPr>
          <w:p>
            <w:pPr>
              <w:pStyle w:val="TableContents"/>
              <w:bidi w:val="0"/>
              <w:spacing w:lineRule="atLeast" w:line="218" w:before="0" w:after="283"/>
              <w:jc w:val="center"/>
              <w:rPr>
                <w:rFonts w:ascii="Arial" w:hAnsi="Arial"/>
                <w:sz w:val="20"/>
                <w:szCs w:val="20"/>
                <w:lang w:val="en-GB"/>
              </w:rPr>
            </w:pPr>
            <w:r>
              <w:rPr>
                <w:rFonts w:ascii="Arial" w:hAnsi="Arial"/>
                <w:sz w:val="20"/>
                <w:szCs w:val="20"/>
                <w:lang w:val="en-GB"/>
              </w:rPr>
              <w:t>6,607,143</w:t>
            </w:r>
          </w:p>
        </w:tc>
      </w:tr>
      <w:tr>
        <w:trPr/>
        <w:tc>
          <w:tcPr>
            <w:tcW w:w="2126" w:type="dxa"/>
            <w:tcBorders>
              <w:left w:val="single" w:sz="4" w:space="0" w:color="000000"/>
              <w:bottom w:val="single" w:sz="4" w:space="0" w:color="000000"/>
              <w:right w:val="single" w:sz="4" w:space="0" w:color="000000"/>
            </w:tcBorders>
            <w:tcMar>
              <w:top w:w="0" w:type="dxa"/>
            </w:tcMar>
            <w:vAlign w:val="center"/>
          </w:tcPr>
          <w:p>
            <w:pPr>
              <w:pStyle w:val="TableContents"/>
              <w:bidi w:val="0"/>
              <w:spacing w:lineRule="atLeast" w:line="218" w:before="0" w:after="283"/>
              <w:jc w:val="left"/>
              <w:rPr>
                <w:rFonts w:ascii="Arial" w:hAnsi="Arial"/>
                <w:sz w:val="20"/>
                <w:szCs w:val="20"/>
                <w:lang w:val="en-GB"/>
              </w:rPr>
            </w:pPr>
            <w:r>
              <w:rPr>
                <w:rFonts w:ascii="Arial" w:hAnsi="Arial"/>
                <w:sz w:val="20"/>
                <w:szCs w:val="20"/>
                <w:lang w:val="en-GB"/>
              </w:rPr>
              <w:t>10,000</w:t>
            </w:r>
            <w:r>
              <w:rPr>
                <w:rFonts w:ascii="Arial" w:hAnsi="Arial"/>
                <w:position w:val="7"/>
                <w:sz w:val="16"/>
                <w:sz w:val="20"/>
                <w:szCs w:val="20"/>
                <w:lang w:val="en-GB"/>
              </w:rPr>
              <w:t>th</w:t>
            </w:r>
            <w:r>
              <w:rPr>
                <w:rFonts w:ascii="Arial" w:hAnsi="Arial"/>
                <w:sz w:val="20"/>
                <w:szCs w:val="20"/>
                <w:lang w:val="en-GB"/>
              </w:rPr>
              <w:t> (</w:t>
            </w:r>
            <w:r>
              <w:rPr>
                <w:rFonts w:ascii="Arial" w:hAnsi="Arial"/>
                <w:i/>
                <w:sz w:val="20"/>
                <w:szCs w:val="20"/>
                <w:lang w:val="en-GB"/>
              </w:rPr>
              <w:t>relativity</w:t>
            </w:r>
            <w:r>
              <w:rPr>
                <w:rFonts w:ascii="Arial" w:hAnsi="Arial"/>
                <w:sz w:val="20"/>
                <w:szCs w:val="20"/>
                <w:lang w:val="en-GB"/>
              </w:rPr>
              <w:t>)</w:t>
            </w:r>
          </w:p>
        </w:tc>
        <w:tc>
          <w:tcPr>
            <w:tcW w:w="1158" w:type="dxa"/>
            <w:tcBorders>
              <w:bottom w:val="single" w:sz="4" w:space="0" w:color="000000"/>
              <w:right w:val="single" w:sz="4" w:space="0" w:color="000000"/>
            </w:tcBorders>
            <w:tcMar>
              <w:top w:w="0" w:type="dxa"/>
              <w:left w:w="0" w:type="dxa"/>
            </w:tcMar>
            <w:vAlign w:val="center"/>
          </w:tcPr>
          <w:p>
            <w:pPr>
              <w:pStyle w:val="TableContents"/>
              <w:bidi w:val="0"/>
              <w:spacing w:lineRule="atLeast" w:line="218" w:before="0" w:after="283"/>
              <w:jc w:val="center"/>
              <w:rPr>
                <w:rFonts w:ascii="Arial" w:hAnsi="Arial"/>
                <w:sz w:val="20"/>
                <w:szCs w:val="20"/>
                <w:lang w:val="en-GB"/>
              </w:rPr>
            </w:pPr>
            <w:r>
              <w:rPr>
                <w:rFonts w:ascii="Arial" w:hAnsi="Arial"/>
                <w:sz w:val="20"/>
                <w:szCs w:val="20"/>
                <w:lang w:val="en-GB"/>
              </w:rPr>
              <w:t>0.00016%</w:t>
            </w:r>
          </w:p>
        </w:tc>
        <w:tc>
          <w:tcPr>
            <w:tcW w:w="1254" w:type="dxa"/>
            <w:tcBorders>
              <w:bottom w:val="single" w:sz="4" w:space="0" w:color="000000"/>
              <w:right w:val="single" w:sz="4" w:space="0" w:color="000000"/>
            </w:tcBorders>
            <w:tcMar>
              <w:top w:w="0" w:type="dxa"/>
              <w:left w:w="0" w:type="dxa"/>
            </w:tcMar>
            <w:vAlign w:val="center"/>
          </w:tcPr>
          <w:p>
            <w:pPr>
              <w:pStyle w:val="TableContents"/>
              <w:bidi w:val="0"/>
              <w:spacing w:lineRule="atLeast" w:line="218" w:before="0" w:after="283"/>
              <w:jc w:val="center"/>
              <w:rPr>
                <w:rFonts w:ascii="Arial" w:hAnsi="Arial"/>
                <w:sz w:val="20"/>
                <w:szCs w:val="20"/>
                <w:lang w:val="en-GB"/>
              </w:rPr>
            </w:pPr>
            <w:r>
              <w:rPr>
                <w:rFonts w:ascii="Arial" w:hAnsi="Arial"/>
                <w:sz w:val="20"/>
                <w:szCs w:val="20"/>
                <w:lang w:val="en-GB"/>
              </w:rPr>
              <w:t>632,894</w:t>
            </w:r>
          </w:p>
        </w:tc>
        <w:tc>
          <w:tcPr>
            <w:tcW w:w="1135" w:type="dxa"/>
            <w:tcBorders>
              <w:bottom w:val="single" w:sz="4" w:space="0" w:color="000000"/>
              <w:right w:val="single" w:sz="4" w:space="0" w:color="000000"/>
            </w:tcBorders>
            <w:tcMar>
              <w:top w:w="0" w:type="dxa"/>
              <w:left w:w="0" w:type="dxa"/>
            </w:tcMar>
            <w:vAlign w:val="center"/>
          </w:tcPr>
          <w:p>
            <w:pPr>
              <w:pStyle w:val="TableContents"/>
              <w:bidi w:val="0"/>
              <w:spacing w:lineRule="atLeast" w:line="218" w:before="0" w:after="283"/>
              <w:jc w:val="center"/>
              <w:rPr>
                <w:rFonts w:ascii="Arial" w:hAnsi="Arial"/>
                <w:sz w:val="20"/>
                <w:szCs w:val="20"/>
                <w:lang w:val="en-GB"/>
              </w:rPr>
            </w:pPr>
            <w:r>
              <w:rPr>
                <w:rFonts w:ascii="Arial" w:hAnsi="Arial"/>
                <w:sz w:val="20"/>
                <w:szCs w:val="20"/>
                <w:lang w:val="en-GB"/>
              </w:rPr>
              <w:t>3,164,475</w:t>
            </w:r>
          </w:p>
        </w:tc>
        <w:tc>
          <w:tcPr>
            <w:tcW w:w="1189" w:type="dxa"/>
            <w:tcBorders>
              <w:bottom w:val="single" w:sz="4" w:space="0" w:color="000000"/>
              <w:right w:val="single" w:sz="4" w:space="0" w:color="000000"/>
            </w:tcBorders>
            <w:tcMar>
              <w:top w:w="0" w:type="dxa"/>
              <w:left w:w="0" w:type="dxa"/>
            </w:tcMar>
            <w:vAlign w:val="center"/>
          </w:tcPr>
          <w:p>
            <w:pPr>
              <w:pStyle w:val="TableContents"/>
              <w:bidi w:val="0"/>
              <w:spacing w:lineRule="atLeast" w:line="218" w:before="0" w:after="283"/>
              <w:jc w:val="center"/>
              <w:rPr>
                <w:rFonts w:ascii="Arial" w:hAnsi="Arial"/>
                <w:sz w:val="20"/>
                <w:szCs w:val="20"/>
                <w:lang w:val="en-GB"/>
              </w:rPr>
            </w:pPr>
            <w:r>
              <w:rPr>
                <w:rFonts w:ascii="Arial" w:hAnsi="Arial"/>
                <w:sz w:val="20"/>
                <w:szCs w:val="20"/>
                <w:lang w:val="en-GB"/>
              </w:rPr>
              <w:t>6,328,947</w:t>
            </w:r>
          </w:p>
        </w:tc>
        <w:tc>
          <w:tcPr>
            <w:tcW w:w="1363" w:type="dxa"/>
            <w:tcBorders>
              <w:bottom w:val="single" w:sz="4" w:space="0" w:color="000000"/>
              <w:right w:val="single" w:sz="4" w:space="0" w:color="000000"/>
            </w:tcBorders>
            <w:tcMar>
              <w:top w:w="0" w:type="dxa"/>
              <w:left w:w="0" w:type="dxa"/>
            </w:tcMar>
            <w:vAlign w:val="center"/>
          </w:tcPr>
          <w:p>
            <w:pPr>
              <w:pStyle w:val="TableContents"/>
              <w:bidi w:val="0"/>
              <w:spacing w:lineRule="atLeast" w:line="218" w:before="0" w:after="283"/>
              <w:jc w:val="center"/>
              <w:rPr>
                <w:rFonts w:ascii="Arial" w:hAnsi="Arial"/>
                <w:sz w:val="20"/>
                <w:szCs w:val="20"/>
                <w:lang w:val="en-GB"/>
              </w:rPr>
            </w:pPr>
            <w:r>
              <w:rPr>
                <w:rFonts w:ascii="Arial" w:hAnsi="Arial"/>
                <w:sz w:val="20"/>
                <w:szCs w:val="20"/>
                <w:lang w:val="en-GB"/>
              </w:rPr>
              <w:t>12,657,895</w:t>
            </w:r>
          </w:p>
        </w:tc>
        <w:tc>
          <w:tcPr>
            <w:tcW w:w="1299" w:type="dxa"/>
            <w:tcBorders>
              <w:bottom w:val="single" w:sz="4" w:space="0" w:color="000000"/>
              <w:right w:val="single" w:sz="4" w:space="0" w:color="000000"/>
            </w:tcBorders>
            <w:tcMar>
              <w:top w:w="0" w:type="dxa"/>
              <w:left w:w="0" w:type="dxa"/>
            </w:tcMar>
            <w:vAlign w:val="center"/>
          </w:tcPr>
          <w:p>
            <w:pPr>
              <w:pStyle w:val="TableContents"/>
              <w:bidi w:val="0"/>
              <w:spacing w:lineRule="atLeast" w:line="218" w:before="0" w:after="283"/>
              <w:jc w:val="center"/>
              <w:rPr>
                <w:rFonts w:ascii="Arial" w:hAnsi="Arial"/>
                <w:sz w:val="20"/>
                <w:szCs w:val="20"/>
                <w:lang w:val="en-GB"/>
              </w:rPr>
            </w:pPr>
            <w:r>
              <w:rPr>
                <w:rFonts w:ascii="Arial" w:hAnsi="Arial"/>
                <w:sz w:val="20"/>
                <w:szCs w:val="20"/>
                <w:lang w:val="en-GB"/>
              </w:rPr>
              <w:t>31,644,733</w:t>
            </w:r>
          </w:p>
        </w:tc>
      </w:tr>
    </w:tbl>
    <w:p>
      <w:pPr>
        <w:pStyle w:val="TextBody"/>
        <w:widowControl/>
        <w:bidi w:val="0"/>
        <w:ind w:left="0" w:right="0" w:hanging="0"/>
        <w:jc w:val="left"/>
        <w:rPr>
          <w:sz w:val="20"/>
          <w:szCs w:val="20"/>
          <w:lang w:val="en-GB"/>
        </w:rPr>
      </w:pPr>
      <w:r>
        <w:rPr>
          <w:rFonts w:ascii="Arial" w:hAnsi="Arial"/>
          <w:b w:val="false"/>
          <w:i w:val="false"/>
          <w:caps w:val="false"/>
          <w:smallCaps w:val="false"/>
          <w:color w:val="434343"/>
          <w:spacing w:val="0"/>
          <w:sz w:val="28"/>
        </w:rPr>
      </w:r>
    </w:p>
    <w:p>
      <w:pPr>
        <w:pStyle w:val="TextBody"/>
        <w:widowControl/>
        <w:bidi w:val="0"/>
        <w:spacing w:lineRule="auto" w:line="360" w:before="57" w:after="197"/>
        <w:ind w:left="0" w:right="0" w:hanging="0"/>
        <w:jc w:val="left"/>
        <w:rPr>
          <w:rFonts w:ascii="Liberation Serif" w:hAnsi="Liberation Serif"/>
          <w:b w:val="false"/>
          <w:i w:val="false"/>
          <w:caps w:val="false"/>
          <w:smallCaps w:val="false"/>
          <w:color w:val="434343"/>
          <w:spacing w:val="0"/>
          <w:sz w:val="24"/>
          <w:szCs w:val="24"/>
        </w:rPr>
      </w:pPr>
      <w:r>
        <w:rPr>
          <w:rFonts w:ascii="Liberation Serif" w:hAnsi="Liberation Serif"/>
          <w:b w:val="false"/>
          <w:i w:val="false"/>
          <w:caps w:val="false"/>
          <w:smallCaps w:val="false"/>
          <w:color w:val="434343"/>
          <w:spacing w:val="0"/>
          <w:sz w:val="24"/>
          <w:szCs w:val="24"/>
          <w:lang w:val="en-GB"/>
        </w:rPr>
        <w:t>It is important to remember that these data refer to opportunity of learning from reading, not to learning itself. However, we can multiply these occurrence rates with an estimate of the repetition rate to get some idea of possible uptake rates. If we set the uptake threshold whereby a word become “learnt” at 10 recurrences, 85,329 words need to be read to “learn” all the 1000 most frequent words in English (3).To “learn” all the 500 most frequent words in English at an uptake threshold of 20 times, 80,732 words need to be read (4) and 2.6 million words need to be met to meet the most frequent 5000 words at 20 recurrences (5).</w:t>
      </w:r>
    </w:p>
    <w:p>
      <w:pPr>
        <w:pStyle w:val="TextBody"/>
        <w:widowControl/>
        <w:bidi w:val="0"/>
        <w:spacing w:lineRule="auto" w:line="360"/>
        <w:ind w:left="0" w:right="0" w:hanging="0"/>
        <w:jc w:val="left"/>
        <w:rPr>
          <w:rFonts w:ascii="Liberation Serif" w:hAnsi="Liberation Serif"/>
          <w:b w:val="false"/>
          <w:i w:val="false"/>
          <w:caps w:val="false"/>
          <w:smallCaps w:val="false"/>
          <w:color w:val="434343"/>
          <w:spacing w:val="0"/>
          <w:sz w:val="24"/>
          <w:szCs w:val="24"/>
          <w:lang w:val="en-GB"/>
        </w:rPr>
      </w:pPr>
      <w:r>
        <w:rPr>
          <w:rFonts w:ascii="Liberation Serif" w:hAnsi="Liberation Serif"/>
          <w:b w:val="false"/>
          <w:i w:val="false"/>
          <w:caps w:val="false"/>
          <w:smallCaps w:val="false"/>
          <w:color w:val="434343"/>
          <w:spacing w:val="0"/>
          <w:sz w:val="24"/>
          <w:szCs w:val="24"/>
          <w:lang w:val="en-GB"/>
        </w:rPr>
        <w:t>It is important to remember that these data refer to opportunity of learning from reading, not to learning itself. However, we can multiply these occurrence rates with an estimate of the repetition rate to get some idea of possible uptake rates. If we set the uptake threshold whereby a word become “learnt” at 10 recurrences, 85,329 words need to be read to “learn” all the 1000 most frequent words in English (3).To “learn” all the 500 most frequent words in English at an uptake threshold of 20 times, 80,732 words need to be read (4) and 2.6 million words need to be met to meet the most frequent 5000 words at 20 recurrences (5).</w:t>
      </w:r>
    </w:p>
    <w:p>
      <w:pPr>
        <w:pStyle w:val="TextBody"/>
        <w:widowControl/>
        <w:bidi w:val="0"/>
        <w:spacing w:lineRule="auto" w:line="360"/>
        <w:ind w:left="0" w:right="0" w:hanging="0"/>
        <w:jc w:val="left"/>
        <w:rPr>
          <w:rFonts w:ascii="Liberation Serif" w:hAnsi="Liberation Serif"/>
          <w:b w:val="false"/>
          <w:i w:val="false"/>
          <w:caps w:val="false"/>
          <w:smallCaps w:val="false"/>
          <w:color w:val="434343"/>
          <w:spacing w:val="0"/>
          <w:sz w:val="24"/>
          <w:szCs w:val="24"/>
          <w:lang w:val="en-GB"/>
        </w:rPr>
      </w:pPr>
      <w:r>
        <w:rPr>
          <w:rFonts w:ascii="Liberation Serif" w:hAnsi="Liberation Serif"/>
          <w:b w:val="false"/>
          <w:i w:val="false"/>
          <w:caps w:val="false"/>
          <w:smallCaps w:val="false"/>
          <w:color w:val="434343"/>
          <w:spacing w:val="0"/>
          <w:sz w:val="24"/>
          <w:szCs w:val="24"/>
          <w:lang w:val="en-GB"/>
        </w:rPr>
        <w:t>Many researchers argue that learners can build a huge vocabulary simply from reading. However, even at the 10 meeting recurrence rate for learning to occur, Table 1 clearly shows that a huge amount of text needs to be met to facilitate the learning of vocabulary incidentally from reading. It also shows that as one’s vocabulary level increases, there is a huge increase in the amount of text that one needs to be read in order to meet unknown words because each new or partially-learnt word is met more and more infrequently.</w:t>
      </w:r>
    </w:p>
    <w:p>
      <w:pPr>
        <w:pStyle w:val="TextBody"/>
        <w:widowControl/>
        <w:bidi w:val="0"/>
        <w:spacing w:lineRule="auto" w:line="360"/>
        <w:ind w:left="0" w:right="0" w:hanging="0"/>
        <w:jc w:val="left"/>
        <w:rPr>
          <w:rFonts w:ascii="Liberation Serif" w:hAnsi="Liberation Serif"/>
          <w:b w:val="false"/>
          <w:i w:val="false"/>
          <w:caps w:val="false"/>
          <w:smallCaps w:val="false"/>
          <w:color w:val="434343"/>
          <w:spacing w:val="0"/>
          <w:sz w:val="24"/>
          <w:szCs w:val="24"/>
          <w:lang w:val="en-GB"/>
        </w:rPr>
      </w:pPr>
      <w:r>
        <w:rPr>
          <w:rFonts w:ascii="Liberation Serif" w:hAnsi="Liberation Serif"/>
          <w:b w:val="false"/>
          <w:i w:val="false"/>
          <w:caps w:val="false"/>
          <w:smallCaps w:val="false"/>
          <w:color w:val="434343"/>
          <w:spacing w:val="0"/>
          <w:sz w:val="24"/>
          <w:szCs w:val="24"/>
          <w:lang w:val="en-GB"/>
        </w:rPr>
        <w:t>Considerable evidence (e.g. Nation 2001, Waring – Takaki 2003) suggests that our brains do not learn things all in one go, and we are destined to forget many things we learn and especially recent knowledge is quite fragile. We also tend to pick up complex things like language in small incremental pieces rather than in whole chunks. We know for example, that it takes between 10-30 or even 50 or more meetings of a word receptively for the form (spelling or sound) of an average word to be connected to its meaning (Waring, forthcoming).</w:t>
      </w:r>
    </w:p>
    <w:p>
      <w:pPr>
        <w:pStyle w:val="TextBody"/>
        <w:widowControl/>
        <w:bidi w:val="0"/>
        <w:spacing w:lineRule="auto" w:line="360"/>
        <w:ind w:left="0" w:right="0" w:hanging="0"/>
        <w:jc w:val="left"/>
        <w:rPr>
          <w:rFonts w:ascii="Liberation Serif" w:hAnsi="Liberation Serif"/>
          <w:b w:val="false"/>
          <w:i w:val="false"/>
          <w:caps w:val="false"/>
          <w:smallCaps w:val="false"/>
          <w:color w:val="434343"/>
          <w:spacing w:val="0"/>
          <w:sz w:val="24"/>
          <w:szCs w:val="24"/>
          <w:lang w:val="en-GB"/>
        </w:rPr>
      </w:pPr>
      <w:r>
        <w:rPr>
          <w:rFonts w:ascii="Liberation Serif" w:hAnsi="Liberation Serif"/>
          <w:b w:val="false"/>
          <w:i w:val="false"/>
          <w:caps w:val="false"/>
          <w:smallCaps w:val="false"/>
          <w:color w:val="434343"/>
          <w:spacing w:val="0"/>
          <w:sz w:val="24"/>
          <w:szCs w:val="24"/>
          <w:lang w:val="en-GB"/>
        </w:rPr>
        <w:t>The data in Table 1 comes from an analysis of the British National Corpus and reflect natural occurrence in English. One might protest by saying that language learners do not meet the type of L1 language found in the BNC, but rather they meet specially graded texts (like those found in course books and graded readers) and so this is an unfair analysis. It is true to say learners can’t deal with the density of native text, especially at the early levels of reading but there are many other factors at work here that grossly under-estimate the amount of language table 1 presents that one needs to meet in order to build a functioning L2 vocabulary.</w:t>
      </w:r>
    </w:p>
    <w:p>
      <w:pPr>
        <w:pStyle w:val="TextBody"/>
        <w:widowControl/>
        <w:bidi w:val="0"/>
        <w:spacing w:lineRule="auto" w:line="360"/>
        <w:ind w:left="0" w:right="0" w:hanging="0"/>
        <w:jc w:val="left"/>
        <w:rPr>
          <w:rFonts w:ascii="Liberation Serif" w:hAnsi="Liberation Serif"/>
          <w:b w:val="false"/>
          <w:i w:val="false"/>
          <w:caps w:val="false"/>
          <w:smallCaps w:val="false"/>
          <w:color w:val="434343"/>
          <w:spacing w:val="0"/>
          <w:sz w:val="24"/>
          <w:szCs w:val="24"/>
        </w:rPr>
      </w:pPr>
      <w:r>
        <w:rPr>
          <w:rFonts w:ascii="Liberation Serif" w:hAnsi="Liberation Serif"/>
          <w:b w:val="false"/>
          <w:i w:val="false"/>
          <w:caps w:val="false"/>
          <w:smallCaps w:val="false"/>
          <w:color w:val="434343"/>
          <w:spacing w:val="0"/>
          <w:sz w:val="24"/>
          <w:szCs w:val="24"/>
          <w:lang w:val="en-GB"/>
        </w:rPr>
        <w:t>The BNC data in Table 1 are for word families based on type. In other words the data states that meeting</w:t>
      </w:r>
      <w:r>
        <w:rPr>
          <w:rFonts w:ascii="Liberation Serif" w:hAnsi="Liberation Serif"/>
          <w:b w:val="false"/>
          <w:i w:val="false"/>
          <w:caps w:val="false"/>
          <w:smallCaps w:val="false"/>
          <w:color w:val="434343"/>
          <w:spacing w:val="0"/>
          <w:sz w:val="24"/>
          <w:szCs w:val="24"/>
        </w:rPr>
        <w:t> </w:t>
      </w:r>
      <w:r>
        <w:rPr>
          <w:rFonts w:ascii="Liberation Serif" w:hAnsi="Liberation Serif"/>
          <w:b w:val="false"/>
          <w:i w:val="false"/>
          <w:caps w:val="false"/>
          <w:smallCaps w:val="false"/>
          <w:color w:val="434343"/>
          <w:spacing w:val="0"/>
          <w:sz w:val="24"/>
          <w:szCs w:val="24"/>
          <w:lang w:val="en-GB"/>
        </w:rPr>
        <w:t>any of the family members 20 times (</w:t>
      </w:r>
      <w:r>
        <w:rPr>
          <w:rFonts w:ascii="Liberation Serif" w:hAnsi="Liberation Serif"/>
          <w:b w:val="false"/>
          <w:i/>
          <w:caps w:val="false"/>
          <w:smallCaps w:val="false"/>
          <w:color w:val="434343"/>
          <w:spacing w:val="0"/>
          <w:sz w:val="24"/>
          <w:szCs w:val="24"/>
          <w:lang w:val="en-GB"/>
        </w:rPr>
        <w:t>use</w:t>
      </w:r>
      <w:r>
        <w:rPr>
          <w:rFonts w:ascii="Liberation Serif" w:hAnsi="Liberation Serif"/>
          <w:b w:val="false"/>
          <w:i w:val="false"/>
          <w:caps w:val="false"/>
          <w:smallCaps w:val="false"/>
          <w:color w:val="434343"/>
          <w:spacing w:val="0"/>
          <w:sz w:val="24"/>
          <w:szCs w:val="24"/>
          <w:lang w:val="en-GB"/>
        </w:rPr>
        <w:t>, then </w:t>
      </w:r>
      <w:r>
        <w:rPr>
          <w:rFonts w:ascii="Liberation Serif" w:hAnsi="Liberation Serif"/>
          <w:b w:val="false"/>
          <w:i/>
          <w:caps w:val="false"/>
          <w:smallCaps w:val="false"/>
          <w:color w:val="434343"/>
          <w:spacing w:val="0"/>
          <w:sz w:val="24"/>
          <w:szCs w:val="24"/>
          <w:lang w:val="en-GB"/>
        </w:rPr>
        <w:t>uselessness</w:t>
      </w:r>
      <w:r>
        <w:rPr>
          <w:rFonts w:ascii="Liberation Serif" w:hAnsi="Liberation Serif"/>
          <w:b w:val="false"/>
          <w:i w:val="false"/>
          <w:caps w:val="false"/>
          <w:smallCaps w:val="false"/>
          <w:color w:val="434343"/>
          <w:spacing w:val="0"/>
          <w:sz w:val="24"/>
          <w:szCs w:val="24"/>
          <w:lang w:val="en-GB"/>
        </w:rPr>
        <w:t>, then </w:t>
      </w:r>
      <w:r>
        <w:rPr>
          <w:rFonts w:ascii="Liberation Serif" w:hAnsi="Liberation Serif"/>
          <w:b w:val="false"/>
          <w:i/>
          <w:caps w:val="false"/>
          <w:smallCaps w:val="false"/>
          <w:color w:val="434343"/>
          <w:spacing w:val="0"/>
          <w:sz w:val="24"/>
          <w:szCs w:val="24"/>
          <w:lang w:val="en-GB"/>
        </w:rPr>
        <w:t>user</w:t>
      </w:r>
      <w:r>
        <w:rPr>
          <w:rFonts w:ascii="Liberation Serif" w:hAnsi="Liberation Serif"/>
          <w:b w:val="false"/>
          <w:i w:val="false"/>
          <w:caps w:val="false"/>
          <w:smallCaps w:val="false"/>
          <w:color w:val="434343"/>
          <w:spacing w:val="0"/>
          <w:sz w:val="24"/>
          <w:szCs w:val="24"/>
          <w:lang w:val="en-GB"/>
        </w:rPr>
        <w:t>) means the whole family will be learnt after those 20 meetings. This is obviously a gross simplification as many derivations are easy to learn (</w:t>
      </w:r>
      <w:r>
        <w:rPr>
          <w:rFonts w:ascii="Liberation Serif" w:hAnsi="Liberation Serif"/>
          <w:b w:val="false"/>
          <w:i/>
          <w:caps w:val="false"/>
          <w:smallCaps w:val="false"/>
          <w:color w:val="434343"/>
          <w:spacing w:val="0"/>
          <w:sz w:val="24"/>
          <w:szCs w:val="24"/>
          <w:lang w:val="en-GB"/>
        </w:rPr>
        <w:t>wind</w:t>
      </w:r>
      <w:r>
        <w:rPr>
          <w:rFonts w:ascii="Liberation Serif" w:hAnsi="Liberation Serif"/>
          <w:b w:val="false"/>
          <w:i w:val="false"/>
          <w:caps w:val="false"/>
          <w:smallCaps w:val="false"/>
          <w:color w:val="434343"/>
          <w:spacing w:val="0"/>
          <w:sz w:val="24"/>
          <w:szCs w:val="24"/>
          <w:lang w:val="en-GB"/>
        </w:rPr>
        <w:t>/</w:t>
      </w:r>
      <w:r>
        <w:rPr>
          <w:rFonts w:ascii="Liberation Serif" w:hAnsi="Liberation Serif"/>
          <w:b w:val="false"/>
          <w:i/>
          <w:caps w:val="false"/>
          <w:smallCaps w:val="false"/>
          <w:color w:val="434343"/>
          <w:spacing w:val="0"/>
          <w:sz w:val="24"/>
          <w:szCs w:val="24"/>
          <w:lang w:val="en-GB"/>
        </w:rPr>
        <w:t>windy</w:t>
      </w:r>
      <w:r>
        <w:rPr>
          <w:rFonts w:ascii="Liberation Serif" w:hAnsi="Liberation Serif"/>
          <w:b w:val="false"/>
          <w:i w:val="false"/>
          <w:caps w:val="false"/>
          <w:smallCaps w:val="false"/>
          <w:color w:val="434343"/>
          <w:spacing w:val="0"/>
          <w:sz w:val="24"/>
          <w:szCs w:val="24"/>
          <w:lang w:val="en-GB"/>
        </w:rPr>
        <w:t> or </w:t>
      </w:r>
      <w:r>
        <w:rPr>
          <w:rFonts w:ascii="Liberation Serif" w:hAnsi="Liberation Serif"/>
          <w:b w:val="false"/>
          <w:i/>
          <w:caps w:val="false"/>
          <w:smallCaps w:val="false"/>
          <w:color w:val="434343"/>
          <w:spacing w:val="0"/>
          <w:sz w:val="24"/>
          <w:szCs w:val="24"/>
          <w:lang w:val="en-GB"/>
        </w:rPr>
        <w:t>teach/teacher</w:t>
      </w:r>
      <w:r>
        <w:rPr>
          <w:rFonts w:ascii="Liberation Serif" w:hAnsi="Liberation Serif"/>
          <w:b w:val="false"/>
          <w:i w:val="false"/>
          <w:caps w:val="false"/>
          <w:smallCaps w:val="false"/>
          <w:color w:val="434343"/>
          <w:spacing w:val="0"/>
          <w:sz w:val="24"/>
          <w:szCs w:val="24"/>
          <w:lang w:val="en-GB"/>
        </w:rPr>
        <w:t>), whereas other are complex and late acquired (</w:t>
      </w:r>
      <w:r>
        <w:rPr>
          <w:rFonts w:ascii="Liberation Serif" w:hAnsi="Liberation Serif"/>
          <w:b w:val="false"/>
          <w:i/>
          <w:caps w:val="false"/>
          <w:smallCaps w:val="false"/>
          <w:color w:val="434343"/>
          <w:spacing w:val="0"/>
          <w:sz w:val="24"/>
          <w:szCs w:val="24"/>
          <w:lang w:val="en-GB"/>
        </w:rPr>
        <w:t>govern/ungovernable</w:t>
      </w:r>
      <w:r>
        <w:rPr>
          <w:rFonts w:ascii="Liberation Serif" w:hAnsi="Liberation Serif"/>
          <w:b w:val="false"/>
          <w:i w:val="false"/>
          <w:caps w:val="false"/>
          <w:smallCaps w:val="false"/>
          <w:color w:val="434343"/>
          <w:spacing w:val="0"/>
          <w:sz w:val="24"/>
          <w:szCs w:val="24"/>
          <w:lang w:val="en-GB"/>
        </w:rPr>
        <w:t> or </w:t>
      </w:r>
      <w:r>
        <w:rPr>
          <w:rFonts w:ascii="Liberation Serif" w:hAnsi="Liberation Serif"/>
          <w:b w:val="false"/>
          <w:i/>
          <w:caps w:val="false"/>
          <w:smallCaps w:val="false"/>
          <w:color w:val="434343"/>
          <w:spacing w:val="0"/>
          <w:sz w:val="24"/>
          <w:szCs w:val="24"/>
          <w:lang w:val="en-GB"/>
        </w:rPr>
        <w:t>excuse/inexcusable</w:t>
      </w:r>
      <w:r>
        <w:rPr>
          <w:rFonts w:ascii="Liberation Serif" w:hAnsi="Liberation Serif"/>
          <w:b w:val="false"/>
          <w:i w:val="false"/>
          <w:caps w:val="false"/>
          <w:smallCaps w:val="false"/>
          <w:color w:val="434343"/>
          <w:spacing w:val="0"/>
          <w:sz w:val="24"/>
          <w:szCs w:val="24"/>
          <w:lang w:val="en-GB"/>
        </w:rPr>
        <w:t>). Moreover, the analysis does not account for polywords, not the thousands of lexical chunks and set phrases such as </w:t>
      </w:r>
      <w:r>
        <w:rPr>
          <w:rFonts w:ascii="Liberation Serif" w:hAnsi="Liberation Serif"/>
          <w:b w:val="false"/>
          <w:i/>
          <w:caps w:val="false"/>
          <w:smallCaps w:val="false"/>
          <w:color w:val="434343"/>
          <w:spacing w:val="0"/>
          <w:sz w:val="24"/>
          <w:szCs w:val="24"/>
          <w:lang w:val="en-GB"/>
        </w:rPr>
        <w:t>I’d rather not;  If it were up to me, I’d…; We got a quick bite to eat; What’s the matter?; The best thing to do is …</w:t>
      </w:r>
      <w:r>
        <w:rPr>
          <w:rFonts w:ascii="Liberation Serif" w:hAnsi="Liberation Serif"/>
          <w:b w:val="false"/>
          <w:i w:val="false"/>
          <w:caps w:val="false"/>
          <w:smallCaps w:val="false"/>
          <w:color w:val="434343"/>
          <w:spacing w:val="0"/>
          <w:sz w:val="24"/>
          <w:szCs w:val="24"/>
          <w:lang w:val="en-GB"/>
        </w:rPr>
        <w:t> and so on. Nor does it take into account polysemy (multiple meaning senses of words), phrasal verbs, idioms and metaphor because the analysis was done by type. All these need to be learnt in addition to the single words.</w:t>
      </w:r>
    </w:p>
    <w:p>
      <w:pPr>
        <w:pStyle w:val="TextBody"/>
        <w:widowControl/>
        <w:bidi w:val="0"/>
        <w:spacing w:lineRule="auto" w:line="360"/>
        <w:ind w:left="0" w:right="0" w:hanging="0"/>
        <w:jc w:val="left"/>
        <w:rPr>
          <w:rFonts w:ascii="Liberation Serif" w:hAnsi="Liberation Serif"/>
          <w:b w:val="false"/>
          <w:i w:val="false"/>
          <w:caps w:val="false"/>
          <w:smallCaps w:val="false"/>
          <w:color w:val="434343"/>
          <w:spacing w:val="0"/>
          <w:sz w:val="24"/>
          <w:szCs w:val="24"/>
          <w:lang w:val="en-GB"/>
        </w:rPr>
      </w:pPr>
      <w:r>
        <w:rPr>
          <w:rFonts w:ascii="Liberation Serif" w:hAnsi="Liberation Serif"/>
          <w:b w:val="false"/>
          <w:i w:val="false"/>
          <w:caps w:val="false"/>
          <w:smallCaps w:val="false"/>
          <w:color w:val="434343"/>
          <w:spacing w:val="0"/>
          <w:sz w:val="24"/>
          <w:szCs w:val="24"/>
          <w:lang w:val="en-GB"/>
        </w:rPr>
        <w:t>Table 1 also does not take into account the volume of text needed to learn the collocations and colligations either. If we assume that the learning of a meaning and its form is a precondition for the learning of its collocations (we need to know </w:t>
      </w:r>
      <w:r>
        <w:rPr>
          <w:rFonts w:ascii="Liberation Serif" w:hAnsi="Liberation Serif"/>
          <w:b w:val="false"/>
          <w:i/>
          <w:caps w:val="false"/>
          <w:smallCaps w:val="false"/>
          <w:color w:val="434343"/>
          <w:spacing w:val="0"/>
          <w:sz w:val="24"/>
          <w:szCs w:val="24"/>
          <w:lang w:val="en-GB"/>
        </w:rPr>
        <w:t>calm</w:t>
      </w:r>
      <w:r>
        <w:rPr>
          <w:rFonts w:ascii="Liberation Serif" w:hAnsi="Liberation Serif"/>
          <w:b w:val="false"/>
          <w:i w:val="false"/>
          <w:caps w:val="false"/>
          <w:smallCaps w:val="false"/>
          <w:color w:val="434343"/>
          <w:spacing w:val="0"/>
          <w:sz w:val="24"/>
          <w:szCs w:val="24"/>
          <w:lang w:val="en-GB"/>
        </w:rPr>
        <w:t> and </w:t>
      </w:r>
      <w:r>
        <w:rPr>
          <w:rFonts w:ascii="Liberation Serif" w:hAnsi="Liberation Serif"/>
          <w:b w:val="false"/>
          <w:i/>
          <w:caps w:val="false"/>
          <w:smallCaps w:val="false"/>
          <w:color w:val="434343"/>
          <w:spacing w:val="0"/>
          <w:sz w:val="24"/>
          <w:szCs w:val="24"/>
          <w:lang w:val="en-GB"/>
        </w:rPr>
        <w:t>sea</w:t>
      </w:r>
      <w:r>
        <w:rPr>
          <w:rFonts w:ascii="Liberation Serif" w:hAnsi="Liberation Serif"/>
          <w:b w:val="false"/>
          <w:i w:val="false"/>
          <w:caps w:val="false"/>
          <w:smallCaps w:val="false"/>
          <w:color w:val="434343"/>
          <w:spacing w:val="0"/>
          <w:sz w:val="24"/>
          <w:szCs w:val="24"/>
          <w:lang w:val="en-GB"/>
        </w:rPr>
        <w:t> to know the collocation </w:t>
      </w:r>
      <w:r>
        <w:rPr>
          <w:rFonts w:ascii="Liberation Serif" w:hAnsi="Liberation Serif"/>
          <w:b w:val="false"/>
          <w:i/>
          <w:caps w:val="false"/>
          <w:smallCaps w:val="false"/>
          <w:color w:val="434343"/>
          <w:spacing w:val="0"/>
          <w:sz w:val="24"/>
          <w:szCs w:val="24"/>
          <w:lang w:val="en-GB"/>
        </w:rPr>
        <w:t>calm sea</w:t>
      </w:r>
      <w:r>
        <w:rPr>
          <w:rFonts w:ascii="Liberation Serif" w:hAnsi="Liberation Serif"/>
          <w:b w:val="false"/>
          <w:i w:val="false"/>
          <w:caps w:val="false"/>
          <w:smallCaps w:val="false"/>
          <w:color w:val="434343"/>
          <w:spacing w:val="0"/>
          <w:sz w:val="24"/>
          <w:szCs w:val="24"/>
          <w:lang w:val="en-GB"/>
        </w:rPr>
        <w:t>), we can conclude that these ‘deeper’ aspects of the learning of a word will take far longer than just learning the word as a single unit i.e. its form-meaning connection only. But how many collocations does each word have, on average? Here is a sample of some of the main collocations and colligations for the very common word </w:t>
      </w:r>
      <w:r>
        <w:rPr>
          <w:rFonts w:ascii="Liberation Serif" w:hAnsi="Liberation Serif"/>
          <w:b w:val="false"/>
          <w:i/>
          <w:caps w:val="false"/>
          <w:smallCaps w:val="false"/>
          <w:color w:val="434343"/>
          <w:spacing w:val="0"/>
          <w:sz w:val="24"/>
          <w:szCs w:val="24"/>
          <w:lang w:val="en-GB"/>
        </w:rPr>
        <w:t>idea</w:t>
      </w:r>
      <w:r>
        <w:rPr>
          <w:rFonts w:ascii="Liberation Serif" w:hAnsi="Liberation Serif"/>
          <w:b w:val="false"/>
          <w:i w:val="false"/>
          <w:caps w:val="false"/>
          <w:smallCaps w:val="false"/>
          <w:color w:val="434343"/>
          <w:spacing w:val="0"/>
          <w:sz w:val="24"/>
          <w:szCs w:val="24"/>
          <w:lang w:val="en-GB"/>
        </w:rPr>
        <w:t> (taken from Hill – Lewis 1997).</w:t>
      </w:r>
    </w:p>
    <w:p>
      <w:pPr>
        <w:pStyle w:val="TextBody"/>
        <w:widowControl/>
        <w:bidi w:val="0"/>
        <w:spacing w:lineRule="auto" w:line="360"/>
        <w:ind w:left="1134" w:right="1134" w:hanging="0"/>
        <w:jc w:val="left"/>
        <w:rPr>
          <w:rFonts w:ascii="Liberation Serif" w:hAnsi="Liberation Serif"/>
          <w:b w:val="false"/>
          <w:i w:val="false"/>
          <w:caps w:val="false"/>
          <w:smallCaps w:val="false"/>
          <w:color w:val="434343"/>
          <w:spacing w:val="0"/>
          <w:sz w:val="24"/>
          <w:szCs w:val="24"/>
          <w:lang w:val="en-GB"/>
        </w:rPr>
      </w:pPr>
      <w:r>
        <w:rPr>
          <w:rFonts w:ascii="Liberation Serif" w:hAnsi="Liberation Serif"/>
          <w:b w:val="false"/>
          <w:i w:val="false"/>
          <w:caps w:val="false"/>
          <w:smallCaps w:val="false"/>
          <w:color w:val="434343"/>
          <w:spacing w:val="0"/>
          <w:sz w:val="24"/>
          <w:szCs w:val="24"/>
          <w:lang w:val="en-GB"/>
        </w:rPr>
        <w:t>Verb collocations of </w:t>
      </w:r>
      <w:r>
        <w:rPr>
          <w:rFonts w:ascii="Liberation Serif" w:hAnsi="Liberation Serif"/>
          <w:b w:val="false"/>
          <w:i/>
          <w:caps w:val="false"/>
          <w:smallCaps w:val="false"/>
          <w:color w:val="434343"/>
          <w:spacing w:val="0"/>
          <w:sz w:val="24"/>
          <w:szCs w:val="24"/>
          <w:lang w:val="en-GB"/>
        </w:rPr>
        <w:t>Idea.  </w:t>
      </w:r>
      <w:r>
        <w:rPr>
          <w:rFonts w:ascii="Liberation Serif" w:hAnsi="Liberation Serif"/>
          <w:b w:val="false"/>
          <w:i w:val="false"/>
          <w:caps w:val="false"/>
          <w:smallCaps w:val="false"/>
          <w:color w:val="434343"/>
          <w:spacing w:val="0"/>
          <w:sz w:val="24"/>
          <w:szCs w:val="24"/>
          <w:lang w:val="en-GB"/>
        </w:rPr>
        <w:t>e.g. </w:t>
      </w:r>
      <w:r>
        <w:rPr>
          <w:rFonts w:ascii="Liberation Serif" w:hAnsi="Liberation Serif"/>
          <w:b w:val="false"/>
          <w:i/>
          <w:caps w:val="false"/>
          <w:smallCaps w:val="false"/>
          <w:color w:val="434343"/>
          <w:spacing w:val="0"/>
          <w:sz w:val="24"/>
          <w:szCs w:val="24"/>
          <w:lang w:val="en-GB"/>
        </w:rPr>
        <w:t>abandon an idea</w:t>
      </w:r>
    </w:p>
    <w:p>
      <w:pPr>
        <w:pStyle w:val="TextBody"/>
        <w:widowControl/>
        <w:bidi w:val="0"/>
        <w:spacing w:lineRule="auto" w:line="360"/>
        <w:ind w:left="1134" w:right="1134" w:hanging="0"/>
        <w:jc w:val="left"/>
        <w:rPr>
          <w:rFonts w:ascii="Liberation Serif" w:hAnsi="Liberation Serif"/>
          <w:b w:val="false"/>
          <w:i w:val="false"/>
          <w:caps w:val="false"/>
          <w:smallCaps w:val="false"/>
          <w:color w:val="434343"/>
          <w:spacing w:val="0"/>
          <w:sz w:val="24"/>
          <w:szCs w:val="24"/>
        </w:rPr>
      </w:pPr>
      <w:r>
        <w:rPr>
          <w:rFonts w:ascii="Liberation Serif" w:hAnsi="Liberation Serif"/>
          <w:b w:val="false"/>
          <w:i w:val="false"/>
          <w:caps w:val="false"/>
          <w:smallCaps w:val="false"/>
          <w:color w:val="434343"/>
          <w:spacing w:val="0"/>
          <w:sz w:val="24"/>
          <w:szCs w:val="24"/>
        </w:rPr>
        <w:t>a</w:t>
      </w:r>
      <w:r>
        <w:rPr>
          <w:rFonts w:ascii="Liberation Serif" w:hAnsi="Liberation Serif"/>
          <w:b w:val="false"/>
          <w:i/>
          <w:caps w:val="false"/>
          <w:smallCaps w:val="false"/>
          <w:color w:val="434343"/>
          <w:spacing w:val="0"/>
          <w:sz w:val="24"/>
          <w:szCs w:val="24"/>
          <w:lang w:val="en-GB"/>
        </w:rPr>
        <w:t>bandon, absorb, accept, adjust to, advocate, amplify, advance, back, be against, be </w:t>
      </w:r>
      <w:r>
        <w:rPr>
          <w:rFonts w:ascii="Liberation Serif" w:hAnsi="Liberation Serif"/>
          <w:b w:val="false"/>
          <w:i/>
          <w:caps w:val="false"/>
          <w:smallCaps w:val="false"/>
          <w:color w:val="434343"/>
          <w:spacing w:val="-2"/>
          <w:sz w:val="24"/>
          <w:szCs w:val="24"/>
          <w:lang w:val="en-GB"/>
        </w:rPr>
        <w:t>committed/dedicated/drawn to, be obsessed with, be struck by, borrow, cherish, clarify, cling</w:t>
      </w:r>
      <w:r>
        <w:rPr>
          <w:rFonts w:ascii="Liberation Serif" w:hAnsi="Liberation Serif"/>
          <w:b w:val="false"/>
          <w:i/>
          <w:caps w:val="false"/>
          <w:smallCaps w:val="false"/>
          <w:color w:val="434343"/>
          <w:spacing w:val="0"/>
          <w:sz w:val="24"/>
          <w:szCs w:val="24"/>
          <w:lang w:val="en-GB"/>
        </w:rPr>
        <w:t> to, come out/up with, confirm, conjure up, consider, contemplate, convey, debate, debunk, defend, demonstrate, develop, deny, dismiss, dispel, disprove, distort, drop …………………….</w:t>
      </w:r>
    </w:p>
    <w:p>
      <w:pPr>
        <w:pStyle w:val="TextBody"/>
        <w:widowControl/>
        <w:bidi w:val="0"/>
        <w:spacing w:lineRule="auto" w:line="360"/>
        <w:ind w:left="0" w:right="0" w:hanging="0"/>
        <w:jc w:val="left"/>
        <w:rPr>
          <w:rFonts w:ascii="Liberation Serif" w:hAnsi="Liberation Serif"/>
          <w:b w:val="false"/>
          <w:i w:val="false"/>
          <w:caps w:val="false"/>
          <w:smallCaps w:val="false"/>
          <w:color w:val="434343"/>
          <w:spacing w:val="0"/>
          <w:sz w:val="24"/>
          <w:szCs w:val="24"/>
          <w:lang w:val="en-GB"/>
        </w:rPr>
      </w:pPr>
      <w:r>
        <w:rPr>
          <w:rFonts w:ascii="Liberation Serif" w:hAnsi="Liberation Serif"/>
          <w:b w:val="false"/>
          <w:i w:val="false"/>
          <w:caps w:val="false"/>
          <w:smallCaps w:val="false"/>
          <w:color w:val="434343"/>
          <w:spacing w:val="0"/>
          <w:sz w:val="24"/>
          <w:szCs w:val="24"/>
          <w:lang w:val="en-GB"/>
        </w:rPr>
        <w:t>These are just a small part of the verb collocations and colligations of one word – </w:t>
      </w:r>
      <w:r>
        <w:rPr>
          <w:rFonts w:ascii="Liberation Serif" w:hAnsi="Liberation Serif"/>
          <w:b w:val="false"/>
          <w:i/>
          <w:caps w:val="false"/>
          <w:smallCaps w:val="false"/>
          <w:color w:val="434343"/>
          <w:spacing w:val="0"/>
          <w:sz w:val="24"/>
          <w:szCs w:val="24"/>
          <w:lang w:val="en-GB"/>
        </w:rPr>
        <w:t>idea</w:t>
      </w:r>
      <w:r>
        <w:rPr>
          <w:rFonts w:ascii="Liberation Serif" w:hAnsi="Liberation Serif"/>
          <w:b w:val="false"/>
          <w:i w:val="false"/>
          <w:caps w:val="false"/>
          <w:smallCaps w:val="false"/>
          <w:color w:val="434343"/>
          <w:spacing w:val="0"/>
          <w:sz w:val="24"/>
          <w:szCs w:val="24"/>
          <w:lang w:val="en-GB"/>
        </w:rPr>
        <w:t>. And most of them were not given. This list only goes up to the letter </w:t>
      </w:r>
      <w:r>
        <w:rPr>
          <w:rFonts w:ascii="Liberation Serif" w:hAnsi="Liberation Serif"/>
          <w:b w:val="false"/>
          <w:i/>
          <w:caps w:val="false"/>
          <w:smallCaps w:val="false"/>
          <w:color w:val="434343"/>
          <w:spacing w:val="0"/>
          <w:sz w:val="24"/>
          <w:szCs w:val="24"/>
          <w:lang w:val="en-GB"/>
        </w:rPr>
        <w:t>d</w:t>
      </w:r>
      <w:r>
        <w:rPr>
          <w:rFonts w:ascii="Liberation Serif" w:hAnsi="Liberation Serif"/>
          <w:b w:val="false"/>
          <w:i w:val="false"/>
          <w:caps w:val="false"/>
          <w:smallCaps w:val="false"/>
          <w:color w:val="434343"/>
          <w:spacing w:val="0"/>
          <w:sz w:val="24"/>
          <w:szCs w:val="24"/>
          <w:lang w:val="en-GB"/>
        </w:rPr>
        <w:t> and there are about 100 more! And that doesn’t count the adjective uses (e.g. </w:t>
      </w:r>
      <w:r>
        <w:rPr>
          <w:rFonts w:ascii="Liberation Serif" w:hAnsi="Liberation Serif"/>
          <w:b w:val="false"/>
          <w:i/>
          <w:caps w:val="false"/>
          <w:smallCaps w:val="false"/>
          <w:color w:val="434343"/>
          <w:spacing w:val="0"/>
          <w:sz w:val="24"/>
          <w:szCs w:val="24"/>
          <w:lang w:val="en-GB"/>
        </w:rPr>
        <w:t>an abstract idea</w:t>
      </w:r>
      <w:r>
        <w:rPr>
          <w:rFonts w:ascii="Liberation Serif" w:hAnsi="Liberation Serif"/>
          <w:b w:val="false"/>
          <w:i w:val="false"/>
          <w:caps w:val="false"/>
          <w:smallCaps w:val="false"/>
          <w:color w:val="434343"/>
          <w:spacing w:val="0"/>
          <w:sz w:val="24"/>
          <w:szCs w:val="24"/>
          <w:lang w:val="en-GB"/>
        </w:rPr>
        <w:t>, </w:t>
      </w:r>
      <w:r>
        <w:rPr>
          <w:rFonts w:ascii="Liberation Serif" w:hAnsi="Liberation Serif"/>
          <w:b w:val="false"/>
          <w:i/>
          <w:caps w:val="false"/>
          <w:smallCaps w:val="false"/>
          <w:color w:val="434343"/>
          <w:spacing w:val="0"/>
          <w:sz w:val="24"/>
          <w:szCs w:val="24"/>
          <w:lang w:val="en-GB"/>
        </w:rPr>
        <w:t>an appealing idea</w:t>
      </w:r>
      <w:r>
        <w:rPr>
          <w:rFonts w:ascii="Liberation Serif" w:hAnsi="Liberation Serif"/>
          <w:b w:val="false"/>
          <w:i w:val="false"/>
          <w:caps w:val="false"/>
          <w:smallCaps w:val="false"/>
          <w:color w:val="434343"/>
          <w:spacing w:val="0"/>
          <w:sz w:val="24"/>
          <w:szCs w:val="24"/>
          <w:lang w:val="en-GB"/>
        </w:rPr>
        <w:t>, </w:t>
      </w:r>
      <w:r>
        <w:rPr>
          <w:rFonts w:ascii="Liberation Serif" w:hAnsi="Liberation Serif"/>
          <w:b w:val="false"/>
          <w:i/>
          <w:caps w:val="false"/>
          <w:smallCaps w:val="false"/>
          <w:color w:val="434343"/>
          <w:spacing w:val="0"/>
          <w:sz w:val="24"/>
          <w:szCs w:val="24"/>
          <w:lang w:val="en-GB"/>
        </w:rPr>
        <w:t>and arresting idea</w:t>
      </w:r>
      <w:r>
        <w:rPr>
          <w:rFonts w:ascii="Liberation Serif" w:hAnsi="Liberation Serif"/>
          <w:b w:val="false"/>
          <w:i w:val="false"/>
          <w:caps w:val="false"/>
          <w:smallCaps w:val="false"/>
          <w:color w:val="434343"/>
          <w:spacing w:val="0"/>
          <w:sz w:val="24"/>
          <w:szCs w:val="24"/>
          <w:lang w:val="en-GB"/>
        </w:rPr>
        <w:t> and so on) of which there are also several dozen.  Not all words have this number of collocational partners and no one would suggest that learners need to know them all. Learners do however, need to know a good proportion of these to even approach native-like control and fluency over a given word and its collocations, thus the vocabulary task becomes even more arduous than that painted in Table 1.</w:t>
      </w:r>
    </w:p>
    <w:p>
      <w:pPr>
        <w:pStyle w:val="TextBody"/>
        <w:widowControl/>
        <w:bidi w:val="0"/>
        <w:spacing w:lineRule="auto" w:line="360"/>
        <w:ind w:left="0" w:right="0" w:hanging="0"/>
        <w:jc w:val="left"/>
        <w:rPr>
          <w:rFonts w:ascii="Liberation Serif" w:hAnsi="Liberation Serif"/>
          <w:b w:val="false"/>
          <w:i w:val="false"/>
          <w:caps w:val="false"/>
          <w:smallCaps w:val="false"/>
          <w:color w:val="434343"/>
          <w:spacing w:val="0"/>
          <w:sz w:val="24"/>
          <w:szCs w:val="24"/>
          <w:lang w:val="en-GB"/>
        </w:rPr>
      </w:pPr>
      <w:r>
        <w:rPr>
          <w:rFonts w:ascii="Liberation Serif" w:hAnsi="Liberation Serif"/>
          <w:b w:val="false"/>
          <w:i w:val="false"/>
          <w:caps w:val="false"/>
          <w:smallCaps w:val="false"/>
          <w:color w:val="434343"/>
          <w:spacing w:val="0"/>
          <w:sz w:val="24"/>
          <w:szCs w:val="24"/>
          <w:lang w:val="en-GB"/>
        </w:rPr>
        <w:t>The density of a text is a property of the learner, not the text itself. Thus a given text could be easy for one learner but impossibly hard for another. The above clearly suggest that language EFL learners who are trying to read fluently (extensively) who have not yet reached an advanced level (i.e. they know fewer than 5000 word families) should meet language which has been controlled and simplified so they are not overwhelmed by dense texts that prevent them from reading fluently. L1 texts (especially literary texts) typically are very dense lexically which would make them difficult to read and learn from and almost impossible to read fluently for all but the most highly advanced learners of English. Learners reading native texts that contain a high would make the reading slow and intensive and change the reading task into a linguistic (study) one rather than one for building fluency. This is not bad necessarily, but learners should be aware that unless they read a lot, they will not have the opportunity to meet the unknown words they need to strengthen their partially-known vocabularies. Therefore, EFL learners would need to use graded readers initially to help even out the density issues by systematizing the vocabulary load. Only when the learners can cope with more advanced texts, should they be exposed to them. Nevertheless, the volume of text needed to be met is immense and far beyond that of most normal courses. What this means is that far more than one book a week at the learner’s level will be required as was recommended by Nation and Wang (1999).</w:t>
      </w:r>
    </w:p>
    <w:p>
      <w:pPr>
        <w:pStyle w:val="TextBody"/>
        <w:widowControl/>
        <w:bidi w:val="0"/>
        <w:spacing w:lineRule="auto" w:line="360"/>
        <w:ind w:left="0" w:right="0" w:hanging="0"/>
        <w:jc w:val="left"/>
        <w:rPr>
          <w:rFonts w:ascii="Liberation Serif" w:hAnsi="Liberation Serif"/>
          <w:b w:val="false"/>
          <w:i w:val="false"/>
          <w:caps w:val="false"/>
          <w:smallCaps w:val="false"/>
          <w:color w:val="434343"/>
          <w:spacing w:val="0"/>
          <w:sz w:val="24"/>
          <w:szCs w:val="24"/>
          <w:lang w:val="en-GB"/>
        </w:rPr>
      </w:pPr>
      <w:r>
        <w:rPr>
          <w:rFonts w:ascii="Liberation Serif" w:hAnsi="Liberation Serif"/>
          <w:b w:val="false"/>
          <w:i w:val="false"/>
          <w:caps w:val="false"/>
          <w:smallCaps w:val="false"/>
          <w:color w:val="434343"/>
          <w:spacing w:val="0"/>
          <w:sz w:val="24"/>
          <w:szCs w:val="24"/>
          <w:lang w:val="en-GB"/>
        </w:rPr>
        <w:t>Table 1 also shows that the occurrence of general English words above about the 2-3000 headword level, becomes rather random, unstable and unpredictable for selection. The data clearly show that learners wishing to master more than 3000 words must resort to upgraded texts as most graded reader series top out at around this level. However, doing this further complicates the task because as frequency lowers, each new word appears less frequently which in turn requires more volume of text to be written to meet unknown or partially known words (one’s “partially-known vocabulary”). Unless the volume of reading is increased, it is likely that any partial knowledge of a given word will be lost from memory especially as each individual occurrence of words above this level appears so randomly and unpredictably in ungraded text. These data together suggest that it is unlikely much learning will occur from only reading above the 3000 word level unless several thousands of words are read per day.</w:t>
      </w:r>
    </w:p>
    <w:p>
      <w:pPr>
        <w:pStyle w:val="TextBody"/>
        <w:widowControl/>
        <w:bidi w:val="0"/>
        <w:spacing w:lineRule="auto" w:line="360"/>
        <w:ind w:left="0" w:right="0" w:hanging="0"/>
        <w:jc w:val="left"/>
        <w:rPr>
          <w:rFonts w:ascii="Liberation Serif" w:hAnsi="Liberation Serif"/>
          <w:b w:val="false"/>
          <w:i w:val="false"/>
          <w:caps w:val="false"/>
          <w:smallCaps w:val="false"/>
          <w:color w:val="434343"/>
          <w:spacing w:val="0"/>
          <w:sz w:val="24"/>
          <w:szCs w:val="24"/>
          <w:lang w:val="en-GB"/>
        </w:rPr>
      </w:pPr>
      <w:r>
        <w:rPr>
          <w:rFonts w:ascii="Liberation Serif" w:hAnsi="Liberation Serif"/>
          <w:b w:val="false"/>
          <w:i w:val="false"/>
          <w:caps w:val="false"/>
          <w:smallCaps w:val="false"/>
          <w:color w:val="434343"/>
          <w:spacing w:val="0"/>
          <w:sz w:val="24"/>
          <w:szCs w:val="24"/>
          <w:lang w:val="en-GB"/>
        </w:rPr>
        <w:t>To this point we have examined the vocabulary task at hand. If we now turn to the grammar, we can see a similarly massive task ahead of our learners. These examples of the present perfect tense, in its various guises, mask various forms and cannot be seen in the same way words can be, as the tense is abstract which makes it even harder to acquire.</w:t>
      </w:r>
    </w:p>
    <w:p>
      <w:pPr>
        <w:pStyle w:val="TextBody"/>
        <w:widowControl/>
        <w:bidi w:val="0"/>
        <w:spacing w:lineRule="auto" w:line="360"/>
        <w:ind w:left="1134" w:right="1134" w:hanging="0"/>
        <w:jc w:val="left"/>
        <w:rPr>
          <w:rFonts w:ascii="Liberation Serif" w:hAnsi="Liberation Serif"/>
          <w:caps w:val="false"/>
          <w:smallCaps w:val="false"/>
          <w:color w:val="434343"/>
          <w:spacing w:val="0"/>
          <w:sz w:val="24"/>
          <w:szCs w:val="24"/>
        </w:rPr>
      </w:pPr>
      <w:r>
        <w:rPr>
          <w:rFonts w:ascii="Liberation Serif" w:hAnsi="Liberation Serif"/>
          <w:caps w:val="false"/>
          <w:smallCaps w:val="false"/>
          <w:color w:val="434343"/>
          <w:spacing w:val="0"/>
          <w:sz w:val="24"/>
          <w:szCs w:val="24"/>
        </w:rPr>
        <w:t> </w:t>
      </w:r>
      <w:r>
        <w:rPr>
          <w:rFonts w:ascii="Liberation Serif" w:hAnsi="Liberation Serif"/>
          <w:b w:val="false"/>
          <w:i w:val="false"/>
          <w:caps w:val="false"/>
          <w:smallCaps w:val="false"/>
          <w:color w:val="434343"/>
          <w:spacing w:val="0"/>
          <w:sz w:val="24"/>
          <w:szCs w:val="24"/>
          <w:lang w:val="en-GB"/>
        </w:rPr>
        <w:t>A government committee </w:t>
      </w:r>
      <w:r>
        <w:rPr>
          <w:rFonts w:ascii="Liberation Serif" w:hAnsi="Liberation Serif"/>
          <w:b w:val="false"/>
          <w:i/>
          <w:caps w:val="false"/>
          <w:smallCaps w:val="false"/>
          <w:color w:val="434343"/>
          <w:spacing w:val="0"/>
          <w:sz w:val="24"/>
          <w:szCs w:val="24"/>
          <w:lang w:val="en-GB"/>
        </w:rPr>
        <w:t>has been created</w:t>
      </w:r>
      <w:r>
        <w:rPr>
          <w:rFonts w:ascii="Liberation Serif" w:hAnsi="Liberation Serif"/>
          <w:b w:val="false"/>
          <w:i w:val="false"/>
          <w:caps w:val="false"/>
          <w:smallCaps w:val="false"/>
          <w:color w:val="434343"/>
          <w:spacing w:val="0"/>
          <w:sz w:val="24"/>
          <w:szCs w:val="24"/>
          <w:lang w:val="en-GB"/>
        </w:rPr>
        <w:t> to …</w:t>
      </w:r>
    </w:p>
    <w:p>
      <w:pPr>
        <w:pStyle w:val="TextBody"/>
        <w:widowControl/>
        <w:bidi w:val="0"/>
        <w:spacing w:lineRule="auto" w:line="360"/>
        <w:ind w:left="1134" w:right="1134" w:hanging="0"/>
        <w:jc w:val="left"/>
        <w:rPr>
          <w:rFonts w:ascii="Liberation Serif" w:hAnsi="Liberation Serif"/>
          <w:b w:val="false"/>
          <w:i w:val="false"/>
          <w:caps w:val="false"/>
          <w:smallCaps w:val="false"/>
          <w:color w:val="434343"/>
          <w:spacing w:val="0"/>
          <w:sz w:val="24"/>
          <w:szCs w:val="24"/>
          <w:lang w:val="en-GB"/>
        </w:rPr>
      </w:pPr>
      <w:r>
        <w:rPr>
          <w:rFonts w:ascii="Liberation Serif" w:hAnsi="Liberation Serif"/>
          <w:b w:val="false"/>
          <w:i w:val="false"/>
          <w:caps w:val="false"/>
          <w:smallCaps w:val="false"/>
          <w:color w:val="434343"/>
          <w:spacing w:val="0"/>
          <w:sz w:val="24"/>
          <w:szCs w:val="24"/>
          <w:lang w:val="en-GB"/>
        </w:rPr>
        <w:t>He </w:t>
      </w:r>
      <w:r>
        <w:rPr>
          <w:rFonts w:ascii="Liberation Serif" w:hAnsi="Liberation Serif"/>
          <w:b w:val="false"/>
          <w:i/>
          <w:caps w:val="false"/>
          <w:smallCaps w:val="false"/>
          <w:color w:val="434343"/>
          <w:spacing w:val="0"/>
          <w:sz w:val="24"/>
          <w:szCs w:val="24"/>
          <w:lang w:val="en-GB"/>
        </w:rPr>
        <w:t>hasn’t see</w:t>
      </w:r>
      <w:r>
        <w:rPr>
          <w:rFonts w:ascii="Liberation Serif" w:hAnsi="Liberation Serif"/>
          <w:b w:val="false"/>
          <w:i w:val="false"/>
          <w:caps w:val="false"/>
          <w:smallCaps w:val="false"/>
          <w:color w:val="434343"/>
          <w:spacing w:val="0"/>
          <w:sz w:val="24"/>
          <w:szCs w:val="24"/>
          <w:lang w:val="en-GB"/>
        </w:rPr>
        <w:t>n her for a while.</w:t>
      </w:r>
    </w:p>
    <w:p>
      <w:pPr>
        <w:pStyle w:val="TextBody"/>
        <w:widowControl/>
        <w:bidi w:val="0"/>
        <w:spacing w:lineRule="auto" w:line="360"/>
        <w:ind w:left="1134" w:right="1134" w:hanging="0"/>
        <w:jc w:val="left"/>
        <w:rPr>
          <w:rFonts w:ascii="Liberation Serif" w:hAnsi="Liberation Serif"/>
          <w:b w:val="false"/>
          <w:i w:val="false"/>
          <w:caps w:val="false"/>
          <w:smallCaps w:val="false"/>
          <w:color w:val="434343"/>
          <w:spacing w:val="0"/>
          <w:sz w:val="24"/>
          <w:szCs w:val="24"/>
          <w:lang w:val="en-GB"/>
        </w:rPr>
      </w:pPr>
      <w:r>
        <w:rPr>
          <w:rFonts w:ascii="Liberation Serif" w:hAnsi="Liberation Serif"/>
          <w:b w:val="false"/>
          <w:i w:val="false"/>
          <w:caps w:val="false"/>
          <w:smallCaps w:val="false"/>
          <w:color w:val="434343"/>
          <w:spacing w:val="0"/>
          <w:sz w:val="24"/>
          <w:szCs w:val="24"/>
          <w:lang w:val="en-GB"/>
        </w:rPr>
        <w:t>Why </w:t>
      </w:r>
      <w:r>
        <w:rPr>
          <w:rFonts w:ascii="Liberation Serif" w:hAnsi="Liberation Serif"/>
          <w:b w:val="false"/>
          <w:i/>
          <w:caps w:val="false"/>
          <w:smallCaps w:val="false"/>
          <w:color w:val="434343"/>
          <w:spacing w:val="0"/>
          <w:sz w:val="24"/>
          <w:szCs w:val="24"/>
          <w:lang w:val="en-GB"/>
        </w:rPr>
        <w:t>haven’t</w:t>
      </w:r>
      <w:r>
        <w:rPr>
          <w:rFonts w:ascii="Liberation Serif" w:hAnsi="Liberation Serif"/>
          <w:b w:val="false"/>
          <w:i w:val="false"/>
          <w:caps w:val="false"/>
          <w:smallCaps w:val="false"/>
          <w:color w:val="434343"/>
          <w:spacing w:val="0"/>
          <w:sz w:val="24"/>
          <w:szCs w:val="24"/>
          <w:lang w:val="en-GB"/>
        </w:rPr>
        <w:t> you </w:t>
      </w:r>
      <w:r>
        <w:rPr>
          <w:rFonts w:ascii="Liberation Serif" w:hAnsi="Liberation Serif"/>
          <w:b w:val="false"/>
          <w:i/>
          <w:caps w:val="false"/>
          <w:smallCaps w:val="false"/>
          <w:color w:val="434343"/>
          <w:spacing w:val="0"/>
          <w:sz w:val="24"/>
          <w:szCs w:val="24"/>
          <w:lang w:val="en-GB"/>
        </w:rPr>
        <w:t>been doing</w:t>
      </w:r>
      <w:r>
        <w:rPr>
          <w:rFonts w:ascii="Liberation Serif" w:hAnsi="Liberation Serif"/>
          <w:b w:val="false"/>
          <w:i w:val="false"/>
          <w:caps w:val="false"/>
          <w:smallCaps w:val="false"/>
          <w:color w:val="434343"/>
          <w:spacing w:val="0"/>
          <w:sz w:val="24"/>
          <w:szCs w:val="24"/>
          <w:lang w:val="en-GB"/>
        </w:rPr>
        <w:t> your homework?</w:t>
      </w:r>
    </w:p>
    <w:p>
      <w:pPr>
        <w:pStyle w:val="TextBody"/>
        <w:widowControl/>
        <w:bidi w:val="0"/>
        <w:spacing w:lineRule="auto" w:line="360"/>
        <w:ind w:left="1134" w:right="1134" w:hanging="0"/>
        <w:jc w:val="left"/>
        <w:rPr>
          <w:rFonts w:ascii="Liberation Serif" w:hAnsi="Liberation Serif"/>
          <w:b w:val="false"/>
          <w:i w:val="false"/>
          <w:caps w:val="false"/>
          <w:smallCaps w:val="false"/>
          <w:color w:val="434343"/>
          <w:spacing w:val="0"/>
          <w:sz w:val="24"/>
          <w:szCs w:val="24"/>
          <w:lang w:val="en-GB"/>
        </w:rPr>
      </w:pPr>
      <w:r>
        <w:rPr>
          <w:rFonts w:ascii="Liberation Serif" w:hAnsi="Liberation Serif"/>
          <w:b w:val="false"/>
          <w:i w:val="false"/>
          <w:caps w:val="false"/>
          <w:smallCaps w:val="false"/>
          <w:color w:val="434343"/>
          <w:spacing w:val="0"/>
          <w:sz w:val="24"/>
          <w:szCs w:val="24"/>
          <w:lang w:val="en-GB"/>
        </w:rPr>
        <w:t>There’</w:t>
      </w:r>
      <w:r>
        <w:rPr>
          <w:rFonts w:ascii="Liberation Serif" w:hAnsi="Liberation Serif"/>
          <w:b w:val="false"/>
          <w:i/>
          <w:caps w:val="false"/>
          <w:smallCaps w:val="false"/>
          <w:color w:val="434343"/>
          <w:spacing w:val="0"/>
          <w:sz w:val="24"/>
          <w:szCs w:val="24"/>
          <w:lang w:val="en-GB"/>
        </w:rPr>
        <w:t>s been</w:t>
      </w:r>
      <w:r>
        <w:rPr>
          <w:rFonts w:ascii="Liberation Serif" w:hAnsi="Liberation Serif"/>
          <w:b w:val="false"/>
          <w:i w:val="false"/>
          <w:caps w:val="false"/>
          <w:smallCaps w:val="false"/>
          <w:color w:val="434343"/>
          <w:spacing w:val="0"/>
          <w:sz w:val="24"/>
          <w:szCs w:val="24"/>
          <w:lang w:val="en-GB"/>
        </w:rPr>
        <w:t> a big accident in Market Street.</w:t>
      </w:r>
    </w:p>
    <w:p>
      <w:pPr>
        <w:pStyle w:val="TextBody"/>
        <w:widowControl/>
        <w:bidi w:val="0"/>
        <w:spacing w:lineRule="auto" w:line="360"/>
        <w:ind w:left="1134" w:right="1134" w:hanging="0"/>
        <w:jc w:val="left"/>
        <w:rPr>
          <w:rFonts w:ascii="Liberation Serif" w:hAnsi="Liberation Serif"/>
          <w:b w:val="false"/>
          <w:i w:val="false"/>
          <w:caps w:val="false"/>
          <w:smallCaps w:val="false"/>
          <w:color w:val="434343"/>
          <w:spacing w:val="0"/>
          <w:sz w:val="24"/>
          <w:szCs w:val="24"/>
        </w:rPr>
      </w:pPr>
      <w:r>
        <w:rPr>
          <w:rFonts w:ascii="Liberation Serif" w:hAnsi="Liberation Serif"/>
          <w:b w:val="false"/>
          <w:i/>
          <w:caps w:val="false"/>
          <w:smallCaps w:val="false"/>
          <w:color w:val="434343"/>
          <w:spacing w:val="0"/>
          <w:sz w:val="24"/>
          <w:szCs w:val="24"/>
          <w:lang w:val="en-GB"/>
        </w:rPr>
        <w:t>Have you </w:t>
      </w:r>
      <w:r>
        <w:rPr>
          <w:rFonts w:ascii="Liberation Serif" w:hAnsi="Liberation Serif"/>
          <w:b w:val="false"/>
          <w:i w:val="false"/>
          <w:caps w:val="false"/>
          <w:smallCaps w:val="false"/>
          <w:color w:val="434343"/>
          <w:spacing w:val="0"/>
          <w:sz w:val="24"/>
          <w:szCs w:val="24"/>
          <w:lang w:val="en-GB"/>
        </w:rPr>
        <w:t>ever </w:t>
      </w:r>
      <w:r>
        <w:rPr>
          <w:rFonts w:ascii="Liberation Serif" w:hAnsi="Liberation Serif"/>
          <w:b w:val="false"/>
          <w:i/>
          <w:caps w:val="false"/>
          <w:smallCaps w:val="false"/>
          <w:color w:val="434343"/>
          <w:spacing w:val="0"/>
          <w:sz w:val="24"/>
          <w:szCs w:val="24"/>
          <w:lang w:val="en-GB"/>
        </w:rPr>
        <w:t>eaten</w:t>
      </w:r>
      <w:r>
        <w:rPr>
          <w:rFonts w:ascii="Liberation Serif" w:hAnsi="Liberation Serif"/>
          <w:b w:val="false"/>
          <w:i w:val="false"/>
          <w:caps w:val="false"/>
          <w:smallCaps w:val="false"/>
          <w:color w:val="434343"/>
          <w:spacing w:val="0"/>
          <w:sz w:val="24"/>
          <w:szCs w:val="24"/>
          <w:lang w:val="en-GB"/>
        </w:rPr>
        <w:t> snails?</w:t>
      </w:r>
    </w:p>
    <w:p>
      <w:pPr>
        <w:pStyle w:val="TextBody"/>
        <w:widowControl/>
        <w:bidi w:val="0"/>
        <w:spacing w:lineRule="auto" w:line="360"/>
        <w:ind w:left="0" w:right="0" w:hanging="0"/>
        <w:jc w:val="left"/>
        <w:rPr>
          <w:rFonts w:ascii="Liberation Serif" w:hAnsi="Liberation Serif"/>
          <w:b w:val="false"/>
          <w:i w:val="false"/>
          <w:caps w:val="false"/>
          <w:smallCaps w:val="false"/>
          <w:color w:val="434343"/>
          <w:spacing w:val="0"/>
          <w:sz w:val="24"/>
          <w:szCs w:val="24"/>
          <w:lang w:val="en-GB"/>
        </w:rPr>
      </w:pPr>
      <w:r>
        <w:rPr>
          <w:rFonts w:ascii="Liberation Serif" w:hAnsi="Liberation Serif"/>
          <w:b w:val="false"/>
          <w:i w:val="false"/>
          <w:caps w:val="false"/>
          <w:smallCaps w:val="false"/>
          <w:color w:val="434343"/>
          <w:spacing w:val="0"/>
          <w:sz w:val="24"/>
          <w:szCs w:val="24"/>
          <w:lang w:val="en-GB"/>
        </w:rPr>
        <w:t>The tense appears with differing subjects and objects, as both </w:t>
      </w:r>
      <w:r>
        <w:rPr>
          <w:rFonts w:ascii="Liberation Serif" w:hAnsi="Liberation Serif"/>
          <w:b w:val="false"/>
          <w:i/>
          <w:caps w:val="false"/>
          <w:smallCaps w:val="false"/>
          <w:color w:val="434343"/>
          <w:spacing w:val="0"/>
          <w:sz w:val="24"/>
          <w:szCs w:val="24"/>
          <w:lang w:val="en-GB"/>
        </w:rPr>
        <w:t>yes/no</w:t>
      </w:r>
      <w:r>
        <w:rPr>
          <w:rFonts w:ascii="Liberation Serif" w:hAnsi="Liberation Serif"/>
          <w:b w:val="false"/>
          <w:i w:val="false"/>
          <w:caps w:val="false"/>
          <w:smallCaps w:val="false"/>
          <w:color w:val="434343"/>
          <w:spacing w:val="0"/>
          <w:sz w:val="24"/>
          <w:szCs w:val="24"/>
          <w:lang w:val="en-GB"/>
        </w:rPr>
        <w:t> and </w:t>
      </w:r>
      <w:r>
        <w:rPr>
          <w:rFonts w:ascii="Liberation Serif" w:hAnsi="Liberation Serif"/>
          <w:b w:val="false"/>
          <w:i/>
          <w:caps w:val="false"/>
          <w:smallCaps w:val="false"/>
          <w:color w:val="434343"/>
          <w:spacing w:val="0"/>
          <w:sz w:val="24"/>
          <w:szCs w:val="24"/>
          <w:lang w:val="en-GB"/>
        </w:rPr>
        <w:t>wh-</w:t>
      </w:r>
      <w:r>
        <w:rPr>
          <w:rFonts w:ascii="Liberation Serif" w:hAnsi="Liberation Serif"/>
          <w:b w:val="false"/>
          <w:i w:val="false"/>
          <w:caps w:val="false"/>
          <w:smallCaps w:val="false"/>
          <w:color w:val="434343"/>
          <w:spacing w:val="0"/>
          <w:sz w:val="24"/>
          <w:szCs w:val="24"/>
          <w:lang w:val="en-GB"/>
        </w:rPr>
        <w:t> question forms, in the negative as well as declarative. It can be active or passive, continuous or simple, with </w:t>
      </w:r>
      <w:r>
        <w:rPr>
          <w:rFonts w:ascii="Liberation Serif" w:hAnsi="Liberation Serif"/>
          <w:b w:val="false"/>
          <w:i/>
          <w:caps w:val="false"/>
          <w:smallCaps w:val="false"/>
          <w:color w:val="434343"/>
          <w:spacing w:val="0"/>
          <w:sz w:val="24"/>
          <w:szCs w:val="24"/>
          <w:lang w:val="en-GB"/>
        </w:rPr>
        <w:t>have</w:t>
      </w:r>
      <w:r>
        <w:rPr>
          <w:rFonts w:ascii="Liberation Serif" w:hAnsi="Liberation Serif"/>
          <w:b w:val="false"/>
          <w:i w:val="false"/>
          <w:caps w:val="false"/>
          <w:smallCaps w:val="false"/>
          <w:color w:val="434343"/>
          <w:spacing w:val="0"/>
          <w:sz w:val="24"/>
          <w:szCs w:val="24"/>
          <w:lang w:val="en-GB"/>
        </w:rPr>
        <w:t> or </w:t>
      </w:r>
      <w:r>
        <w:rPr>
          <w:rFonts w:ascii="Liberation Serif" w:hAnsi="Liberation Serif"/>
          <w:b w:val="false"/>
          <w:i/>
          <w:caps w:val="false"/>
          <w:smallCaps w:val="false"/>
          <w:color w:val="434343"/>
          <w:spacing w:val="0"/>
          <w:sz w:val="24"/>
          <w:szCs w:val="24"/>
          <w:lang w:val="en-GB"/>
        </w:rPr>
        <w:t>has</w:t>
      </w:r>
      <w:r>
        <w:rPr>
          <w:rFonts w:ascii="Liberation Serif" w:hAnsi="Liberation Serif"/>
          <w:b w:val="false"/>
          <w:i w:val="false"/>
          <w:caps w:val="false"/>
          <w:smallCaps w:val="false"/>
          <w:color w:val="434343"/>
          <w:spacing w:val="0"/>
          <w:sz w:val="24"/>
          <w:szCs w:val="24"/>
          <w:lang w:val="en-GB"/>
        </w:rPr>
        <w:t> and that does not count the myriad regular and irregular past participle forms and the short answer forms. There are about 75 different possible variations of the </w:t>
      </w:r>
      <w:r>
        <w:rPr>
          <w:rFonts w:ascii="Liberation Serif" w:hAnsi="Liberation Serif"/>
          <w:b w:val="false"/>
          <w:i/>
          <w:caps w:val="false"/>
          <w:smallCaps w:val="false"/>
          <w:color w:val="434343"/>
          <w:spacing w:val="0"/>
          <w:sz w:val="24"/>
          <w:szCs w:val="24"/>
          <w:lang w:val="en-GB"/>
        </w:rPr>
        <w:t>form</w:t>
      </w:r>
      <w:r>
        <w:rPr>
          <w:rFonts w:ascii="Liberation Serif" w:hAnsi="Liberation Serif"/>
          <w:b w:val="false"/>
          <w:i w:val="false"/>
          <w:caps w:val="false"/>
          <w:smallCaps w:val="false"/>
          <w:color w:val="434343"/>
          <w:spacing w:val="0"/>
          <w:sz w:val="24"/>
          <w:szCs w:val="24"/>
          <w:lang w:val="en-GB"/>
        </w:rPr>
        <w:t> of the present perfect tense – and that does not count the different uses such as present perfect for experiences (</w:t>
      </w:r>
      <w:r>
        <w:rPr>
          <w:rFonts w:ascii="Liberation Serif" w:hAnsi="Liberation Serif"/>
          <w:b w:val="false"/>
          <w:i/>
          <w:caps w:val="false"/>
          <w:smallCaps w:val="false"/>
          <w:color w:val="434343"/>
          <w:spacing w:val="0"/>
          <w:sz w:val="24"/>
          <w:szCs w:val="24"/>
          <w:lang w:val="en-GB"/>
        </w:rPr>
        <w:t>I’ve been to Paris</w:t>
      </w:r>
      <w:r>
        <w:rPr>
          <w:rFonts w:ascii="Liberation Serif" w:hAnsi="Liberation Serif"/>
          <w:b w:val="false"/>
          <w:i w:val="false"/>
          <w:caps w:val="false"/>
          <w:smallCaps w:val="false"/>
          <w:color w:val="434343"/>
          <w:spacing w:val="0"/>
          <w:sz w:val="24"/>
          <w:szCs w:val="24"/>
          <w:lang w:val="en-GB"/>
        </w:rPr>
        <w:t>), present perfect for recent news (</w:t>
      </w:r>
      <w:r>
        <w:rPr>
          <w:rFonts w:ascii="Liberation Serif" w:hAnsi="Liberation Serif"/>
          <w:b w:val="false"/>
          <w:i/>
          <w:caps w:val="false"/>
          <w:smallCaps w:val="false"/>
          <w:color w:val="434343"/>
          <w:spacing w:val="0"/>
          <w:sz w:val="24"/>
          <w:szCs w:val="24"/>
          <w:lang w:val="en-GB"/>
        </w:rPr>
        <w:t>He’s got a new car</w:t>
      </w:r>
      <w:r>
        <w:rPr>
          <w:rFonts w:ascii="Liberation Serif" w:hAnsi="Liberation Serif"/>
          <w:b w:val="false"/>
          <w:i w:val="false"/>
          <w:caps w:val="false"/>
          <w:smallCaps w:val="false"/>
          <w:color w:val="434343"/>
          <w:spacing w:val="0"/>
          <w:sz w:val="24"/>
          <w:szCs w:val="24"/>
          <w:lang w:val="en-GB"/>
        </w:rPr>
        <w:t>); or present perfect for recently completed events (</w:t>
      </w:r>
      <w:r>
        <w:rPr>
          <w:rFonts w:ascii="Liberation Serif" w:hAnsi="Liberation Serif"/>
          <w:b w:val="false"/>
          <w:i/>
          <w:caps w:val="false"/>
          <w:smallCaps w:val="false"/>
          <w:color w:val="434343"/>
          <w:spacing w:val="0"/>
          <w:sz w:val="24"/>
          <w:szCs w:val="24"/>
          <w:lang w:val="en-GB"/>
        </w:rPr>
        <w:t>He’s just finished dinner</w:t>
      </w:r>
      <w:r>
        <w:rPr>
          <w:rFonts w:ascii="Liberation Serif" w:hAnsi="Liberation Serif"/>
          <w:b w:val="false"/>
          <w:i w:val="false"/>
          <w:caps w:val="false"/>
          <w:smallCaps w:val="false"/>
          <w:color w:val="434343"/>
          <w:spacing w:val="0"/>
          <w:sz w:val="24"/>
          <w:szCs w:val="24"/>
          <w:lang w:val="en-GB"/>
        </w:rPr>
        <w:t>)! Nor does it count how the present perfect is different from say the past simple or past perfect tenses.</w:t>
      </w:r>
    </w:p>
    <w:p>
      <w:pPr>
        <w:pStyle w:val="TextBody"/>
        <w:widowControl/>
        <w:bidi w:val="0"/>
        <w:spacing w:lineRule="auto" w:line="360"/>
        <w:ind w:left="0" w:right="0" w:hanging="0"/>
        <w:jc w:val="left"/>
        <w:rPr>
          <w:rFonts w:ascii="Liberation Serif" w:hAnsi="Liberation Serif"/>
          <w:b w:val="false"/>
          <w:i w:val="false"/>
          <w:caps w:val="false"/>
          <w:smallCaps w:val="false"/>
          <w:color w:val="434343"/>
          <w:spacing w:val="0"/>
          <w:sz w:val="24"/>
          <w:szCs w:val="24"/>
          <w:lang w:val="en-GB"/>
        </w:rPr>
      </w:pPr>
      <w:r>
        <w:rPr>
          <w:rFonts w:ascii="Liberation Serif" w:hAnsi="Liberation Serif"/>
          <w:b w:val="false"/>
          <w:i w:val="false"/>
          <w:caps w:val="false"/>
          <w:smallCaps w:val="false"/>
          <w:color w:val="434343"/>
          <w:spacing w:val="0"/>
          <w:sz w:val="24"/>
          <w:szCs w:val="24"/>
          <w:lang w:val="en-GB"/>
        </w:rPr>
        <w:t>To be able to master the form, function and pragmatic information underlying the forms, let alone the different uses and nuances of the present perfect tense as well as learning how it differs from other tenses, must surely take thousands and thousands of meetings. One of the major problems facing the learning of say a tense is that syntax is abstract. Learners cannot </w:t>
      </w:r>
      <w:r>
        <w:rPr>
          <w:rFonts w:ascii="Liberation Serif" w:hAnsi="Liberation Serif"/>
          <w:b w:val="false"/>
          <w:i/>
          <w:caps w:val="false"/>
          <w:smallCaps w:val="false"/>
          <w:color w:val="434343"/>
          <w:spacing w:val="0"/>
          <w:sz w:val="24"/>
          <w:szCs w:val="24"/>
          <w:lang w:val="en-GB"/>
        </w:rPr>
        <w:t>see</w:t>
      </w:r>
      <w:r>
        <w:rPr>
          <w:rFonts w:ascii="Liberation Serif" w:hAnsi="Liberation Serif"/>
          <w:b w:val="false"/>
          <w:i w:val="false"/>
          <w:caps w:val="false"/>
          <w:smallCaps w:val="false"/>
          <w:color w:val="434343"/>
          <w:spacing w:val="0"/>
          <w:sz w:val="24"/>
          <w:szCs w:val="24"/>
          <w:lang w:val="en-GB"/>
        </w:rPr>
        <w:t> the present perfect tense (or indeed any syntactic feature) as they always come with different verbs and subjects. The example sentences above are all the present perfect tense but are hiding in passive and active forms, and inside the verbs </w:t>
      </w:r>
      <w:r>
        <w:rPr>
          <w:rFonts w:ascii="Liberation Serif" w:hAnsi="Liberation Serif"/>
          <w:b w:val="false"/>
          <w:i/>
          <w:caps w:val="false"/>
          <w:smallCaps w:val="false"/>
          <w:color w:val="434343"/>
          <w:spacing w:val="0"/>
          <w:sz w:val="24"/>
          <w:szCs w:val="24"/>
          <w:lang w:val="en-GB"/>
        </w:rPr>
        <w:t>create</w:t>
      </w:r>
      <w:r>
        <w:rPr>
          <w:rFonts w:ascii="Liberation Serif" w:hAnsi="Liberation Serif"/>
          <w:b w:val="false"/>
          <w:i w:val="false"/>
          <w:caps w:val="false"/>
          <w:smallCaps w:val="false"/>
          <w:color w:val="434343"/>
          <w:spacing w:val="0"/>
          <w:sz w:val="24"/>
          <w:szCs w:val="24"/>
          <w:lang w:val="en-GB"/>
        </w:rPr>
        <w:t>, </w:t>
      </w:r>
      <w:r>
        <w:rPr>
          <w:rFonts w:ascii="Liberation Serif" w:hAnsi="Liberation Serif"/>
          <w:b w:val="false"/>
          <w:i/>
          <w:caps w:val="false"/>
          <w:smallCaps w:val="false"/>
          <w:color w:val="434343"/>
          <w:spacing w:val="0"/>
          <w:sz w:val="24"/>
          <w:szCs w:val="24"/>
          <w:lang w:val="en-GB"/>
        </w:rPr>
        <w:t>see</w:t>
      </w:r>
      <w:r>
        <w:rPr>
          <w:rFonts w:ascii="Liberation Serif" w:hAnsi="Liberation Serif"/>
          <w:b w:val="false"/>
          <w:i w:val="false"/>
          <w:caps w:val="false"/>
          <w:smallCaps w:val="false"/>
          <w:color w:val="434343"/>
          <w:spacing w:val="0"/>
          <w:sz w:val="24"/>
          <w:szCs w:val="24"/>
          <w:lang w:val="en-GB"/>
        </w:rPr>
        <w:t>, </w:t>
      </w:r>
      <w:r>
        <w:rPr>
          <w:rFonts w:ascii="Liberation Serif" w:hAnsi="Liberation Serif"/>
          <w:b w:val="false"/>
          <w:i/>
          <w:caps w:val="false"/>
          <w:smallCaps w:val="false"/>
          <w:color w:val="434343"/>
          <w:spacing w:val="0"/>
          <w:sz w:val="24"/>
          <w:szCs w:val="24"/>
          <w:lang w:val="en-GB"/>
        </w:rPr>
        <w:t>be</w:t>
      </w:r>
      <w:r>
        <w:rPr>
          <w:rFonts w:ascii="Liberation Serif" w:hAnsi="Liberation Serif"/>
          <w:b w:val="false"/>
          <w:i w:val="false"/>
          <w:caps w:val="false"/>
          <w:smallCaps w:val="false"/>
          <w:color w:val="434343"/>
          <w:spacing w:val="0"/>
          <w:sz w:val="24"/>
          <w:szCs w:val="24"/>
          <w:lang w:val="en-GB"/>
        </w:rPr>
        <w:t>, </w:t>
      </w:r>
      <w:r>
        <w:rPr>
          <w:rFonts w:ascii="Liberation Serif" w:hAnsi="Liberation Serif"/>
          <w:b w:val="false"/>
          <w:i/>
          <w:caps w:val="false"/>
          <w:smallCaps w:val="false"/>
          <w:color w:val="434343"/>
          <w:spacing w:val="0"/>
          <w:sz w:val="24"/>
          <w:szCs w:val="24"/>
          <w:lang w:val="en-GB"/>
        </w:rPr>
        <w:t>eat </w:t>
      </w:r>
      <w:r>
        <w:rPr>
          <w:rFonts w:ascii="Liberation Serif" w:hAnsi="Liberation Serif"/>
          <w:b w:val="false"/>
          <w:i w:val="false"/>
          <w:caps w:val="false"/>
          <w:smallCaps w:val="false"/>
          <w:color w:val="434343"/>
          <w:spacing w:val="0"/>
          <w:sz w:val="24"/>
          <w:szCs w:val="24"/>
          <w:lang w:val="en-GB"/>
        </w:rPr>
        <w:t>and so on. The abstract </w:t>
      </w:r>
      <w:r>
        <w:rPr>
          <w:rFonts w:ascii="Liberation Serif" w:hAnsi="Liberation Serif"/>
          <w:b w:val="false"/>
          <w:i/>
          <w:caps w:val="false"/>
          <w:smallCaps w:val="false"/>
          <w:color w:val="434343"/>
          <w:spacing w:val="0"/>
          <w:sz w:val="24"/>
          <w:szCs w:val="24"/>
          <w:lang w:val="en-GB"/>
        </w:rPr>
        <w:t>have (has) + past participle</w:t>
      </w:r>
      <w:r>
        <w:rPr>
          <w:rFonts w:ascii="Liberation Serif" w:hAnsi="Liberation Serif"/>
          <w:b w:val="false"/>
          <w:i w:val="false"/>
          <w:caps w:val="false"/>
          <w:smallCaps w:val="false"/>
          <w:color w:val="434343"/>
          <w:spacing w:val="0"/>
          <w:sz w:val="24"/>
          <w:szCs w:val="24"/>
          <w:lang w:val="en-GB"/>
        </w:rPr>
        <w:t> cannot be seen which makes the job that much harder and possibly requires meeting the tenses thousands of times before the learners become comfortable with it.</w:t>
      </w:r>
    </w:p>
    <w:p>
      <w:pPr>
        <w:pStyle w:val="TextBody"/>
        <w:widowControl/>
        <w:bidi w:val="0"/>
        <w:spacing w:lineRule="auto" w:line="360"/>
        <w:ind w:left="0" w:right="0" w:hanging="0"/>
        <w:jc w:val="left"/>
        <w:rPr>
          <w:rFonts w:ascii="Liberation Serif" w:hAnsi="Liberation Serif"/>
          <w:b w:val="false"/>
          <w:i w:val="false"/>
          <w:caps w:val="false"/>
          <w:smallCaps w:val="false"/>
          <w:color w:val="434343"/>
          <w:spacing w:val="0"/>
          <w:sz w:val="24"/>
          <w:szCs w:val="24"/>
          <w:lang w:val="en-GB"/>
        </w:rPr>
      </w:pPr>
      <w:r>
        <w:rPr>
          <w:rFonts w:ascii="Liberation Serif" w:hAnsi="Liberation Serif"/>
          <w:b w:val="false"/>
          <w:i w:val="false"/>
          <w:caps w:val="false"/>
          <w:smallCaps w:val="false"/>
          <w:color w:val="434343"/>
          <w:spacing w:val="0"/>
          <w:sz w:val="24"/>
          <w:szCs w:val="24"/>
          <w:lang w:val="en-GB"/>
        </w:rPr>
        <w:t>We have a fairly good idea about the uptake rates for words, but what about grammatical features? It is sad to say that after an exhaustive search for the uptake rates of grammatical features it appears that in the whole history of language research there is no data at all. None. This is amazing given that the vast majority of language courses taught today have a grammatical focus at least in part. How can we, as an industry, create courses and write learning materials without at least </w:t>
      </w:r>
      <w:r>
        <w:rPr>
          <w:rFonts w:ascii="Liberation Serif" w:hAnsi="Liberation Serif"/>
          <w:b w:val="false"/>
          <w:i/>
          <w:caps w:val="false"/>
          <w:smallCaps w:val="false"/>
          <w:color w:val="434343"/>
          <w:spacing w:val="0"/>
          <w:sz w:val="24"/>
          <w:szCs w:val="24"/>
          <w:lang w:val="en-GB"/>
        </w:rPr>
        <w:t>some</w:t>
      </w:r>
      <w:r>
        <w:rPr>
          <w:rFonts w:ascii="Liberation Serif" w:hAnsi="Liberation Serif"/>
          <w:b w:val="false"/>
          <w:i w:val="false"/>
          <w:caps w:val="false"/>
          <w:smallCaps w:val="false"/>
          <w:color w:val="434343"/>
          <w:spacing w:val="0"/>
          <w:sz w:val="24"/>
          <w:szCs w:val="24"/>
          <w:lang w:val="en-GB"/>
        </w:rPr>
        <w:t> idea of how frequently grammatical items need to be met for learning to occur? That said, it is clear that it typically takes several years after learners have been introduced to language features that they finally feel comfortable enough with them to start to use them at all, let alone correctly.</w:t>
      </w:r>
    </w:p>
    <w:p>
      <w:pPr>
        <w:pStyle w:val="Heading3"/>
        <w:bidi w:val="0"/>
        <w:spacing w:lineRule="auto" w:line="360"/>
        <w:jc w:val="left"/>
        <w:rPr>
          <w:rFonts w:ascii="Liberation Serif" w:hAnsi="Liberation Serif"/>
        </w:rPr>
      </w:pPr>
      <w:r>
        <w:rPr>
          <w:rFonts w:ascii="Liberation Serif" w:hAnsi="Liberation Serif"/>
        </w:rPr>
        <w:t>2. Is there a case for intentional learning?</w:t>
      </w:r>
    </w:p>
    <w:p>
      <w:pPr>
        <w:pStyle w:val="TextBody"/>
        <w:widowControl/>
        <w:bidi w:val="0"/>
        <w:spacing w:lineRule="auto" w:line="360"/>
        <w:ind w:left="0" w:right="0" w:hanging="0"/>
        <w:jc w:val="left"/>
        <w:rPr>
          <w:rFonts w:ascii="Liberation Serif" w:hAnsi="Liberation Serif"/>
          <w:b w:val="false"/>
          <w:i w:val="false"/>
          <w:caps w:val="false"/>
          <w:smallCaps w:val="false"/>
          <w:color w:val="434343"/>
          <w:spacing w:val="0"/>
          <w:sz w:val="24"/>
          <w:szCs w:val="24"/>
          <w:lang w:val="en-GB"/>
        </w:rPr>
      </w:pPr>
      <w:r>
        <w:rPr>
          <w:rFonts w:ascii="Liberation Serif" w:hAnsi="Liberation Serif"/>
          <w:b w:val="false"/>
          <w:i w:val="false"/>
          <w:caps w:val="false"/>
          <w:smallCaps w:val="false"/>
          <w:color w:val="434343"/>
          <w:spacing w:val="0"/>
          <w:sz w:val="24"/>
          <w:szCs w:val="24"/>
          <w:lang w:val="en-GB"/>
        </w:rPr>
        <w:t>The above would seem to be a damning indictment on the benefit of incidental learning from fluent reading because it could be said that the time expended on the reading might be more fruitfully spent on intentional learning. Statistically, Table 1 would suggest that as the learner’s ability increases, more words in the learners “partially-working vocabulary” (the words in the learners partially known set of words) shifts to more and more rare and less frequent words. This is because the highly frequent words (their “working vocabulary”) have already been learnt. It could be concluded that this time is “wasted” because a natural outcome of increased vocabulary knowledge is that it takes so much more time to meet words in the “partially-working vocabulary” or in one’s “unknown vocabulary”. To meet even one unknown, or partially known word might require the learner to read several thousand other, already known, words first which suggests intentional learning might be faster and more effective. Indeed, recent research (Nozaki 2007) has shown that direct and intentional learning of vocabulary is faster than from incidental learning (i.e. from reading). Nozaki used two groups in two conditions, in a rotated design. Both groups were given the same amount of time to learn the same words either from word cards or from an easy reading text. Nozaki found that the words met with word cards were learnt not only 16 times faster (words per hour of study), but were also retained longer than words learnt incidentally from reading.</w:t>
      </w:r>
    </w:p>
    <w:p>
      <w:pPr>
        <w:pStyle w:val="TextBody"/>
        <w:widowControl/>
        <w:bidi w:val="0"/>
        <w:spacing w:lineRule="auto" w:line="360"/>
        <w:ind w:left="0" w:right="0" w:hanging="0"/>
        <w:jc w:val="left"/>
        <w:rPr>
          <w:rFonts w:ascii="Liberation Serif" w:hAnsi="Liberation Serif"/>
          <w:b w:val="false"/>
          <w:i w:val="false"/>
          <w:caps w:val="false"/>
          <w:smallCaps w:val="false"/>
          <w:color w:val="434343"/>
          <w:spacing w:val="0"/>
          <w:sz w:val="24"/>
          <w:szCs w:val="24"/>
          <w:lang w:val="en-GB"/>
        </w:rPr>
      </w:pPr>
      <w:r>
        <w:rPr>
          <w:rFonts w:ascii="Liberation Serif" w:hAnsi="Liberation Serif"/>
          <w:b w:val="false"/>
          <w:i w:val="false"/>
          <w:caps w:val="false"/>
          <w:smallCaps w:val="false"/>
          <w:color w:val="434343"/>
          <w:spacing w:val="0"/>
          <w:sz w:val="24"/>
          <w:szCs w:val="24"/>
          <w:lang w:val="en-GB"/>
        </w:rPr>
        <w:t>Additionally, a case study of a learner in a study by Mukoyama (2004) showed that 30 minutes a day of learning Korean-Japanese word pairs for 30 days lead to 640 words being attempted and partially learnt. At the end of 30 days, 468 words were learnt (all the words were tested by L1-L2 translation) and two months later 395 words were still known, and at 7 months 310 words were retained all without any further meetings. These two studies together clearly show the power of intentional learning over incidental learning.</w:t>
      </w:r>
    </w:p>
    <w:p>
      <w:pPr>
        <w:pStyle w:val="TextBody"/>
        <w:widowControl/>
        <w:bidi w:val="0"/>
        <w:spacing w:lineRule="auto" w:line="360"/>
        <w:ind w:left="0" w:right="0" w:hanging="0"/>
        <w:jc w:val="left"/>
        <w:rPr>
          <w:rFonts w:ascii="Liberation Serif" w:hAnsi="Liberation Serif"/>
          <w:b w:val="false"/>
          <w:i w:val="false"/>
          <w:caps w:val="false"/>
          <w:smallCaps w:val="false"/>
          <w:color w:val="434343"/>
          <w:spacing w:val="0"/>
          <w:sz w:val="24"/>
          <w:szCs w:val="24"/>
          <w:lang w:val="en-GB"/>
        </w:rPr>
      </w:pPr>
      <w:r>
        <w:rPr>
          <w:rFonts w:ascii="Liberation Serif" w:hAnsi="Liberation Serif"/>
          <w:b w:val="false"/>
          <w:i w:val="false"/>
          <w:caps w:val="false"/>
          <w:smallCaps w:val="false"/>
          <w:color w:val="434343"/>
          <w:spacing w:val="0"/>
          <w:sz w:val="24"/>
          <w:szCs w:val="24"/>
          <w:lang w:val="en-GB"/>
        </w:rPr>
        <w:t>One might easily conclude from the above that we should not ask learners to learn vocabulary incidentally from reading, but rather adopt a systematic and intensive approach to direct vocabulary learning such as with word cards. One might even go further to conclude that by doing so, learners would not need to “waste” time reading, because they can learn faster from intentional learning and free up valuable class / learning time. However, this would be a grave mistake and a fundamentally flawed conclusion because language learning is far more complex than the extremely simplistic picture given above.</w:t>
      </w:r>
    </w:p>
    <w:p>
      <w:pPr>
        <w:pStyle w:val="TextBody"/>
        <w:widowControl/>
        <w:bidi w:val="0"/>
        <w:spacing w:lineRule="auto" w:line="360"/>
        <w:ind w:left="0" w:right="0" w:hanging="0"/>
        <w:jc w:val="left"/>
        <w:rPr>
          <w:rFonts w:ascii="Liberation Serif" w:hAnsi="Liberation Serif"/>
          <w:b w:val="false"/>
          <w:i w:val="false"/>
          <w:caps w:val="false"/>
          <w:smallCaps w:val="false"/>
          <w:color w:val="434343"/>
          <w:spacing w:val="0"/>
          <w:sz w:val="24"/>
          <w:szCs w:val="24"/>
          <w:lang w:val="en-GB"/>
        </w:rPr>
      </w:pPr>
      <w:r>
        <w:rPr>
          <w:rFonts w:ascii="Liberation Serif" w:hAnsi="Liberation Serif"/>
          <w:b w:val="false"/>
          <w:i w:val="false"/>
          <w:caps w:val="false"/>
          <w:smallCaps w:val="false"/>
          <w:color w:val="434343"/>
          <w:spacing w:val="0"/>
          <w:sz w:val="24"/>
          <w:szCs w:val="24"/>
          <w:lang w:val="en-GB"/>
        </w:rPr>
        <w:t>As has been mentioned, the above mentioned studies and the data in Table 1, define a “word” as a single meaning based on orthographic forms that a computer can understand and thus polysemous meanings, collocations and so forth were omitted which vastly underestimates the actual task at hand. To really know a word well, learners need to know not only meanings and spellings, but the nuances of its meanings, its register, whether it is more commonly used for speaking or writing, which discourse categories it is usually found in, as well as its collocations and colligations, among many other things. The above studies see words as single stand-alone objects rather than words that co-exist and are co-learnt (and forgotten) with other words. They vastly underestimate what might be learnt because they only look at a partial, though very important, picture of word learning – the learning of single meanings.</w:t>
      </w:r>
    </w:p>
    <w:p>
      <w:pPr>
        <w:pStyle w:val="TextBody"/>
        <w:widowControl/>
        <w:bidi w:val="0"/>
        <w:spacing w:lineRule="auto" w:line="360"/>
        <w:ind w:left="0" w:right="0" w:hanging="0"/>
        <w:jc w:val="left"/>
        <w:rPr>
          <w:rFonts w:ascii="Liberation Serif" w:hAnsi="Liberation Serif"/>
          <w:b w:val="false"/>
          <w:i w:val="false"/>
          <w:caps w:val="false"/>
          <w:smallCaps w:val="false"/>
          <w:color w:val="434343"/>
          <w:spacing w:val="0"/>
          <w:sz w:val="24"/>
          <w:szCs w:val="24"/>
          <w:lang w:val="en-GB"/>
        </w:rPr>
      </w:pPr>
      <w:r>
        <w:rPr>
          <w:rFonts w:ascii="Liberation Serif" w:hAnsi="Liberation Serif"/>
          <w:b w:val="false"/>
          <w:i w:val="false"/>
          <w:caps w:val="false"/>
          <w:smallCaps w:val="false"/>
          <w:color w:val="434343"/>
          <w:spacing w:val="0"/>
          <w:sz w:val="24"/>
          <w:szCs w:val="24"/>
          <w:lang w:val="en-GB"/>
        </w:rPr>
        <w:t>One might be tempted to suggest given the rather slow rate at which vocabulary is learnt from incidental reading, that the multiple meanings, colligations, collocations, register, pragmatic values and so forth could be learnt intentionally. While this may be possible in theory and even in practice, we have to then ask where is the material to do this with? Where are the books that systematically teach this “deeper” vocabulary knowledge and recycle it dozens or hundreds of times beyond the form-meaning relationship (collocation etc.) for even the 1000 most frequent words? A few books exist but do not even come close to more than random selection of a choice few collocations, whereas as we have seen, learners need vastly more. In short, these materials do not exist. Even if they did, it would take a monumental amount of motivation to plough through such books intentionally and I doubt few, if any, learners have this stamina.</w:t>
      </w:r>
    </w:p>
    <w:p>
      <w:pPr>
        <w:pStyle w:val="TextBody"/>
        <w:widowControl/>
        <w:bidi w:val="0"/>
        <w:spacing w:lineRule="auto" w:line="360"/>
        <w:ind w:left="0" w:right="0" w:hanging="0"/>
        <w:jc w:val="left"/>
        <w:rPr>
          <w:rFonts w:ascii="Liberation Serif" w:hAnsi="Liberation Serif"/>
          <w:b w:val="false"/>
          <w:i w:val="false"/>
          <w:caps w:val="false"/>
          <w:smallCaps w:val="false"/>
          <w:color w:val="434343"/>
          <w:spacing w:val="0"/>
          <w:sz w:val="24"/>
          <w:szCs w:val="24"/>
          <w:lang w:val="en-GB"/>
        </w:rPr>
      </w:pPr>
      <w:r>
        <w:rPr>
          <w:rFonts w:ascii="Liberation Serif" w:hAnsi="Liberation Serif"/>
          <w:b w:val="false"/>
          <w:i w:val="false"/>
          <w:caps w:val="false"/>
          <w:smallCaps w:val="false"/>
          <w:color w:val="434343"/>
          <w:spacing w:val="0"/>
          <w:sz w:val="24"/>
          <w:szCs w:val="24"/>
          <w:lang w:val="en-GB"/>
        </w:rPr>
        <w:t>Moreover, there are as yet no available data to tell us which collocations might be the most frequent and useful for which words and without these data we could not systematize the learning and teachers would be left to the </w:t>
      </w:r>
      <w:r>
        <w:rPr>
          <w:rFonts w:ascii="Liberation Serif" w:hAnsi="Liberation Serif"/>
          <w:b w:val="false"/>
          <w:i/>
          <w:caps w:val="false"/>
          <w:smallCaps w:val="false"/>
          <w:color w:val="434343"/>
          <w:spacing w:val="0"/>
          <w:sz w:val="24"/>
          <w:szCs w:val="24"/>
          <w:lang w:val="en-GB"/>
        </w:rPr>
        <w:t>ad hoc</w:t>
      </w:r>
      <w:r>
        <w:rPr>
          <w:rFonts w:ascii="Liberation Serif" w:hAnsi="Liberation Serif"/>
          <w:b w:val="false"/>
          <w:i w:val="false"/>
          <w:caps w:val="false"/>
          <w:smallCaps w:val="false"/>
          <w:color w:val="434343"/>
          <w:spacing w:val="0"/>
          <w:sz w:val="24"/>
          <w:szCs w:val="24"/>
          <w:lang w:val="en-GB"/>
        </w:rPr>
        <w:t> teaching of collocations. Moreover, there are simply far too many individual collocations for each word for learners to try to master intentionally and each collocation is far rarer than the words that it is made up of. For example, the word </w:t>
      </w:r>
      <w:r>
        <w:rPr>
          <w:rFonts w:ascii="Liberation Serif" w:hAnsi="Liberation Serif"/>
          <w:b w:val="false"/>
          <w:i/>
          <w:caps w:val="false"/>
          <w:smallCaps w:val="false"/>
          <w:color w:val="434343"/>
          <w:spacing w:val="0"/>
          <w:sz w:val="24"/>
          <w:szCs w:val="24"/>
          <w:lang w:val="en-GB"/>
        </w:rPr>
        <w:t>woman</w:t>
      </w:r>
      <w:r>
        <w:rPr>
          <w:rFonts w:ascii="Liberation Serif" w:hAnsi="Liberation Serif"/>
          <w:b w:val="false"/>
          <w:i w:val="false"/>
          <w:caps w:val="false"/>
          <w:smallCaps w:val="false"/>
          <w:color w:val="434343"/>
          <w:spacing w:val="0"/>
          <w:sz w:val="24"/>
          <w:szCs w:val="24"/>
          <w:lang w:val="en-GB"/>
        </w:rPr>
        <w:t> and </w:t>
      </w:r>
      <w:r>
        <w:rPr>
          <w:rFonts w:ascii="Liberation Serif" w:hAnsi="Liberation Serif"/>
          <w:b w:val="false"/>
          <w:i/>
          <w:caps w:val="false"/>
          <w:smallCaps w:val="false"/>
          <w:color w:val="434343"/>
          <w:spacing w:val="0"/>
          <w:sz w:val="24"/>
          <w:szCs w:val="24"/>
          <w:lang w:val="en-GB"/>
        </w:rPr>
        <w:t>beautiful</w:t>
      </w:r>
      <w:r>
        <w:rPr>
          <w:rFonts w:ascii="Liberation Serif" w:hAnsi="Liberation Serif"/>
          <w:b w:val="false"/>
          <w:i w:val="false"/>
          <w:caps w:val="false"/>
          <w:smallCaps w:val="false"/>
          <w:color w:val="434343"/>
          <w:spacing w:val="0"/>
          <w:sz w:val="24"/>
          <w:szCs w:val="24"/>
          <w:lang w:val="en-GB"/>
        </w:rPr>
        <w:t> occur hundreds of times more frequently with other words than as </w:t>
      </w:r>
      <w:r>
        <w:rPr>
          <w:rFonts w:ascii="Liberation Serif" w:hAnsi="Liberation Serif"/>
          <w:b w:val="false"/>
          <w:i/>
          <w:caps w:val="false"/>
          <w:smallCaps w:val="false"/>
          <w:color w:val="434343"/>
          <w:spacing w:val="0"/>
          <w:sz w:val="24"/>
          <w:szCs w:val="24"/>
          <w:lang w:val="en-GB"/>
        </w:rPr>
        <w:t>beautiful woman</w:t>
      </w:r>
      <w:r>
        <w:rPr>
          <w:rFonts w:ascii="Liberation Serif" w:hAnsi="Liberation Serif"/>
          <w:b w:val="false"/>
          <w:i w:val="false"/>
          <w:caps w:val="false"/>
          <w:smallCaps w:val="false"/>
          <w:color w:val="434343"/>
          <w:spacing w:val="0"/>
          <w:sz w:val="24"/>
          <w:szCs w:val="24"/>
          <w:lang w:val="en-GB"/>
        </w:rPr>
        <w:t> together</w:t>
      </w:r>
      <w:r>
        <w:rPr>
          <w:rFonts w:ascii="Liberation Serif" w:hAnsi="Liberation Serif"/>
          <w:b w:val="false"/>
          <w:i/>
          <w:caps w:val="false"/>
          <w:smallCaps w:val="false"/>
          <w:color w:val="434343"/>
          <w:spacing w:val="0"/>
          <w:sz w:val="24"/>
          <w:szCs w:val="24"/>
          <w:lang w:val="en-GB"/>
        </w:rPr>
        <w:t>.</w:t>
      </w:r>
      <w:r>
        <w:rPr>
          <w:rFonts w:ascii="Liberation Serif" w:hAnsi="Liberation Serif"/>
          <w:b w:val="false"/>
          <w:i w:val="false"/>
          <w:caps w:val="false"/>
          <w:smallCaps w:val="false"/>
          <w:color w:val="434343"/>
          <w:spacing w:val="0"/>
          <w:sz w:val="24"/>
          <w:szCs w:val="24"/>
          <w:lang w:val="en-GB"/>
        </w:rPr>
        <w:t> No course book could ever be written to encompass them all. This leaves the learner only one realistic option, which is to pick the vast majority of them up incidentally.</w:t>
      </w:r>
    </w:p>
    <w:p>
      <w:pPr>
        <w:pStyle w:val="Heading3"/>
        <w:bidi w:val="0"/>
        <w:spacing w:lineRule="auto" w:line="360"/>
        <w:jc w:val="left"/>
        <w:rPr>
          <w:rFonts w:ascii="Liberation Serif" w:hAnsi="Liberation Serif"/>
        </w:rPr>
      </w:pPr>
      <w:r>
        <w:rPr>
          <w:rFonts w:ascii="Liberation Serif" w:hAnsi="Liberation Serif"/>
        </w:rPr>
        <w:t>3. The structure of language courses</w:t>
      </w:r>
    </w:p>
    <w:p>
      <w:pPr>
        <w:pStyle w:val="TextBody"/>
        <w:widowControl/>
        <w:bidi w:val="0"/>
        <w:spacing w:lineRule="auto" w:line="360" w:before="114" w:after="254"/>
        <w:ind w:left="0" w:right="0" w:hanging="0"/>
        <w:jc w:val="left"/>
        <w:rPr>
          <w:rFonts w:ascii="Liberation Serif" w:hAnsi="Liberation Serif"/>
          <w:b w:val="false"/>
          <w:i w:val="false"/>
          <w:caps w:val="false"/>
          <w:smallCaps w:val="false"/>
          <w:color w:val="434343"/>
          <w:spacing w:val="0"/>
          <w:sz w:val="24"/>
        </w:rPr>
      </w:pPr>
      <w:r>
        <w:rPr>
          <w:rFonts w:ascii="Liberation Serif" w:hAnsi="Liberation Serif"/>
          <w:b w:val="false"/>
          <w:i w:val="false"/>
          <w:caps w:val="false"/>
          <w:smallCaps w:val="false"/>
          <w:color w:val="434343"/>
          <w:spacing w:val="0"/>
          <w:sz w:val="24"/>
          <w:szCs w:val="24"/>
          <w:lang w:val="en-GB"/>
        </w:rPr>
        <w:t>No learner has the time to methodically go through and learn all the above. No course  book, or course, can possibly hope to teach even a tiny fraction of them. There is too much to do. But our course books were not designed to teach all of this. Let us look at what course books and course typically </w:t>
      </w:r>
      <w:r>
        <w:rPr>
          <w:rFonts w:ascii="Liberation Serif" w:hAnsi="Liberation Serif"/>
          <w:b w:val="false"/>
          <w:i/>
          <w:caps w:val="false"/>
          <w:smallCaps w:val="false"/>
          <w:color w:val="434343"/>
          <w:spacing w:val="0"/>
          <w:sz w:val="24"/>
          <w:szCs w:val="24"/>
          <w:lang w:val="en-GB"/>
        </w:rPr>
        <w:t>are </w:t>
      </w:r>
      <w:r>
        <w:rPr>
          <w:rFonts w:ascii="Liberation Serif" w:hAnsi="Liberation Serif"/>
          <w:b w:val="false"/>
          <w:i w:val="false"/>
          <w:caps w:val="false"/>
          <w:smallCaps w:val="false"/>
          <w:color w:val="434343"/>
          <w:spacing w:val="0"/>
          <w:sz w:val="24"/>
          <w:szCs w:val="24"/>
          <w:lang w:val="en-GB"/>
        </w:rPr>
        <w:t>designed to do. Our course books concentrate on </w:t>
      </w:r>
      <w:r>
        <w:rPr>
          <w:rFonts w:ascii="Liberation Serif" w:hAnsi="Liberation Serif"/>
          <w:b w:val="false"/>
          <w:i/>
          <w:caps w:val="false"/>
          <w:smallCaps w:val="false"/>
          <w:color w:val="434343"/>
          <w:spacing w:val="0"/>
          <w:sz w:val="24"/>
          <w:szCs w:val="24"/>
          <w:lang w:val="en-GB"/>
        </w:rPr>
        <w:t>introducing</w:t>
      </w:r>
      <w:r>
        <w:rPr>
          <w:rFonts w:ascii="Liberation Serif" w:hAnsi="Liberation Serif"/>
          <w:b w:val="false"/>
          <w:i w:val="false"/>
          <w:caps w:val="false"/>
          <w:smallCaps w:val="false"/>
          <w:color w:val="434343"/>
          <w:spacing w:val="0"/>
          <w:sz w:val="24"/>
          <w:szCs w:val="24"/>
          <w:lang w:val="en-GB"/>
        </w:rPr>
        <w:t> new language items with each appearing in new units or lessons, with new topics all the time. For example, learners may meet copula </w:t>
      </w:r>
      <w:r>
        <w:rPr>
          <w:rFonts w:ascii="Liberation Serif" w:hAnsi="Liberation Serif"/>
          <w:b w:val="false"/>
          <w:i/>
          <w:caps w:val="false"/>
          <w:smallCaps w:val="false"/>
          <w:color w:val="434343"/>
          <w:spacing w:val="0"/>
          <w:sz w:val="24"/>
          <w:szCs w:val="24"/>
          <w:lang w:val="en-GB"/>
        </w:rPr>
        <w:t>be</w:t>
      </w:r>
      <w:r>
        <w:rPr>
          <w:rFonts w:ascii="Liberation Serif" w:hAnsi="Liberation Serif"/>
          <w:b w:val="false"/>
          <w:i w:val="false"/>
          <w:caps w:val="false"/>
          <w:smallCaps w:val="false"/>
          <w:color w:val="434343"/>
          <w:spacing w:val="0"/>
          <w:sz w:val="24"/>
          <w:szCs w:val="24"/>
          <w:lang w:val="en-GB"/>
        </w:rPr>
        <w:t> and jobs in Unit (or lesson) 1, and in Unit 2 they may meet the </w:t>
      </w:r>
      <w:r>
        <w:rPr>
          <w:rFonts w:ascii="Liberation Serif" w:hAnsi="Liberation Serif"/>
          <w:b w:val="false"/>
          <w:i/>
          <w:caps w:val="false"/>
          <w:smallCaps w:val="false"/>
          <w:color w:val="434343"/>
          <w:spacing w:val="0"/>
          <w:sz w:val="24"/>
          <w:szCs w:val="24"/>
          <w:lang w:val="en-GB"/>
        </w:rPr>
        <w:t>present simple tense</w:t>
      </w:r>
      <w:r>
        <w:rPr>
          <w:rFonts w:ascii="Liberation Serif" w:hAnsi="Liberation Serif"/>
          <w:b w:val="false"/>
          <w:i w:val="false"/>
          <w:caps w:val="false"/>
          <w:smallCaps w:val="false"/>
          <w:color w:val="434343"/>
          <w:spacing w:val="0"/>
          <w:sz w:val="24"/>
          <w:szCs w:val="24"/>
          <w:lang w:val="en-GB"/>
        </w:rPr>
        <w:t> and learn some words for simple actions (</w:t>
      </w:r>
      <w:r>
        <w:rPr>
          <w:rFonts w:ascii="Liberation Serif" w:hAnsi="Liberation Serif"/>
          <w:b w:val="false"/>
          <w:i/>
          <w:caps w:val="false"/>
          <w:smallCaps w:val="false"/>
          <w:color w:val="434343"/>
          <w:spacing w:val="0"/>
          <w:sz w:val="24"/>
          <w:szCs w:val="24"/>
          <w:lang w:val="en-GB"/>
        </w:rPr>
        <w:t>play</w:t>
      </w:r>
      <w:r>
        <w:rPr>
          <w:rFonts w:ascii="Liberation Serif" w:hAnsi="Liberation Serif"/>
          <w:b w:val="false"/>
          <w:i w:val="false"/>
          <w:caps w:val="false"/>
          <w:smallCaps w:val="false"/>
          <w:color w:val="434343"/>
          <w:spacing w:val="0"/>
          <w:sz w:val="24"/>
          <w:szCs w:val="24"/>
          <w:lang w:val="en-GB"/>
        </w:rPr>
        <w:t>, </w:t>
      </w:r>
      <w:r>
        <w:rPr>
          <w:rFonts w:ascii="Liberation Serif" w:hAnsi="Liberation Serif"/>
          <w:b w:val="false"/>
          <w:i/>
          <w:caps w:val="false"/>
          <w:smallCaps w:val="false"/>
          <w:color w:val="434343"/>
          <w:spacing w:val="0"/>
          <w:sz w:val="24"/>
          <w:szCs w:val="24"/>
          <w:lang w:val="en-GB"/>
        </w:rPr>
        <w:t>go</w:t>
      </w:r>
      <w:r>
        <w:rPr>
          <w:rFonts w:ascii="Liberation Serif" w:hAnsi="Liberation Serif"/>
          <w:b w:val="false"/>
          <w:i w:val="false"/>
          <w:caps w:val="false"/>
          <w:smallCaps w:val="false"/>
          <w:color w:val="434343"/>
          <w:spacing w:val="0"/>
          <w:sz w:val="24"/>
          <w:szCs w:val="24"/>
          <w:lang w:val="en-GB"/>
        </w:rPr>
        <w:t>, </w:t>
      </w:r>
      <w:r>
        <w:rPr>
          <w:rFonts w:ascii="Liberation Serif" w:hAnsi="Liberation Serif"/>
          <w:b w:val="false"/>
          <w:i/>
          <w:caps w:val="false"/>
          <w:smallCaps w:val="false"/>
          <w:color w:val="434343"/>
          <w:spacing w:val="0"/>
          <w:sz w:val="24"/>
          <w:szCs w:val="24"/>
          <w:lang w:val="en-GB"/>
        </w:rPr>
        <w:t>watch</w:t>
      </w:r>
      <w:r>
        <w:rPr>
          <w:rFonts w:ascii="Liberation Serif" w:hAnsi="Liberation Serif"/>
          <w:b w:val="false"/>
          <w:i w:val="false"/>
          <w:caps w:val="false"/>
          <w:smallCaps w:val="false"/>
          <w:color w:val="434343"/>
          <w:spacing w:val="0"/>
          <w:sz w:val="24"/>
          <w:szCs w:val="24"/>
          <w:lang w:val="en-GB"/>
        </w:rPr>
        <w:t>). In Unit 3 might come </w:t>
      </w:r>
      <w:r>
        <w:rPr>
          <w:rFonts w:ascii="Liberation Serif" w:hAnsi="Liberation Serif"/>
          <w:b w:val="false"/>
          <w:i w:val="false"/>
          <w:caps w:val="false"/>
          <w:smallCaps w:val="false"/>
          <w:color w:val="434343"/>
          <w:spacing w:val="0"/>
          <w:sz w:val="24"/>
          <w:szCs w:val="24"/>
        </w:rPr>
        <w:t>the present continuous </w:t>
      </w:r>
      <w:r>
        <w:rPr>
          <w:rFonts w:ascii="Liberation Serif" w:hAnsi="Liberation Serif"/>
          <w:b w:val="false"/>
          <w:i w:val="false"/>
          <w:caps w:val="false"/>
          <w:smallCaps w:val="false"/>
          <w:color w:val="434343"/>
          <w:spacing w:val="0"/>
          <w:sz w:val="24"/>
          <w:szCs w:val="24"/>
          <w:lang w:val="en-GB"/>
        </w:rPr>
        <w:t>and </w:t>
      </w:r>
      <w:r>
        <w:rPr>
          <w:rFonts w:ascii="Liberation Serif" w:hAnsi="Liberation Serif"/>
          <w:b w:val="false"/>
          <w:i w:val="false"/>
          <w:caps w:val="false"/>
          <w:smallCaps w:val="false"/>
          <w:color w:val="434343"/>
          <w:spacing w:val="0"/>
          <w:sz w:val="24"/>
          <w:szCs w:val="24"/>
        </w:rPr>
        <w:t>sporting activities</w:t>
      </w:r>
      <w:r>
        <w:rPr>
          <w:rFonts w:ascii="Liberation Serif" w:hAnsi="Liberation Serif"/>
          <w:b w:val="false"/>
          <w:i w:val="false"/>
          <w:caps w:val="false"/>
          <w:smallCaps w:val="false"/>
          <w:color w:val="434343"/>
          <w:spacing w:val="0"/>
          <w:sz w:val="24"/>
          <w:szCs w:val="24"/>
          <w:lang w:val="en-GB"/>
        </w:rPr>
        <w:t>. The structure of our courses and course books allows each unit/lesson to present something new – new grammar, new vocabulary, new reading skills, new pronunciation points, and so on in a linear way. Figure 1 illustrates this linearity.</w:t>
      </w:r>
      <w:r>
        <w:rPr>
          <w:rFonts w:ascii="Arial" w:hAnsi="Arial"/>
          <w:b w:val="false"/>
          <w:i/>
          <w:caps w:val="false"/>
          <w:smallCaps w:val="false"/>
          <w:color w:val="434343"/>
          <w:spacing w:val="0"/>
          <w:sz w:val="28"/>
          <w:lang w:val="en-GB"/>
        </w:rPr>
        <w:br/>
        <w:tab/>
        <w:t xml:space="preserve">               </w:t>
      </w:r>
      <w:r>
        <w:rPr>
          <w:rFonts w:ascii="Arial" w:hAnsi="Arial"/>
          <w:b w:val="false"/>
          <w:i/>
          <w:caps w:val="false"/>
          <w:smallCaps w:val="false"/>
          <w:color w:val="434343"/>
          <w:spacing w:val="0"/>
          <w:sz w:val="21"/>
          <w:szCs w:val="21"/>
          <w:lang w:val="en-GB"/>
        </w:rPr>
        <w:t>Figure 1: The structure of a typical beginning level course</w:t>
      </w:r>
    </w:p>
    <w:p>
      <w:pPr>
        <w:pStyle w:val="TextBody"/>
        <w:widowControl/>
        <w:bidi w:val="0"/>
        <w:spacing w:before="114" w:after="254"/>
        <w:ind w:left="0" w:right="0" w:hanging="0"/>
        <w:jc w:val="center"/>
        <w:rPr>
          <w:caps w:val="false"/>
          <w:smallCaps w:val="false"/>
          <w:color w:val="434343"/>
          <w:spacing w:val="0"/>
        </w:rPr>
      </w:pPr>
      <w:r>
        <w:rPr>
          <w:caps w:val="false"/>
          <w:smallCaps w:val="false"/>
          <w:color w:val="434343"/>
          <w:spacing w:val="0"/>
        </w:rPr>
        <w:drawing>
          <wp:inline distT="0" distB="0" distL="0" distR="0">
            <wp:extent cx="3907155" cy="907415"/>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link="rId2"/>
                    <a:stretch>
                      <a:fillRect/>
                    </a:stretch>
                  </pic:blipFill>
                  <pic:spPr bwMode="auto">
                    <a:xfrm>
                      <a:off x="0" y="0"/>
                      <a:ext cx="3907155" cy="907415"/>
                    </a:xfrm>
                    <a:prstGeom prst="rect">
                      <a:avLst/>
                    </a:prstGeom>
                  </pic:spPr>
                </pic:pic>
              </a:graphicData>
            </a:graphic>
          </wp:inline>
        </w:drawing>
      </w:r>
    </w:p>
    <w:p>
      <w:pPr>
        <w:pStyle w:val="TextBody"/>
        <w:widowControl/>
        <w:bidi w:val="0"/>
        <w:spacing w:before="114" w:after="254"/>
        <w:ind w:left="0" w:right="0" w:hanging="0"/>
        <w:jc w:val="center"/>
        <w:rPr>
          <w:caps w:val="false"/>
          <w:smallCaps w:val="false"/>
          <w:color w:val="434343"/>
          <w:spacing w:val="0"/>
        </w:rPr>
      </w:pPr>
      <w:r>
        <w:rPr>
          <w:caps w:val="false"/>
          <w:smallCaps w:val="false"/>
          <w:color w:val="434343"/>
          <w:spacing w:val="0"/>
        </w:rPr>
        <w:drawing>
          <wp:inline distT="0" distB="0" distL="0" distR="0">
            <wp:extent cx="3872230" cy="200660"/>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link="rId3"/>
                    <a:stretch>
                      <a:fillRect/>
                    </a:stretch>
                  </pic:blipFill>
                  <pic:spPr bwMode="auto">
                    <a:xfrm>
                      <a:off x="0" y="0"/>
                      <a:ext cx="3872230" cy="200660"/>
                    </a:xfrm>
                    <a:prstGeom prst="rect">
                      <a:avLst/>
                    </a:prstGeom>
                  </pic:spPr>
                </pic:pic>
              </a:graphicData>
            </a:graphic>
          </wp:inline>
        </w:drawing>
      </w:r>
    </w:p>
    <w:p>
      <w:pPr>
        <w:pStyle w:val="TextBody"/>
        <w:widowControl/>
        <w:bidi w:val="0"/>
        <w:spacing w:lineRule="auto" w:line="360" w:before="114" w:after="254"/>
        <w:ind w:left="0" w:right="0" w:hanging="0"/>
        <w:jc w:val="left"/>
        <w:rPr>
          <w:rFonts w:ascii="Liberation Serif" w:hAnsi="Liberation Serif"/>
          <w:b w:val="false"/>
          <w:i w:val="false"/>
          <w:caps w:val="false"/>
          <w:smallCaps w:val="false"/>
          <w:color w:val="auto"/>
          <w:spacing w:val="0"/>
          <w:sz w:val="24"/>
          <w:szCs w:val="24"/>
          <w:lang w:val="en-GB"/>
        </w:rPr>
      </w:pPr>
      <w:r>
        <w:rPr>
          <w:rFonts w:ascii="Liberation Serif" w:hAnsi="Liberation Serif"/>
          <w:b w:val="false"/>
          <w:i w:val="false"/>
          <w:caps w:val="false"/>
          <w:smallCaps w:val="false"/>
          <w:color w:val="auto"/>
          <w:spacing w:val="0"/>
          <w:sz w:val="24"/>
          <w:szCs w:val="24"/>
          <w:lang w:val="en-GB"/>
        </w:rPr>
        <w:t>The structure of course books and linear courses in general, shows us that they are not concerned with </w:t>
      </w:r>
      <w:r>
        <w:rPr>
          <w:rFonts w:ascii="Liberation Serif" w:hAnsi="Liberation Serif"/>
          <w:b w:val="false"/>
          <w:i/>
          <w:caps w:val="false"/>
          <w:smallCaps w:val="false"/>
          <w:color w:val="auto"/>
          <w:spacing w:val="0"/>
          <w:sz w:val="24"/>
          <w:szCs w:val="24"/>
          <w:lang w:val="en-GB"/>
        </w:rPr>
        <w:t>deepening</w:t>
      </w:r>
      <w:r>
        <w:rPr>
          <w:rFonts w:ascii="Liberation Serif" w:hAnsi="Liberation Serif"/>
          <w:b w:val="false"/>
          <w:i w:val="false"/>
          <w:caps w:val="false"/>
          <w:smallCaps w:val="false"/>
          <w:color w:val="auto"/>
          <w:spacing w:val="0"/>
          <w:sz w:val="24"/>
          <w:szCs w:val="24"/>
          <w:lang w:val="en-GB"/>
        </w:rPr>
        <w:t> knowledge of a given form, only </w:t>
      </w:r>
      <w:r>
        <w:rPr>
          <w:rFonts w:ascii="Liberation Serif" w:hAnsi="Liberation Serif"/>
          <w:b w:val="false"/>
          <w:i/>
          <w:caps w:val="false"/>
          <w:smallCaps w:val="false"/>
          <w:color w:val="auto"/>
          <w:spacing w:val="0"/>
          <w:sz w:val="24"/>
          <w:szCs w:val="24"/>
          <w:lang w:val="en-GB"/>
        </w:rPr>
        <w:t>introducing</w:t>
      </w:r>
      <w:r>
        <w:rPr>
          <w:rFonts w:ascii="Liberation Serif" w:hAnsi="Liberation Serif"/>
          <w:b w:val="false"/>
          <w:i w:val="false"/>
          <w:caps w:val="false"/>
          <w:smallCaps w:val="false"/>
          <w:color w:val="auto"/>
          <w:spacing w:val="0"/>
          <w:sz w:val="24"/>
          <w:szCs w:val="24"/>
          <w:lang w:val="en-GB"/>
        </w:rPr>
        <w:t> it or giving </w:t>
      </w:r>
      <w:r>
        <w:rPr>
          <w:rFonts w:ascii="Liberation Serif" w:hAnsi="Liberation Serif"/>
          <w:b w:val="false"/>
          <w:i/>
          <w:caps w:val="false"/>
          <w:smallCaps w:val="false"/>
          <w:color w:val="auto"/>
          <w:spacing w:val="0"/>
          <w:sz w:val="24"/>
          <w:szCs w:val="24"/>
          <w:lang w:val="en-GB"/>
        </w:rPr>
        <w:t>minimal practice</w:t>
      </w:r>
      <w:r>
        <w:rPr>
          <w:rFonts w:ascii="Liberation Serif" w:hAnsi="Liberation Serif"/>
          <w:b w:val="false"/>
          <w:i w:val="false"/>
          <w:caps w:val="false"/>
          <w:smallCaps w:val="false"/>
          <w:color w:val="auto"/>
          <w:spacing w:val="0"/>
          <w:sz w:val="24"/>
          <w:szCs w:val="24"/>
          <w:lang w:val="en-GB"/>
        </w:rPr>
        <w:t> in it beyond a token review unit, or test. They do not concentrate on the revisiting, recycling and revising necessary for acquisition. The assumption underlying most courses and course books is that our learners have “met” or “done that now” and we do not need to go back to it, so we can move on. Adopting this default view of language teaching (that “teaching equals learning” implicit in these materials) is a massive mistake </w:t>
      </w:r>
      <w:r>
        <w:rPr>
          <w:rFonts w:ascii="Liberation Serif" w:hAnsi="Liberation Serif"/>
          <w:b w:val="false"/>
          <w:i/>
          <w:caps w:val="false"/>
          <w:smallCaps w:val="false"/>
          <w:color w:val="auto"/>
          <w:spacing w:val="0"/>
          <w:sz w:val="24"/>
          <w:szCs w:val="24"/>
          <w:lang w:val="en-GB"/>
        </w:rPr>
        <w:t>if that is all we do</w:t>
      </w:r>
      <w:r>
        <w:rPr>
          <w:rFonts w:ascii="Liberation Serif" w:hAnsi="Liberation Serif"/>
          <w:b w:val="false"/>
          <w:i w:val="false"/>
          <w:caps w:val="false"/>
          <w:smallCaps w:val="false"/>
          <w:color w:val="auto"/>
          <w:spacing w:val="0"/>
          <w:sz w:val="24"/>
          <w:szCs w:val="24"/>
          <w:lang w:val="en-GB"/>
        </w:rPr>
        <w:t> because it undersells what our learners need – which is massive language practice with the things taught in course books but under the right conditions. But how well do course books actually present their vocabulary?</w:t>
      </w:r>
    </w:p>
    <w:p>
      <w:pPr>
        <w:pStyle w:val="TextBody"/>
        <w:bidi w:val="0"/>
        <w:spacing w:lineRule="auto" w:line="360"/>
        <w:jc w:val="left"/>
        <w:rPr>
          <w:rFonts w:ascii="Liberation Serif" w:hAnsi="Liberation Serif"/>
          <w:color w:val="auto"/>
          <w:sz w:val="24"/>
          <w:szCs w:val="24"/>
        </w:rPr>
      </w:pPr>
      <w:r>
        <w:rPr>
          <w:rFonts w:ascii="Liberation Serif" w:hAnsi="Liberation Serif"/>
          <w:color w:val="auto"/>
          <w:sz w:val="24"/>
          <w:szCs w:val="24"/>
        </w:rPr>
        <w:br/>
      </w:r>
      <w:r>
        <w:rPr>
          <w:rFonts w:ascii="Liberation Serif" w:hAnsi="Liberation Serif"/>
          <w:b w:val="false"/>
          <w:i w:val="false"/>
          <w:caps w:val="false"/>
          <w:smallCaps w:val="false"/>
          <w:color w:val="auto"/>
          <w:spacing w:val="0"/>
          <w:sz w:val="24"/>
          <w:szCs w:val="24"/>
          <w:lang w:val="en-GB"/>
        </w:rPr>
        <w:t>Tables 2, 3 and 4 present a vocabulary analysis four levels of a typical four-skills course book (</w:t>
      </w:r>
      <w:r>
        <w:rPr>
          <w:rFonts w:ascii="Liberation Serif" w:hAnsi="Liberation Serif"/>
          <w:b w:val="false"/>
          <w:i/>
          <w:caps w:val="false"/>
          <w:smallCaps w:val="false"/>
          <w:color w:val="auto"/>
          <w:spacing w:val="0"/>
          <w:sz w:val="24"/>
          <w:szCs w:val="24"/>
          <w:lang w:val="en-GB"/>
        </w:rPr>
        <w:t>Sequences</w:t>
      </w:r>
      <w:r>
        <w:rPr>
          <w:rFonts w:ascii="Liberation Serif" w:hAnsi="Liberation Serif"/>
          <w:b w:val="false"/>
          <w:i w:val="false"/>
          <w:caps w:val="false"/>
          <w:smallCaps w:val="false"/>
          <w:color w:val="auto"/>
          <w:spacing w:val="0"/>
          <w:sz w:val="24"/>
          <w:szCs w:val="24"/>
          <w:lang w:val="en-GB"/>
        </w:rPr>
        <w:t> by Heinle Cengage) that a typical class may use. The series analyzed here is quite typical of those currently on the market. It has a four-skill focus plus a grammar and vocabulary focus and includes readings and listenings as well as speaking activities. Each unit is about a particular topic or theme (such as home, family, sports, or the environment). As each unit has its own vocabulary, the words tend not to be re-taught or even met again (even in review units) as there is a constant focus on learning new words and new grammar at the expense of recycling previously taught words.</w:t>
      </w:r>
    </w:p>
    <w:p>
      <w:pPr>
        <w:pStyle w:val="TextBody"/>
        <w:widowControl/>
        <w:bidi w:val="0"/>
        <w:spacing w:lineRule="auto" w:line="360"/>
        <w:jc w:val="left"/>
        <w:rPr>
          <w:rFonts w:ascii="Liberation Serif" w:hAnsi="Liberation Serif"/>
          <w:b w:val="false"/>
          <w:i w:val="false"/>
          <w:caps w:val="false"/>
          <w:smallCaps w:val="false"/>
          <w:color w:val="auto"/>
          <w:spacing w:val="0"/>
          <w:sz w:val="24"/>
          <w:szCs w:val="24"/>
          <w:lang w:val="en-GB"/>
        </w:rPr>
      </w:pPr>
      <w:r>
        <w:rPr>
          <w:rFonts w:ascii="Liberation Serif" w:hAnsi="Liberation Serif"/>
          <w:b w:val="false"/>
          <w:i w:val="false"/>
          <w:caps w:val="false"/>
          <w:smallCaps w:val="false"/>
          <w:color w:val="auto"/>
          <w:spacing w:val="0"/>
          <w:sz w:val="24"/>
          <w:szCs w:val="24"/>
          <w:lang w:val="en-GB"/>
        </w:rPr>
        <w:t>Table 2 shows the number of types (defined as a word family) for each of six recurrence levels (more than 51 recurrences, 21-50, 10-20, 5-9, 4-3 and 2-1) at four frequency bands - the 1-1000 most frequent words in English (the same list was used for the Table 1 analysis), the 1001-2000, the 2001-300 and the over 3000 list. 40% of the types in the top band (3000+) is made up of proper nouns with the remaining 60% are words over 3000 most frequent words. Table 3 presents the data from Table 2 as a percentage of the total types used.</w:t>
      </w:r>
    </w:p>
    <w:p>
      <w:pPr>
        <w:pStyle w:val="TextBody"/>
        <w:widowControl/>
        <w:bidi w:val="0"/>
        <w:jc w:val="center"/>
        <w:rPr>
          <w:sz w:val="20"/>
          <w:szCs w:val="20"/>
        </w:rPr>
      </w:pPr>
      <w:r>
        <w:rPr>
          <w:rFonts w:ascii="Liberation Serif" w:hAnsi="Liberation Serif"/>
          <w:b w:val="false"/>
          <w:i/>
          <w:caps w:val="false"/>
          <w:smallCaps w:val="false"/>
          <w:color w:val="auto"/>
          <w:spacing w:val="0"/>
          <w:sz w:val="21"/>
          <w:szCs w:val="21"/>
          <w:lang w:val="en-GB"/>
        </w:rPr>
        <w:t>Table 2: The total number of occurrences by type by frequency band level</w:t>
      </w:r>
    </w:p>
    <w:tbl>
      <w:tblPr>
        <w:tblW w:w="8510" w:type="dxa"/>
        <w:jc w:val="center"/>
        <w:tblInd w:w="0" w:type="dxa"/>
        <w:tblLayout w:type="fixed"/>
        <w:tblCellMar>
          <w:top w:w="28" w:type="dxa"/>
          <w:left w:w="108" w:type="dxa"/>
          <w:bottom w:w="28" w:type="dxa"/>
          <w:right w:w="108" w:type="dxa"/>
        </w:tblCellMar>
      </w:tblPr>
      <w:tblGrid>
        <w:gridCol w:w="1473"/>
        <w:gridCol w:w="960"/>
        <w:gridCol w:w="1134"/>
        <w:gridCol w:w="971"/>
        <w:gridCol w:w="797"/>
        <w:gridCol w:w="763"/>
        <w:gridCol w:w="851"/>
        <w:gridCol w:w="1561"/>
      </w:tblGrid>
      <w:tr>
        <w:trPr/>
        <w:tc>
          <w:tcPr>
            <w:tcW w:w="1473" w:type="dxa"/>
            <w:tcBorders>
              <w:top w:val="single" w:sz="8" w:space="0" w:color="000000"/>
              <w:left w:val="single" w:sz="8" w:space="0" w:color="000000"/>
              <w:bottom w:val="single" w:sz="8" w:space="0" w:color="000000"/>
              <w:right w:val="single" w:sz="8" w:space="0" w:color="000000"/>
            </w:tcBorders>
          </w:tcPr>
          <w:p>
            <w:pPr>
              <w:pStyle w:val="TableContents"/>
              <w:bidi w:val="0"/>
              <w:spacing w:before="0" w:after="283"/>
              <w:ind w:left="0" w:right="0" w:hanging="0"/>
              <w:jc w:val="center"/>
              <w:rPr>
                <w:sz w:val="20"/>
                <w:szCs w:val="20"/>
              </w:rPr>
            </w:pPr>
            <w:r>
              <w:rPr>
                <w:caps w:val="false"/>
                <w:smallCaps w:val="false"/>
                <w:sz w:val="20"/>
                <w:szCs w:val="20"/>
              </w:rPr>
              <w:t>                </w:t>
            </w:r>
            <w:r>
              <w:rPr>
                <w:sz w:val="20"/>
                <w:szCs w:val="20"/>
              </w:rPr>
              <w:t> </w:t>
            </w:r>
          </w:p>
        </w:tc>
        <w:tc>
          <w:tcPr>
            <w:tcW w:w="960" w:type="dxa"/>
            <w:tcBorders>
              <w:top w:val="single" w:sz="4" w:space="0" w:color="000000"/>
              <w:bottom w:val="single" w:sz="4" w:space="0" w:color="000000"/>
              <w:right w:val="single" w:sz="4" w:space="0" w:color="000000"/>
            </w:tcBorders>
            <w:tcMar>
              <w:left w:w="0" w:type="dxa"/>
            </w:tcMar>
          </w:tcPr>
          <w:p>
            <w:pPr>
              <w:pStyle w:val="TableContents"/>
              <w:bidi w:val="0"/>
              <w:spacing w:before="0" w:after="283"/>
              <w:ind w:left="0" w:right="0" w:hanging="0"/>
              <w:jc w:val="center"/>
              <w:rPr>
                <w:sz w:val="20"/>
                <w:szCs w:val="20"/>
              </w:rPr>
            </w:pPr>
            <w:r>
              <w:rPr>
                <w:caps w:val="false"/>
                <w:smallCaps w:val="false"/>
                <w:sz w:val="20"/>
                <w:szCs w:val="20"/>
              </w:rPr>
              <w:t>  </w:t>
            </w:r>
            <w:r>
              <w:rPr>
                <w:rFonts w:ascii="Arial" w:hAnsi="Arial"/>
                <w:b/>
                <w:sz w:val="20"/>
                <w:szCs w:val="20"/>
                <w:lang w:val="en-GB"/>
              </w:rPr>
              <w:t>51+</w:t>
            </w:r>
          </w:p>
        </w:tc>
        <w:tc>
          <w:tcPr>
            <w:tcW w:w="1134" w:type="dxa"/>
            <w:tcBorders>
              <w:top w:val="single" w:sz="4" w:space="0" w:color="000000"/>
              <w:bottom w:val="single" w:sz="4" w:space="0" w:color="000000"/>
              <w:right w:val="single" w:sz="4" w:space="0" w:color="000000"/>
            </w:tcBorders>
            <w:tcMar>
              <w:left w:w="0" w:type="dxa"/>
            </w:tcMar>
          </w:tcPr>
          <w:p>
            <w:pPr>
              <w:pStyle w:val="TableContents"/>
              <w:bidi w:val="0"/>
              <w:spacing w:before="0" w:after="283"/>
              <w:ind w:left="0" w:right="0" w:hanging="0"/>
              <w:jc w:val="center"/>
              <w:rPr>
                <w:sz w:val="20"/>
                <w:szCs w:val="20"/>
              </w:rPr>
            </w:pPr>
            <w:r>
              <w:rPr>
                <w:caps w:val="false"/>
                <w:smallCaps w:val="false"/>
                <w:sz w:val="20"/>
                <w:szCs w:val="20"/>
              </w:rPr>
              <w:t>    </w:t>
            </w:r>
            <w:r>
              <w:rPr>
                <w:rFonts w:ascii="Arial" w:hAnsi="Arial"/>
                <w:b/>
                <w:sz w:val="20"/>
                <w:szCs w:val="20"/>
                <w:lang w:val="en-GB"/>
              </w:rPr>
              <w:t>21-50</w:t>
            </w:r>
          </w:p>
        </w:tc>
        <w:tc>
          <w:tcPr>
            <w:tcW w:w="971" w:type="dxa"/>
            <w:tcBorders>
              <w:top w:val="single" w:sz="4" w:space="0" w:color="000000"/>
              <w:bottom w:val="single" w:sz="4" w:space="0" w:color="000000"/>
              <w:right w:val="single" w:sz="4" w:space="0" w:color="000000"/>
            </w:tcBorders>
            <w:tcMar>
              <w:left w:w="0" w:type="dxa"/>
            </w:tcMar>
          </w:tcPr>
          <w:p>
            <w:pPr>
              <w:pStyle w:val="TableContents"/>
              <w:bidi w:val="0"/>
              <w:spacing w:before="0" w:after="283"/>
              <w:ind w:left="0" w:right="0" w:hanging="0"/>
              <w:jc w:val="center"/>
              <w:rPr>
                <w:sz w:val="20"/>
                <w:szCs w:val="20"/>
              </w:rPr>
            </w:pPr>
            <w:r>
              <w:rPr>
                <w:caps w:val="false"/>
                <w:smallCaps w:val="false"/>
                <w:sz w:val="20"/>
                <w:szCs w:val="20"/>
              </w:rPr>
              <w:t>    </w:t>
            </w:r>
            <w:r>
              <w:rPr>
                <w:rFonts w:ascii="Arial" w:hAnsi="Arial"/>
                <w:b/>
                <w:sz w:val="20"/>
                <w:szCs w:val="20"/>
                <w:lang w:val="en-GB"/>
              </w:rPr>
              <w:t>20-10</w:t>
            </w:r>
          </w:p>
        </w:tc>
        <w:tc>
          <w:tcPr>
            <w:tcW w:w="797" w:type="dxa"/>
            <w:tcBorders>
              <w:top w:val="single" w:sz="4" w:space="0" w:color="000000"/>
              <w:bottom w:val="single" w:sz="4" w:space="0" w:color="000000"/>
              <w:right w:val="single" w:sz="4" w:space="0" w:color="000000"/>
            </w:tcBorders>
            <w:tcMar>
              <w:left w:w="0" w:type="dxa"/>
            </w:tcMar>
          </w:tcPr>
          <w:p>
            <w:pPr>
              <w:pStyle w:val="TableContents"/>
              <w:bidi w:val="0"/>
              <w:spacing w:before="0" w:after="283"/>
              <w:ind w:left="0" w:right="0" w:hanging="0"/>
              <w:jc w:val="center"/>
              <w:rPr>
                <w:sz w:val="20"/>
                <w:szCs w:val="20"/>
              </w:rPr>
            </w:pPr>
            <w:r>
              <w:rPr>
                <w:caps w:val="false"/>
                <w:smallCaps w:val="false"/>
                <w:sz w:val="20"/>
                <w:szCs w:val="20"/>
              </w:rPr>
              <w:t> </w:t>
            </w:r>
            <w:r>
              <w:rPr>
                <w:rFonts w:ascii="Arial" w:hAnsi="Arial"/>
                <w:b/>
                <w:sz w:val="20"/>
                <w:szCs w:val="20"/>
                <w:lang w:val="en-GB"/>
              </w:rPr>
              <w:t>9-5</w:t>
            </w:r>
          </w:p>
        </w:tc>
        <w:tc>
          <w:tcPr>
            <w:tcW w:w="763" w:type="dxa"/>
            <w:tcBorders>
              <w:top w:val="single" w:sz="4" w:space="0" w:color="000000"/>
              <w:bottom w:val="single" w:sz="4" w:space="0" w:color="000000"/>
              <w:right w:val="single" w:sz="4" w:space="0" w:color="000000"/>
            </w:tcBorders>
            <w:tcMar>
              <w:left w:w="0" w:type="dxa"/>
            </w:tcMar>
          </w:tcPr>
          <w:p>
            <w:pPr>
              <w:pStyle w:val="TableContents"/>
              <w:bidi w:val="0"/>
              <w:spacing w:before="0" w:after="283"/>
              <w:ind w:left="0" w:right="0" w:hanging="0"/>
              <w:jc w:val="center"/>
              <w:rPr>
                <w:sz w:val="20"/>
                <w:szCs w:val="20"/>
              </w:rPr>
            </w:pPr>
            <w:r>
              <w:rPr>
                <w:caps w:val="false"/>
                <w:smallCaps w:val="false"/>
                <w:sz w:val="20"/>
                <w:szCs w:val="20"/>
              </w:rPr>
              <w:t>  </w:t>
            </w:r>
            <w:r>
              <w:rPr>
                <w:rFonts w:ascii="Arial" w:hAnsi="Arial"/>
                <w:b/>
                <w:sz w:val="20"/>
                <w:szCs w:val="20"/>
                <w:lang w:val="en-GB"/>
              </w:rPr>
              <w:t>4-3</w:t>
            </w:r>
          </w:p>
        </w:tc>
        <w:tc>
          <w:tcPr>
            <w:tcW w:w="851" w:type="dxa"/>
            <w:tcBorders>
              <w:top w:val="single" w:sz="4" w:space="0" w:color="000000"/>
              <w:bottom w:val="single" w:sz="4" w:space="0" w:color="000000"/>
              <w:right w:val="single" w:sz="4" w:space="0" w:color="000000"/>
            </w:tcBorders>
            <w:tcMar>
              <w:left w:w="0" w:type="dxa"/>
            </w:tcMar>
          </w:tcPr>
          <w:p>
            <w:pPr>
              <w:pStyle w:val="TableContents"/>
              <w:bidi w:val="0"/>
              <w:spacing w:before="0" w:after="283"/>
              <w:ind w:left="0" w:right="0" w:hanging="0"/>
              <w:jc w:val="center"/>
              <w:rPr>
                <w:sz w:val="20"/>
                <w:szCs w:val="20"/>
              </w:rPr>
            </w:pPr>
            <w:r>
              <w:rPr>
                <w:caps w:val="false"/>
                <w:smallCaps w:val="false"/>
                <w:sz w:val="20"/>
                <w:szCs w:val="20"/>
              </w:rPr>
              <w:t>  </w:t>
            </w:r>
            <w:r>
              <w:rPr>
                <w:rFonts w:ascii="Arial" w:hAnsi="Arial"/>
                <w:b/>
                <w:sz w:val="20"/>
                <w:szCs w:val="20"/>
                <w:lang w:val="en-GB"/>
              </w:rPr>
              <w:t>2-1</w:t>
            </w:r>
          </w:p>
        </w:tc>
        <w:tc>
          <w:tcPr>
            <w:tcW w:w="1561" w:type="dxa"/>
            <w:tcBorders>
              <w:top w:val="single" w:sz="4" w:space="0" w:color="000000"/>
              <w:bottom w:val="single" w:sz="4" w:space="0" w:color="000000"/>
              <w:right w:val="single" w:sz="4" w:space="0" w:color="000000"/>
            </w:tcBorders>
            <w:tcMar>
              <w:left w:w="0" w:type="dxa"/>
            </w:tcMar>
          </w:tcPr>
          <w:p>
            <w:pPr>
              <w:pStyle w:val="TableContents"/>
              <w:bidi w:val="0"/>
              <w:spacing w:before="0" w:after="283"/>
              <w:ind w:left="0" w:right="0" w:hanging="0"/>
              <w:jc w:val="center"/>
              <w:rPr>
                <w:rFonts w:ascii="Arial" w:hAnsi="Arial"/>
                <w:b/>
                <w:sz w:val="20"/>
                <w:szCs w:val="20"/>
                <w:lang w:val="en-GB"/>
              </w:rPr>
            </w:pPr>
            <w:r>
              <w:rPr>
                <w:rFonts w:ascii="Arial" w:hAnsi="Arial"/>
                <w:b/>
                <w:sz w:val="20"/>
                <w:szCs w:val="20"/>
                <w:lang w:val="en-GB"/>
              </w:rPr>
              <w:t>Not used*</w:t>
            </w:r>
          </w:p>
        </w:tc>
      </w:tr>
      <w:tr>
        <w:trPr/>
        <w:tc>
          <w:tcPr>
            <w:tcW w:w="1473" w:type="dxa"/>
            <w:tcBorders>
              <w:left w:val="single" w:sz="4" w:space="0" w:color="000000"/>
              <w:bottom w:val="single" w:sz="4" w:space="0" w:color="000000"/>
              <w:right w:val="single" w:sz="4" w:space="0" w:color="000000"/>
            </w:tcBorders>
            <w:tcMar>
              <w:top w:w="0" w:type="dxa"/>
            </w:tcMar>
          </w:tcPr>
          <w:p>
            <w:pPr>
              <w:pStyle w:val="TableContents"/>
              <w:bidi w:val="0"/>
              <w:spacing w:before="0" w:after="283"/>
              <w:ind w:left="0" w:right="0" w:hanging="0"/>
              <w:jc w:val="left"/>
              <w:rPr>
                <w:rFonts w:ascii="Arial" w:hAnsi="Arial"/>
                <w:sz w:val="20"/>
                <w:szCs w:val="20"/>
                <w:lang w:val="en-GB"/>
              </w:rPr>
            </w:pPr>
            <w:r>
              <w:rPr>
                <w:rFonts w:ascii="Arial" w:hAnsi="Arial"/>
                <w:sz w:val="20"/>
                <w:szCs w:val="20"/>
                <w:lang w:val="en-GB"/>
              </w:rPr>
              <w:t>1-1000</w:t>
            </w:r>
          </w:p>
        </w:tc>
        <w:tc>
          <w:tcPr>
            <w:tcW w:w="960" w:type="dxa"/>
            <w:tcBorders>
              <w:bottom w:val="single" w:sz="4" w:space="0" w:color="000000"/>
              <w:right w:val="single" w:sz="4" w:space="0" w:color="000000"/>
            </w:tcBorders>
            <w:tcMar>
              <w:top w:w="0" w:type="dxa"/>
              <w:left w:w="0" w:type="dxa"/>
            </w:tcMar>
          </w:tcPr>
          <w:p>
            <w:pPr>
              <w:pStyle w:val="TableContents"/>
              <w:bidi w:val="0"/>
              <w:spacing w:before="0" w:after="283"/>
              <w:ind w:left="0" w:right="0" w:hanging="0"/>
              <w:jc w:val="right"/>
              <w:rPr>
                <w:rFonts w:ascii="Arial" w:hAnsi="Arial"/>
                <w:sz w:val="20"/>
                <w:szCs w:val="20"/>
                <w:lang w:val="en-GB"/>
              </w:rPr>
            </w:pPr>
            <w:r>
              <w:rPr>
                <w:rFonts w:ascii="Arial" w:hAnsi="Arial"/>
                <w:sz w:val="20"/>
                <w:szCs w:val="20"/>
                <w:lang w:val="en-GB"/>
              </w:rPr>
              <w:t>347</w:t>
            </w:r>
          </w:p>
        </w:tc>
        <w:tc>
          <w:tcPr>
            <w:tcW w:w="1134" w:type="dxa"/>
            <w:tcBorders>
              <w:bottom w:val="single" w:sz="4" w:space="0" w:color="000000"/>
              <w:right w:val="single" w:sz="4" w:space="0" w:color="000000"/>
            </w:tcBorders>
            <w:tcMar>
              <w:top w:w="0" w:type="dxa"/>
              <w:left w:w="0" w:type="dxa"/>
            </w:tcMar>
          </w:tcPr>
          <w:p>
            <w:pPr>
              <w:pStyle w:val="TableContents"/>
              <w:bidi w:val="0"/>
              <w:spacing w:before="0" w:after="283"/>
              <w:ind w:left="0" w:right="0" w:hanging="0"/>
              <w:jc w:val="right"/>
              <w:rPr>
                <w:rFonts w:ascii="Arial" w:hAnsi="Arial"/>
                <w:sz w:val="20"/>
                <w:szCs w:val="20"/>
                <w:lang w:val="en-GB"/>
              </w:rPr>
            </w:pPr>
            <w:r>
              <w:rPr>
                <w:rFonts w:ascii="Arial" w:hAnsi="Arial"/>
                <w:sz w:val="20"/>
                <w:szCs w:val="20"/>
                <w:lang w:val="en-GB"/>
              </w:rPr>
              <w:t>221</w:t>
            </w:r>
          </w:p>
        </w:tc>
        <w:tc>
          <w:tcPr>
            <w:tcW w:w="971" w:type="dxa"/>
            <w:tcBorders>
              <w:bottom w:val="single" w:sz="4" w:space="0" w:color="000000"/>
              <w:right w:val="single" w:sz="4" w:space="0" w:color="000000"/>
            </w:tcBorders>
            <w:tcMar>
              <w:top w:w="0" w:type="dxa"/>
              <w:left w:w="0" w:type="dxa"/>
            </w:tcMar>
          </w:tcPr>
          <w:p>
            <w:pPr>
              <w:pStyle w:val="TableContents"/>
              <w:bidi w:val="0"/>
              <w:spacing w:before="0" w:after="283"/>
              <w:ind w:left="0" w:right="0" w:hanging="0"/>
              <w:jc w:val="right"/>
              <w:rPr>
                <w:rFonts w:ascii="Arial" w:hAnsi="Arial"/>
                <w:sz w:val="20"/>
                <w:szCs w:val="20"/>
                <w:lang w:val="en-GB"/>
              </w:rPr>
            </w:pPr>
            <w:r>
              <w:rPr>
                <w:rFonts w:ascii="Arial" w:hAnsi="Arial"/>
                <w:sz w:val="20"/>
                <w:szCs w:val="20"/>
                <w:lang w:val="en-GB"/>
              </w:rPr>
              <w:t>143</w:t>
            </w:r>
          </w:p>
        </w:tc>
        <w:tc>
          <w:tcPr>
            <w:tcW w:w="797" w:type="dxa"/>
            <w:tcBorders>
              <w:bottom w:val="single" w:sz="4" w:space="0" w:color="000000"/>
              <w:right w:val="single" w:sz="4" w:space="0" w:color="000000"/>
            </w:tcBorders>
            <w:tcMar>
              <w:top w:w="0" w:type="dxa"/>
              <w:left w:w="0" w:type="dxa"/>
            </w:tcMar>
          </w:tcPr>
          <w:p>
            <w:pPr>
              <w:pStyle w:val="TableContents"/>
              <w:bidi w:val="0"/>
              <w:spacing w:before="0" w:after="283"/>
              <w:ind w:left="0" w:right="0" w:hanging="0"/>
              <w:jc w:val="right"/>
              <w:rPr>
                <w:rFonts w:ascii="Arial" w:hAnsi="Arial"/>
                <w:sz w:val="20"/>
                <w:szCs w:val="20"/>
                <w:lang w:val="en-GB"/>
              </w:rPr>
            </w:pPr>
            <w:r>
              <w:rPr>
                <w:rFonts w:ascii="Arial" w:hAnsi="Arial"/>
                <w:sz w:val="20"/>
                <w:szCs w:val="20"/>
                <w:lang w:val="en-GB"/>
              </w:rPr>
              <w:t>110</w:t>
            </w:r>
          </w:p>
        </w:tc>
        <w:tc>
          <w:tcPr>
            <w:tcW w:w="763" w:type="dxa"/>
            <w:tcBorders>
              <w:bottom w:val="single" w:sz="4" w:space="0" w:color="000000"/>
              <w:right w:val="single" w:sz="4" w:space="0" w:color="000000"/>
            </w:tcBorders>
            <w:tcMar>
              <w:top w:w="0" w:type="dxa"/>
              <w:left w:w="0" w:type="dxa"/>
            </w:tcMar>
          </w:tcPr>
          <w:p>
            <w:pPr>
              <w:pStyle w:val="TableContents"/>
              <w:bidi w:val="0"/>
              <w:spacing w:before="0" w:after="283"/>
              <w:ind w:left="0" w:right="0" w:hanging="0"/>
              <w:jc w:val="right"/>
              <w:rPr>
                <w:sz w:val="20"/>
                <w:szCs w:val="20"/>
              </w:rPr>
            </w:pPr>
            <w:r>
              <w:rPr>
                <w:caps w:val="false"/>
                <w:smallCaps w:val="false"/>
                <w:sz w:val="20"/>
                <w:szCs w:val="20"/>
              </w:rPr>
              <w:t>    </w:t>
            </w:r>
            <w:r>
              <w:rPr>
                <w:rFonts w:ascii="Arial" w:hAnsi="Arial"/>
                <w:sz w:val="20"/>
                <w:szCs w:val="20"/>
                <w:lang w:val="en-GB"/>
              </w:rPr>
              <w:t>60</w:t>
            </w:r>
          </w:p>
        </w:tc>
        <w:tc>
          <w:tcPr>
            <w:tcW w:w="851" w:type="dxa"/>
            <w:tcBorders>
              <w:bottom w:val="single" w:sz="4" w:space="0" w:color="000000"/>
              <w:right w:val="single" w:sz="4" w:space="0" w:color="000000"/>
            </w:tcBorders>
            <w:tcMar>
              <w:top w:w="0" w:type="dxa"/>
              <w:left w:w="0" w:type="dxa"/>
            </w:tcMar>
          </w:tcPr>
          <w:p>
            <w:pPr>
              <w:pStyle w:val="TableContents"/>
              <w:bidi w:val="0"/>
              <w:spacing w:before="0" w:after="283"/>
              <w:ind w:left="0" w:right="0" w:hanging="0"/>
              <w:jc w:val="right"/>
              <w:rPr>
                <w:sz w:val="20"/>
                <w:szCs w:val="20"/>
              </w:rPr>
            </w:pPr>
            <w:r>
              <w:rPr>
                <w:caps w:val="false"/>
                <w:smallCaps w:val="false"/>
                <w:sz w:val="20"/>
                <w:szCs w:val="20"/>
              </w:rPr>
              <w:t>    </w:t>
            </w:r>
            <w:r>
              <w:rPr>
                <w:rFonts w:ascii="Arial" w:hAnsi="Arial"/>
                <w:sz w:val="20"/>
                <w:szCs w:val="20"/>
                <w:lang w:val="en-GB"/>
              </w:rPr>
              <w:t>60</w:t>
            </w:r>
          </w:p>
        </w:tc>
        <w:tc>
          <w:tcPr>
            <w:tcW w:w="1561" w:type="dxa"/>
            <w:tcBorders>
              <w:bottom w:val="single" w:sz="4" w:space="0" w:color="000000"/>
              <w:right w:val="single" w:sz="4" w:space="0" w:color="000000"/>
            </w:tcBorders>
            <w:tcMar>
              <w:top w:w="0" w:type="dxa"/>
              <w:left w:w="0" w:type="dxa"/>
            </w:tcMar>
          </w:tcPr>
          <w:p>
            <w:pPr>
              <w:pStyle w:val="TableContents"/>
              <w:bidi w:val="0"/>
              <w:spacing w:before="0" w:after="283"/>
              <w:ind w:left="0" w:right="0" w:hanging="0"/>
              <w:jc w:val="right"/>
              <w:rPr>
                <w:sz w:val="20"/>
                <w:szCs w:val="20"/>
              </w:rPr>
            </w:pPr>
            <w:r>
              <w:rPr>
                <w:caps w:val="false"/>
                <w:smallCaps w:val="false"/>
                <w:sz w:val="20"/>
                <w:szCs w:val="20"/>
              </w:rPr>
              <w:t>    </w:t>
            </w:r>
            <w:r>
              <w:rPr>
                <w:rFonts w:ascii="Arial" w:hAnsi="Arial"/>
                <w:sz w:val="20"/>
                <w:szCs w:val="20"/>
                <w:lang w:val="en-GB"/>
              </w:rPr>
              <w:t>59</w:t>
            </w:r>
          </w:p>
        </w:tc>
      </w:tr>
      <w:tr>
        <w:trPr/>
        <w:tc>
          <w:tcPr>
            <w:tcW w:w="1473" w:type="dxa"/>
            <w:tcBorders>
              <w:left w:val="single" w:sz="4" w:space="0" w:color="000000"/>
              <w:bottom w:val="single" w:sz="4" w:space="0" w:color="000000"/>
              <w:right w:val="single" w:sz="4" w:space="0" w:color="000000"/>
            </w:tcBorders>
            <w:tcMar>
              <w:top w:w="0" w:type="dxa"/>
            </w:tcMar>
          </w:tcPr>
          <w:p>
            <w:pPr>
              <w:pStyle w:val="TableContents"/>
              <w:bidi w:val="0"/>
              <w:spacing w:before="0" w:after="283"/>
              <w:ind w:left="0" w:right="0" w:hanging="0"/>
              <w:jc w:val="left"/>
              <w:rPr>
                <w:rFonts w:ascii="Arial" w:hAnsi="Arial"/>
                <w:sz w:val="20"/>
                <w:szCs w:val="20"/>
                <w:lang w:val="en-GB"/>
              </w:rPr>
            </w:pPr>
            <w:r>
              <w:rPr>
                <w:rFonts w:ascii="Arial" w:hAnsi="Arial"/>
                <w:sz w:val="20"/>
                <w:szCs w:val="20"/>
                <w:lang w:val="en-GB"/>
              </w:rPr>
              <w:t>1001-2000</w:t>
            </w:r>
          </w:p>
        </w:tc>
        <w:tc>
          <w:tcPr>
            <w:tcW w:w="960" w:type="dxa"/>
            <w:tcBorders>
              <w:bottom w:val="single" w:sz="4" w:space="0" w:color="000000"/>
              <w:right w:val="single" w:sz="4" w:space="0" w:color="000000"/>
            </w:tcBorders>
            <w:tcMar>
              <w:top w:w="0" w:type="dxa"/>
              <w:left w:w="0" w:type="dxa"/>
            </w:tcMar>
          </w:tcPr>
          <w:p>
            <w:pPr>
              <w:pStyle w:val="TableContents"/>
              <w:bidi w:val="0"/>
              <w:spacing w:before="0" w:after="283"/>
              <w:ind w:left="0" w:right="0" w:hanging="0"/>
              <w:jc w:val="right"/>
              <w:rPr>
                <w:rFonts w:ascii="Arial" w:hAnsi="Arial"/>
                <w:sz w:val="20"/>
                <w:szCs w:val="20"/>
                <w:lang w:val="en-GB"/>
              </w:rPr>
            </w:pPr>
            <w:r>
              <w:rPr>
                <w:rFonts w:ascii="Arial" w:hAnsi="Arial"/>
                <w:sz w:val="20"/>
                <w:szCs w:val="20"/>
                <w:lang w:val="en-GB"/>
              </w:rPr>
              <w:t>26</w:t>
            </w:r>
          </w:p>
        </w:tc>
        <w:tc>
          <w:tcPr>
            <w:tcW w:w="1134" w:type="dxa"/>
            <w:tcBorders>
              <w:bottom w:val="single" w:sz="4" w:space="0" w:color="000000"/>
              <w:right w:val="single" w:sz="4" w:space="0" w:color="000000"/>
            </w:tcBorders>
            <w:tcMar>
              <w:top w:w="0" w:type="dxa"/>
              <w:left w:w="0" w:type="dxa"/>
            </w:tcMar>
          </w:tcPr>
          <w:p>
            <w:pPr>
              <w:pStyle w:val="TableContents"/>
              <w:bidi w:val="0"/>
              <w:spacing w:before="0" w:after="283"/>
              <w:ind w:left="0" w:right="0" w:hanging="0"/>
              <w:jc w:val="right"/>
              <w:rPr>
                <w:sz w:val="20"/>
                <w:szCs w:val="20"/>
              </w:rPr>
            </w:pPr>
            <w:r>
              <w:rPr>
                <w:caps w:val="false"/>
                <w:smallCaps w:val="false"/>
                <w:sz w:val="20"/>
                <w:szCs w:val="20"/>
              </w:rPr>
              <w:t>    </w:t>
            </w:r>
            <w:r>
              <w:rPr>
                <w:rFonts w:ascii="Arial" w:hAnsi="Arial"/>
                <w:sz w:val="20"/>
                <w:szCs w:val="20"/>
                <w:lang w:val="en-GB"/>
              </w:rPr>
              <w:t>96</w:t>
            </w:r>
          </w:p>
        </w:tc>
        <w:tc>
          <w:tcPr>
            <w:tcW w:w="971" w:type="dxa"/>
            <w:tcBorders>
              <w:bottom w:val="single" w:sz="4" w:space="0" w:color="000000"/>
              <w:right w:val="single" w:sz="4" w:space="0" w:color="000000"/>
            </w:tcBorders>
            <w:tcMar>
              <w:top w:w="0" w:type="dxa"/>
              <w:left w:w="0" w:type="dxa"/>
            </w:tcMar>
          </w:tcPr>
          <w:p>
            <w:pPr>
              <w:pStyle w:val="TableContents"/>
              <w:bidi w:val="0"/>
              <w:spacing w:before="0" w:after="283"/>
              <w:ind w:left="0" w:right="0" w:hanging="0"/>
              <w:jc w:val="right"/>
              <w:rPr>
                <w:rFonts w:ascii="Arial" w:hAnsi="Arial"/>
                <w:sz w:val="20"/>
                <w:szCs w:val="20"/>
                <w:lang w:val="en-GB"/>
              </w:rPr>
            </w:pPr>
            <w:r>
              <w:rPr>
                <w:rFonts w:ascii="Arial" w:hAnsi="Arial"/>
                <w:sz w:val="20"/>
                <w:szCs w:val="20"/>
                <w:lang w:val="en-GB"/>
              </w:rPr>
              <w:t>119</w:t>
            </w:r>
          </w:p>
        </w:tc>
        <w:tc>
          <w:tcPr>
            <w:tcW w:w="797" w:type="dxa"/>
            <w:tcBorders>
              <w:bottom w:val="single" w:sz="4" w:space="0" w:color="000000"/>
              <w:right w:val="single" w:sz="4" w:space="0" w:color="000000"/>
            </w:tcBorders>
            <w:tcMar>
              <w:top w:w="0" w:type="dxa"/>
              <w:left w:w="0" w:type="dxa"/>
            </w:tcMar>
          </w:tcPr>
          <w:p>
            <w:pPr>
              <w:pStyle w:val="TableContents"/>
              <w:bidi w:val="0"/>
              <w:spacing w:before="0" w:after="283"/>
              <w:ind w:left="0" w:right="0" w:hanging="0"/>
              <w:jc w:val="right"/>
              <w:rPr>
                <w:rFonts w:ascii="Arial" w:hAnsi="Arial"/>
                <w:sz w:val="20"/>
                <w:szCs w:val="20"/>
                <w:lang w:val="en-GB"/>
              </w:rPr>
            </w:pPr>
            <w:r>
              <w:rPr>
                <w:rFonts w:ascii="Arial" w:hAnsi="Arial"/>
                <w:sz w:val="20"/>
                <w:szCs w:val="20"/>
                <w:lang w:val="en-GB"/>
              </w:rPr>
              <w:t>151</w:t>
            </w:r>
          </w:p>
        </w:tc>
        <w:tc>
          <w:tcPr>
            <w:tcW w:w="763" w:type="dxa"/>
            <w:tcBorders>
              <w:bottom w:val="single" w:sz="4" w:space="0" w:color="000000"/>
              <w:right w:val="single" w:sz="4" w:space="0" w:color="000000"/>
            </w:tcBorders>
            <w:tcMar>
              <w:top w:w="0" w:type="dxa"/>
              <w:left w:w="0" w:type="dxa"/>
            </w:tcMar>
          </w:tcPr>
          <w:p>
            <w:pPr>
              <w:pStyle w:val="TableContents"/>
              <w:bidi w:val="0"/>
              <w:spacing w:before="0" w:after="283"/>
              <w:ind w:left="0" w:right="0" w:hanging="0"/>
              <w:jc w:val="right"/>
              <w:rPr>
                <w:sz w:val="20"/>
                <w:szCs w:val="20"/>
              </w:rPr>
            </w:pPr>
            <w:r>
              <w:rPr>
                <w:caps w:val="false"/>
                <w:smallCaps w:val="false"/>
                <w:sz w:val="20"/>
                <w:szCs w:val="20"/>
              </w:rPr>
              <w:t>    </w:t>
            </w:r>
            <w:r>
              <w:rPr>
                <w:rFonts w:ascii="Arial" w:hAnsi="Arial"/>
                <w:sz w:val="20"/>
                <w:szCs w:val="20"/>
                <w:lang w:val="en-GB"/>
              </w:rPr>
              <w:t>91</w:t>
            </w:r>
          </w:p>
        </w:tc>
        <w:tc>
          <w:tcPr>
            <w:tcW w:w="851" w:type="dxa"/>
            <w:tcBorders>
              <w:bottom w:val="single" w:sz="4" w:space="0" w:color="000000"/>
              <w:right w:val="single" w:sz="4" w:space="0" w:color="000000"/>
            </w:tcBorders>
            <w:tcMar>
              <w:top w:w="0" w:type="dxa"/>
              <w:left w:w="0" w:type="dxa"/>
            </w:tcMar>
          </w:tcPr>
          <w:p>
            <w:pPr>
              <w:pStyle w:val="TableContents"/>
              <w:bidi w:val="0"/>
              <w:spacing w:before="0" w:after="283"/>
              <w:ind w:left="0" w:right="0" w:hanging="0"/>
              <w:jc w:val="right"/>
              <w:rPr>
                <w:sz w:val="20"/>
                <w:szCs w:val="20"/>
              </w:rPr>
            </w:pPr>
            <w:r>
              <w:rPr>
                <w:caps w:val="false"/>
                <w:smallCaps w:val="false"/>
                <w:sz w:val="20"/>
                <w:szCs w:val="20"/>
              </w:rPr>
              <w:t>    </w:t>
            </w:r>
            <w:r>
              <w:rPr>
                <w:rFonts w:ascii="Arial" w:hAnsi="Arial"/>
                <w:sz w:val="20"/>
                <w:szCs w:val="20"/>
                <w:lang w:val="en-GB"/>
              </w:rPr>
              <w:t>175</w:t>
            </w:r>
          </w:p>
        </w:tc>
        <w:tc>
          <w:tcPr>
            <w:tcW w:w="1561" w:type="dxa"/>
            <w:tcBorders>
              <w:bottom w:val="single" w:sz="4" w:space="0" w:color="000000"/>
              <w:right w:val="single" w:sz="4" w:space="0" w:color="000000"/>
            </w:tcBorders>
            <w:tcMar>
              <w:top w:w="0" w:type="dxa"/>
              <w:left w:w="0" w:type="dxa"/>
            </w:tcMar>
          </w:tcPr>
          <w:p>
            <w:pPr>
              <w:pStyle w:val="TableContents"/>
              <w:bidi w:val="0"/>
              <w:spacing w:before="0" w:after="283"/>
              <w:ind w:left="0" w:right="0" w:hanging="0"/>
              <w:jc w:val="right"/>
              <w:rPr>
                <w:sz w:val="20"/>
                <w:szCs w:val="20"/>
              </w:rPr>
            </w:pPr>
            <w:r>
              <w:rPr>
                <w:caps w:val="false"/>
                <w:smallCaps w:val="false"/>
                <w:sz w:val="20"/>
                <w:szCs w:val="20"/>
              </w:rPr>
              <w:t>    </w:t>
            </w:r>
            <w:r>
              <w:rPr>
                <w:rFonts w:ascii="Arial" w:hAnsi="Arial"/>
                <w:sz w:val="20"/>
                <w:szCs w:val="20"/>
                <w:lang w:val="en-GB"/>
              </w:rPr>
              <w:t>342</w:t>
            </w:r>
          </w:p>
        </w:tc>
      </w:tr>
      <w:tr>
        <w:trPr/>
        <w:tc>
          <w:tcPr>
            <w:tcW w:w="1473" w:type="dxa"/>
            <w:tcBorders>
              <w:left w:val="single" w:sz="4" w:space="0" w:color="000000"/>
              <w:bottom w:val="single" w:sz="4" w:space="0" w:color="000000"/>
              <w:right w:val="single" w:sz="4" w:space="0" w:color="000000"/>
            </w:tcBorders>
            <w:tcMar>
              <w:top w:w="0" w:type="dxa"/>
            </w:tcMar>
          </w:tcPr>
          <w:p>
            <w:pPr>
              <w:pStyle w:val="TableContents"/>
              <w:bidi w:val="0"/>
              <w:spacing w:before="0" w:after="283"/>
              <w:ind w:left="0" w:right="0" w:hanging="0"/>
              <w:jc w:val="left"/>
              <w:rPr>
                <w:rFonts w:ascii="Arial" w:hAnsi="Arial"/>
                <w:sz w:val="20"/>
                <w:szCs w:val="20"/>
                <w:lang w:val="en-GB"/>
              </w:rPr>
            </w:pPr>
            <w:r>
              <w:rPr>
                <w:rFonts w:ascii="Arial" w:hAnsi="Arial"/>
                <w:sz w:val="20"/>
                <w:szCs w:val="20"/>
                <w:lang w:val="en-GB"/>
              </w:rPr>
              <w:t>2001-3000</w:t>
            </w:r>
          </w:p>
        </w:tc>
        <w:tc>
          <w:tcPr>
            <w:tcW w:w="960" w:type="dxa"/>
            <w:tcBorders>
              <w:bottom w:val="single" w:sz="4" w:space="0" w:color="000000"/>
              <w:right w:val="single" w:sz="4" w:space="0" w:color="000000"/>
            </w:tcBorders>
            <w:tcMar>
              <w:top w:w="0" w:type="dxa"/>
              <w:left w:w="0" w:type="dxa"/>
            </w:tcMar>
          </w:tcPr>
          <w:p>
            <w:pPr>
              <w:pStyle w:val="TableContents"/>
              <w:bidi w:val="0"/>
              <w:spacing w:before="0" w:after="283"/>
              <w:ind w:left="0" w:right="0" w:hanging="0"/>
              <w:jc w:val="right"/>
              <w:rPr>
                <w:rFonts w:ascii="Arial" w:hAnsi="Arial"/>
                <w:sz w:val="20"/>
                <w:szCs w:val="20"/>
                <w:lang w:val="en-GB"/>
              </w:rPr>
            </w:pPr>
            <w:r>
              <w:rPr>
                <w:rFonts w:ascii="Arial" w:hAnsi="Arial"/>
                <w:sz w:val="20"/>
                <w:szCs w:val="20"/>
                <w:lang w:val="en-GB"/>
              </w:rPr>
              <w:t>10</w:t>
            </w:r>
          </w:p>
        </w:tc>
        <w:tc>
          <w:tcPr>
            <w:tcW w:w="1134" w:type="dxa"/>
            <w:tcBorders>
              <w:bottom w:val="single" w:sz="4" w:space="0" w:color="000000"/>
              <w:right w:val="single" w:sz="4" w:space="0" w:color="000000"/>
            </w:tcBorders>
            <w:tcMar>
              <w:top w:w="0" w:type="dxa"/>
              <w:left w:w="0" w:type="dxa"/>
            </w:tcMar>
          </w:tcPr>
          <w:p>
            <w:pPr>
              <w:pStyle w:val="TableContents"/>
              <w:bidi w:val="0"/>
              <w:spacing w:before="0" w:after="283"/>
              <w:ind w:left="0" w:right="0" w:hanging="0"/>
              <w:jc w:val="right"/>
              <w:rPr>
                <w:sz w:val="20"/>
                <w:szCs w:val="20"/>
              </w:rPr>
            </w:pPr>
            <w:r>
              <w:rPr>
                <w:caps w:val="false"/>
                <w:smallCaps w:val="false"/>
                <w:sz w:val="20"/>
                <w:szCs w:val="20"/>
              </w:rPr>
              <w:t>    </w:t>
            </w:r>
            <w:r>
              <w:rPr>
                <w:rFonts w:ascii="Arial" w:hAnsi="Arial"/>
                <w:sz w:val="20"/>
                <w:szCs w:val="20"/>
                <w:lang w:val="en-GB"/>
              </w:rPr>
              <w:t>13</w:t>
            </w:r>
          </w:p>
        </w:tc>
        <w:tc>
          <w:tcPr>
            <w:tcW w:w="971" w:type="dxa"/>
            <w:tcBorders>
              <w:bottom w:val="single" w:sz="4" w:space="0" w:color="000000"/>
              <w:right w:val="single" w:sz="4" w:space="0" w:color="000000"/>
            </w:tcBorders>
            <w:tcMar>
              <w:top w:w="0" w:type="dxa"/>
              <w:left w:w="0" w:type="dxa"/>
            </w:tcMar>
          </w:tcPr>
          <w:p>
            <w:pPr>
              <w:pStyle w:val="TableContents"/>
              <w:bidi w:val="0"/>
              <w:spacing w:before="0" w:after="283"/>
              <w:ind w:left="0" w:right="0" w:hanging="0"/>
              <w:jc w:val="right"/>
              <w:rPr>
                <w:sz w:val="20"/>
                <w:szCs w:val="20"/>
              </w:rPr>
            </w:pPr>
            <w:r>
              <w:rPr>
                <w:caps w:val="false"/>
                <w:smallCaps w:val="false"/>
                <w:sz w:val="20"/>
                <w:szCs w:val="20"/>
              </w:rPr>
              <w:t>    </w:t>
            </w:r>
            <w:r>
              <w:rPr>
                <w:rFonts w:ascii="Arial" w:hAnsi="Arial"/>
                <w:sz w:val="20"/>
                <w:szCs w:val="20"/>
                <w:lang w:val="en-GB"/>
              </w:rPr>
              <w:t>58</w:t>
            </w:r>
          </w:p>
        </w:tc>
        <w:tc>
          <w:tcPr>
            <w:tcW w:w="797" w:type="dxa"/>
            <w:tcBorders>
              <w:bottom w:val="single" w:sz="4" w:space="0" w:color="000000"/>
              <w:right w:val="single" w:sz="4" w:space="0" w:color="000000"/>
            </w:tcBorders>
            <w:tcMar>
              <w:top w:w="0" w:type="dxa"/>
              <w:left w:w="0" w:type="dxa"/>
            </w:tcMar>
          </w:tcPr>
          <w:p>
            <w:pPr>
              <w:pStyle w:val="TableContents"/>
              <w:bidi w:val="0"/>
              <w:spacing w:before="0" w:after="283"/>
              <w:ind w:left="0" w:right="0" w:hanging="0"/>
              <w:jc w:val="right"/>
              <w:rPr>
                <w:sz w:val="20"/>
                <w:szCs w:val="20"/>
              </w:rPr>
            </w:pPr>
            <w:r>
              <w:rPr>
                <w:caps w:val="false"/>
                <w:smallCaps w:val="false"/>
                <w:sz w:val="20"/>
                <w:szCs w:val="20"/>
              </w:rPr>
              <w:t> </w:t>
            </w:r>
            <w:r>
              <w:rPr>
                <w:rFonts w:ascii="Arial" w:hAnsi="Arial"/>
                <w:sz w:val="20"/>
                <w:szCs w:val="20"/>
                <w:lang w:val="en-GB"/>
              </w:rPr>
              <w:t>79</w:t>
            </w:r>
          </w:p>
        </w:tc>
        <w:tc>
          <w:tcPr>
            <w:tcW w:w="763" w:type="dxa"/>
            <w:tcBorders>
              <w:bottom w:val="single" w:sz="4" w:space="0" w:color="000000"/>
              <w:right w:val="single" w:sz="4" w:space="0" w:color="000000"/>
            </w:tcBorders>
            <w:tcMar>
              <w:top w:w="0" w:type="dxa"/>
              <w:left w:w="0" w:type="dxa"/>
            </w:tcMar>
          </w:tcPr>
          <w:p>
            <w:pPr>
              <w:pStyle w:val="TableContents"/>
              <w:bidi w:val="0"/>
              <w:spacing w:before="0" w:after="283"/>
              <w:ind w:left="0" w:right="0" w:hanging="0"/>
              <w:jc w:val="right"/>
              <w:rPr>
                <w:sz w:val="20"/>
                <w:szCs w:val="20"/>
              </w:rPr>
            </w:pPr>
            <w:r>
              <w:rPr>
                <w:caps w:val="false"/>
                <w:smallCaps w:val="false"/>
                <w:sz w:val="20"/>
                <w:szCs w:val="20"/>
              </w:rPr>
              <w:t>    </w:t>
            </w:r>
            <w:r>
              <w:rPr>
                <w:rFonts w:ascii="Arial" w:hAnsi="Arial"/>
                <w:sz w:val="20"/>
                <w:szCs w:val="20"/>
                <w:lang w:val="en-GB"/>
              </w:rPr>
              <w:t>60</w:t>
            </w:r>
          </w:p>
        </w:tc>
        <w:tc>
          <w:tcPr>
            <w:tcW w:w="851" w:type="dxa"/>
            <w:tcBorders>
              <w:bottom w:val="single" w:sz="4" w:space="0" w:color="000000"/>
              <w:right w:val="single" w:sz="4" w:space="0" w:color="000000"/>
            </w:tcBorders>
            <w:tcMar>
              <w:top w:w="0" w:type="dxa"/>
              <w:left w:w="0" w:type="dxa"/>
            </w:tcMar>
          </w:tcPr>
          <w:p>
            <w:pPr>
              <w:pStyle w:val="TableContents"/>
              <w:bidi w:val="0"/>
              <w:spacing w:before="0" w:after="283"/>
              <w:ind w:left="0" w:right="0" w:hanging="0"/>
              <w:jc w:val="right"/>
              <w:rPr>
                <w:sz w:val="20"/>
                <w:szCs w:val="20"/>
              </w:rPr>
            </w:pPr>
            <w:r>
              <w:rPr>
                <w:caps w:val="false"/>
                <w:smallCaps w:val="false"/>
                <w:sz w:val="20"/>
                <w:szCs w:val="20"/>
              </w:rPr>
              <w:t>    </w:t>
            </w:r>
            <w:r>
              <w:rPr>
                <w:rFonts w:ascii="Arial" w:hAnsi="Arial"/>
                <w:sz w:val="20"/>
                <w:szCs w:val="20"/>
                <w:lang w:val="en-GB"/>
              </w:rPr>
              <w:t>139</w:t>
            </w:r>
          </w:p>
        </w:tc>
        <w:tc>
          <w:tcPr>
            <w:tcW w:w="1561" w:type="dxa"/>
            <w:tcBorders>
              <w:bottom w:val="single" w:sz="4" w:space="0" w:color="000000"/>
              <w:right w:val="single" w:sz="4" w:space="0" w:color="000000"/>
            </w:tcBorders>
            <w:tcMar>
              <w:top w:w="0" w:type="dxa"/>
              <w:left w:w="0" w:type="dxa"/>
            </w:tcMar>
          </w:tcPr>
          <w:p>
            <w:pPr>
              <w:pStyle w:val="TableContents"/>
              <w:bidi w:val="0"/>
              <w:spacing w:before="0" w:after="283"/>
              <w:ind w:left="0" w:right="0" w:hanging="0"/>
              <w:jc w:val="right"/>
              <w:rPr>
                <w:sz w:val="20"/>
                <w:szCs w:val="20"/>
              </w:rPr>
            </w:pPr>
            <w:r>
              <w:rPr>
                <w:caps w:val="false"/>
                <w:smallCaps w:val="false"/>
                <w:sz w:val="20"/>
                <w:szCs w:val="20"/>
              </w:rPr>
              <w:t>    </w:t>
            </w:r>
            <w:r>
              <w:rPr>
                <w:rFonts w:ascii="Arial" w:hAnsi="Arial"/>
                <w:sz w:val="20"/>
                <w:szCs w:val="20"/>
                <w:lang w:val="en-GB"/>
              </w:rPr>
              <w:t>641</w:t>
            </w:r>
          </w:p>
        </w:tc>
      </w:tr>
      <w:tr>
        <w:trPr/>
        <w:tc>
          <w:tcPr>
            <w:tcW w:w="1473" w:type="dxa"/>
            <w:tcBorders>
              <w:left w:val="single" w:sz="4" w:space="0" w:color="000000"/>
              <w:bottom w:val="single" w:sz="4" w:space="0" w:color="000000"/>
              <w:right w:val="single" w:sz="4" w:space="0" w:color="000000"/>
            </w:tcBorders>
            <w:tcMar>
              <w:top w:w="0" w:type="dxa"/>
            </w:tcMar>
          </w:tcPr>
          <w:p>
            <w:pPr>
              <w:pStyle w:val="TableContents"/>
              <w:bidi w:val="0"/>
              <w:spacing w:before="0" w:after="283"/>
              <w:ind w:left="0" w:right="0" w:hanging="0"/>
              <w:jc w:val="left"/>
              <w:rPr>
                <w:rFonts w:ascii="Arial" w:hAnsi="Arial"/>
                <w:sz w:val="20"/>
                <w:szCs w:val="20"/>
                <w:lang w:val="en-GB"/>
              </w:rPr>
            </w:pPr>
            <w:r>
              <w:rPr>
                <w:rFonts w:ascii="Arial" w:hAnsi="Arial"/>
                <w:sz w:val="20"/>
                <w:szCs w:val="20"/>
                <w:lang w:val="en-GB"/>
              </w:rPr>
              <w:t>3001 +</w:t>
            </w:r>
          </w:p>
        </w:tc>
        <w:tc>
          <w:tcPr>
            <w:tcW w:w="960" w:type="dxa"/>
            <w:tcBorders>
              <w:bottom w:val="single" w:sz="4" w:space="0" w:color="000000"/>
              <w:right w:val="single" w:sz="4" w:space="0" w:color="000000"/>
            </w:tcBorders>
            <w:tcMar>
              <w:top w:w="0" w:type="dxa"/>
              <w:left w:w="0" w:type="dxa"/>
            </w:tcMar>
          </w:tcPr>
          <w:p>
            <w:pPr>
              <w:pStyle w:val="TableContents"/>
              <w:bidi w:val="0"/>
              <w:spacing w:before="0" w:after="283"/>
              <w:ind w:left="0" w:right="0" w:hanging="0"/>
              <w:jc w:val="right"/>
              <w:rPr>
                <w:rFonts w:ascii="Arial" w:hAnsi="Arial"/>
                <w:sz w:val="20"/>
                <w:szCs w:val="20"/>
                <w:lang w:val="en-GB"/>
              </w:rPr>
            </w:pPr>
            <w:r>
              <w:rPr>
                <w:rFonts w:ascii="Arial" w:hAnsi="Arial"/>
                <w:sz w:val="20"/>
                <w:szCs w:val="20"/>
                <w:lang w:val="en-GB"/>
              </w:rPr>
              <w:t>17</w:t>
            </w:r>
          </w:p>
        </w:tc>
        <w:tc>
          <w:tcPr>
            <w:tcW w:w="1134" w:type="dxa"/>
            <w:tcBorders>
              <w:bottom w:val="single" w:sz="4" w:space="0" w:color="000000"/>
              <w:right w:val="single" w:sz="4" w:space="0" w:color="000000"/>
            </w:tcBorders>
            <w:tcMar>
              <w:top w:w="0" w:type="dxa"/>
              <w:left w:w="0" w:type="dxa"/>
            </w:tcMar>
          </w:tcPr>
          <w:p>
            <w:pPr>
              <w:pStyle w:val="TableContents"/>
              <w:bidi w:val="0"/>
              <w:spacing w:before="0" w:after="283"/>
              <w:ind w:left="0" w:right="0" w:hanging="0"/>
              <w:jc w:val="right"/>
              <w:rPr>
                <w:sz w:val="20"/>
                <w:szCs w:val="20"/>
              </w:rPr>
            </w:pPr>
            <w:r>
              <w:rPr>
                <w:caps w:val="false"/>
                <w:smallCaps w:val="false"/>
                <w:sz w:val="20"/>
                <w:szCs w:val="20"/>
              </w:rPr>
              <w:t>    </w:t>
            </w:r>
            <w:r>
              <w:rPr>
                <w:rFonts w:ascii="Arial" w:hAnsi="Arial"/>
                <w:sz w:val="20"/>
                <w:szCs w:val="20"/>
                <w:lang w:val="en-GB"/>
              </w:rPr>
              <w:t>65</w:t>
            </w:r>
          </w:p>
        </w:tc>
        <w:tc>
          <w:tcPr>
            <w:tcW w:w="971" w:type="dxa"/>
            <w:tcBorders>
              <w:bottom w:val="single" w:sz="4" w:space="0" w:color="000000"/>
              <w:right w:val="single" w:sz="4" w:space="0" w:color="000000"/>
            </w:tcBorders>
            <w:tcMar>
              <w:top w:w="0" w:type="dxa"/>
              <w:left w:w="0" w:type="dxa"/>
            </w:tcMar>
          </w:tcPr>
          <w:p>
            <w:pPr>
              <w:pStyle w:val="TableContents"/>
              <w:bidi w:val="0"/>
              <w:spacing w:before="0" w:after="283"/>
              <w:ind w:left="0" w:right="0" w:hanging="0"/>
              <w:jc w:val="right"/>
              <w:rPr>
                <w:rFonts w:ascii="Arial" w:hAnsi="Arial"/>
                <w:sz w:val="20"/>
                <w:szCs w:val="20"/>
                <w:lang w:val="en-GB"/>
              </w:rPr>
            </w:pPr>
            <w:r>
              <w:rPr>
                <w:rFonts w:ascii="Arial" w:hAnsi="Arial"/>
                <w:sz w:val="20"/>
                <w:szCs w:val="20"/>
                <w:lang w:val="en-GB"/>
              </w:rPr>
              <w:t>157</w:t>
            </w:r>
          </w:p>
        </w:tc>
        <w:tc>
          <w:tcPr>
            <w:tcW w:w="797" w:type="dxa"/>
            <w:tcBorders>
              <w:bottom w:val="single" w:sz="4" w:space="0" w:color="000000"/>
              <w:right w:val="single" w:sz="4" w:space="0" w:color="000000"/>
            </w:tcBorders>
            <w:tcMar>
              <w:top w:w="0" w:type="dxa"/>
              <w:left w:w="0" w:type="dxa"/>
            </w:tcMar>
          </w:tcPr>
          <w:p>
            <w:pPr>
              <w:pStyle w:val="TableContents"/>
              <w:bidi w:val="0"/>
              <w:spacing w:before="0" w:after="283"/>
              <w:ind w:left="0" w:right="0" w:hanging="0"/>
              <w:jc w:val="right"/>
              <w:rPr>
                <w:rFonts w:ascii="Arial" w:hAnsi="Arial"/>
                <w:sz w:val="20"/>
                <w:szCs w:val="20"/>
                <w:lang w:val="en-GB"/>
              </w:rPr>
            </w:pPr>
            <w:r>
              <w:rPr>
                <w:rFonts w:ascii="Arial" w:hAnsi="Arial"/>
                <w:sz w:val="20"/>
                <w:szCs w:val="20"/>
                <w:lang w:val="en-GB"/>
              </w:rPr>
              <w:t>305</w:t>
            </w:r>
          </w:p>
        </w:tc>
        <w:tc>
          <w:tcPr>
            <w:tcW w:w="763" w:type="dxa"/>
            <w:tcBorders>
              <w:bottom w:val="single" w:sz="4" w:space="0" w:color="000000"/>
              <w:right w:val="single" w:sz="4" w:space="0" w:color="000000"/>
            </w:tcBorders>
            <w:tcMar>
              <w:top w:w="0" w:type="dxa"/>
              <w:left w:w="0" w:type="dxa"/>
            </w:tcMar>
          </w:tcPr>
          <w:p>
            <w:pPr>
              <w:pStyle w:val="TableContents"/>
              <w:bidi w:val="0"/>
              <w:spacing w:before="0" w:after="283"/>
              <w:ind w:left="0" w:right="0" w:hanging="0"/>
              <w:jc w:val="right"/>
              <w:rPr>
                <w:rFonts w:ascii="Arial" w:hAnsi="Arial"/>
                <w:sz w:val="20"/>
                <w:szCs w:val="20"/>
                <w:lang w:val="en-GB"/>
              </w:rPr>
            </w:pPr>
            <w:r>
              <w:rPr>
                <w:rFonts w:ascii="Arial" w:hAnsi="Arial"/>
                <w:sz w:val="20"/>
                <w:szCs w:val="20"/>
                <w:lang w:val="en-GB"/>
              </w:rPr>
              <w:t>351</w:t>
            </w:r>
          </w:p>
        </w:tc>
        <w:tc>
          <w:tcPr>
            <w:tcW w:w="851" w:type="dxa"/>
            <w:tcBorders>
              <w:bottom w:val="single" w:sz="4" w:space="0" w:color="000000"/>
              <w:right w:val="single" w:sz="4" w:space="0" w:color="000000"/>
            </w:tcBorders>
            <w:tcMar>
              <w:top w:w="0" w:type="dxa"/>
              <w:left w:w="0" w:type="dxa"/>
            </w:tcMar>
          </w:tcPr>
          <w:p>
            <w:pPr>
              <w:pStyle w:val="TableContents"/>
              <w:bidi w:val="0"/>
              <w:spacing w:before="0" w:after="283"/>
              <w:ind w:left="0" w:right="0" w:hanging="0"/>
              <w:jc w:val="right"/>
              <w:rPr>
                <w:sz w:val="20"/>
                <w:szCs w:val="20"/>
              </w:rPr>
            </w:pPr>
            <w:r>
              <w:rPr>
                <w:caps w:val="false"/>
                <w:smallCaps w:val="false"/>
                <w:sz w:val="20"/>
                <w:szCs w:val="20"/>
              </w:rPr>
              <w:t>    </w:t>
            </w:r>
            <w:r>
              <w:rPr>
                <w:rFonts w:ascii="Arial" w:hAnsi="Arial"/>
                <w:sz w:val="20"/>
                <w:szCs w:val="20"/>
                <w:lang w:val="en-GB"/>
              </w:rPr>
              <w:t>1502</w:t>
            </w:r>
          </w:p>
        </w:tc>
        <w:tc>
          <w:tcPr>
            <w:tcW w:w="1561" w:type="dxa"/>
            <w:tcBorders>
              <w:bottom w:val="single" w:sz="4" w:space="0" w:color="000000"/>
              <w:right w:val="single" w:sz="4" w:space="0" w:color="000000"/>
            </w:tcBorders>
            <w:tcMar>
              <w:top w:w="0" w:type="dxa"/>
              <w:left w:w="0" w:type="dxa"/>
            </w:tcMar>
          </w:tcPr>
          <w:p>
            <w:pPr>
              <w:pStyle w:val="TableContents"/>
              <w:bidi w:val="0"/>
              <w:spacing w:before="0" w:after="283"/>
              <w:ind w:left="0" w:right="0" w:hanging="0"/>
              <w:jc w:val="right"/>
              <w:rPr>
                <w:sz w:val="20"/>
                <w:szCs w:val="20"/>
              </w:rPr>
            </w:pPr>
            <w:r>
              <w:rPr>
                <w:caps w:val="false"/>
                <w:smallCaps w:val="false"/>
                <w:sz w:val="20"/>
                <w:szCs w:val="20"/>
              </w:rPr>
              <w:t>    </w:t>
            </w:r>
            <w:r>
              <w:rPr>
                <w:rFonts w:ascii="Arial" w:hAnsi="Arial"/>
                <w:sz w:val="20"/>
                <w:szCs w:val="20"/>
                <w:lang w:val="en-GB"/>
              </w:rPr>
              <w:t>-</w:t>
            </w:r>
          </w:p>
        </w:tc>
      </w:tr>
      <w:tr>
        <w:trPr/>
        <w:tc>
          <w:tcPr>
            <w:tcW w:w="1473" w:type="dxa"/>
            <w:tcBorders>
              <w:left w:val="single" w:sz="4" w:space="0" w:color="000000"/>
              <w:bottom w:val="single" w:sz="4" w:space="0" w:color="000000"/>
              <w:right w:val="single" w:sz="4" w:space="0" w:color="000000"/>
            </w:tcBorders>
            <w:tcMar>
              <w:top w:w="0" w:type="dxa"/>
            </w:tcMar>
          </w:tcPr>
          <w:p>
            <w:pPr>
              <w:pStyle w:val="TableContents"/>
              <w:bidi w:val="0"/>
              <w:spacing w:before="0" w:after="283"/>
              <w:ind w:left="0" w:right="0" w:hanging="0"/>
              <w:jc w:val="left"/>
              <w:rPr>
                <w:rFonts w:ascii="Arial" w:hAnsi="Arial"/>
                <w:sz w:val="20"/>
                <w:szCs w:val="20"/>
                <w:lang w:val="en-GB"/>
              </w:rPr>
            </w:pPr>
            <w:r>
              <w:rPr>
                <w:rFonts w:ascii="Arial" w:hAnsi="Arial"/>
                <w:sz w:val="20"/>
                <w:szCs w:val="20"/>
                <w:lang w:val="en-GB"/>
              </w:rPr>
              <w:t>Total</w:t>
            </w:r>
          </w:p>
        </w:tc>
        <w:tc>
          <w:tcPr>
            <w:tcW w:w="960" w:type="dxa"/>
            <w:tcBorders>
              <w:bottom w:val="single" w:sz="4" w:space="0" w:color="000000"/>
              <w:right w:val="single" w:sz="4" w:space="0" w:color="000000"/>
            </w:tcBorders>
            <w:tcMar>
              <w:top w:w="0" w:type="dxa"/>
              <w:left w:w="0" w:type="dxa"/>
            </w:tcMar>
          </w:tcPr>
          <w:p>
            <w:pPr>
              <w:pStyle w:val="TableContents"/>
              <w:bidi w:val="0"/>
              <w:spacing w:before="0" w:after="283"/>
              <w:ind w:left="0" w:right="0" w:hanging="0"/>
              <w:jc w:val="right"/>
              <w:rPr>
                <w:rFonts w:ascii="Arial" w:hAnsi="Arial"/>
                <w:sz w:val="20"/>
                <w:szCs w:val="20"/>
                <w:lang w:val="en-GB"/>
              </w:rPr>
            </w:pPr>
            <w:r>
              <w:rPr>
                <w:rFonts w:ascii="Arial" w:hAnsi="Arial"/>
                <w:sz w:val="20"/>
                <w:szCs w:val="20"/>
                <w:lang w:val="en-GB"/>
              </w:rPr>
              <w:t>400</w:t>
            </w:r>
          </w:p>
        </w:tc>
        <w:tc>
          <w:tcPr>
            <w:tcW w:w="1134" w:type="dxa"/>
            <w:tcBorders>
              <w:bottom w:val="single" w:sz="4" w:space="0" w:color="000000"/>
              <w:right w:val="single" w:sz="4" w:space="0" w:color="000000"/>
            </w:tcBorders>
            <w:tcMar>
              <w:top w:w="0" w:type="dxa"/>
              <w:left w:w="0" w:type="dxa"/>
            </w:tcMar>
          </w:tcPr>
          <w:p>
            <w:pPr>
              <w:pStyle w:val="TableContents"/>
              <w:bidi w:val="0"/>
              <w:spacing w:before="0" w:after="283"/>
              <w:ind w:left="0" w:right="0" w:hanging="0"/>
              <w:jc w:val="right"/>
              <w:rPr>
                <w:rFonts w:ascii="Arial" w:hAnsi="Arial"/>
                <w:sz w:val="20"/>
                <w:szCs w:val="20"/>
                <w:lang w:val="en-GB"/>
              </w:rPr>
            </w:pPr>
            <w:r>
              <w:rPr>
                <w:rFonts w:ascii="Arial" w:hAnsi="Arial"/>
                <w:sz w:val="20"/>
                <w:szCs w:val="20"/>
                <w:lang w:val="en-GB"/>
              </w:rPr>
              <w:t>395</w:t>
            </w:r>
          </w:p>
        </w:tc>
        <w:tc>
          <w:tcPr>
            <w:tcW w:w="971" w:type="dxa"/>
            <w:tcBorders>
              <w:bottom w:val="single" w:sz="4" w:space="0" w:color="000000"/>
              <w:right w:val="single" w:sz="4" w:space="0" w:color="000000"/>
            </w:tcBorders>
            <w:tcMar>
              <w:top w:w="0" w:type="dxa"/>
              <w:left w:w="0" w:type="dxa"/>
            </w:tcMar>
          </w:tcPr>
          <w:p>
            <w:pPr>
              <w:pStyle w:val="TableContents"/>
              <w:bidi w:val="0"/>
              <w:spacing w:before="0" w:after="283"/>
              <w:ind w:left="0" w:right="0" w:hanging="0"/>
              <w:jc w:val="right"/>
              <w:rPr>
                <w:rFonts w:ascii="Arial" w:hAnsi="Arial"/>
                <w:sz w:val="20"/>
                <w:szCs w:val="20"/>
                <w:lang w:val="en-GB"/>
              </w:rPr>
            </w:pPr>
            <w:r>
              <w:rPr>
                <w:rFonts w:ascii="Arial" w:hAnsi="Arial"/>
                <w:sz w:val="20"/>
                <w:szCs w:val="20"/>
                <w:lang w:val="en-GB"/>
              </w:rPr>
              <w:t>477</w:t>
            </w:r>
          </w:p>
        </w:tc>
        <w:tc>
          <w:tcPr>
            <w:tcW w:w="797" w:type="dxa"/>
            <w:tcBorders>
              <w:bottom w:val="single" w:sz="4" w:space="0" w:color="000000"/>
              <w:right w:val="single" w:sz="4" w:space="0" w:color="000000"/>
            </w:tcBorders>
            <w:tcMar>
              <w:top w:w="0" w:type="dxa"/>
              <w:left w:w="0" w:type="dxa"/>
            </w:tcMar>
          </w:tcPr>
          <w:p>
            <w:pPr>
              <w:pStyle w:val="TableContents"/>
              <w:bidi w:val="0"/>
              <w:spacing w:before="0" w:after="283"/>
              <w:ind w:left="0" w:right="0" w:hanging="0"/>
              <w:jc w:val="right"/>
              <w:rPr>
                <w:rFonts w:ascii="Arial" w:hAnsi="Arial"/>
                <w:sz w:val="20"/>
                <w:szCs w:val="20"/>
                <w:lang w:val="en-GB"/>
              </w:rPr>
            </w:pPr>
            <w:r>
              <w:rPr>
                <w:rFonts w:ascii="Arial" w:hAnsi="Arial"/>
                <w:sz w:val="20"/>
                <w:szCs w:val="20"/>
                <w:lang w:val="en-GB"/>
              </w:rPr>
              <w:t>645</w:t>
            </w:r>
          </w:p>
        </w:tc>
        <w:tc>
          <w:tcPr>
            <w:tcW w:w="763" w:type="dxa"/>
            <w:tcBorders>
              <w:bottom w:val="single" w:sz="4" w:space="0" w:color="000000"/>
              <w:right w:val="single" w:sz="4" w:space="0" w:color="000000"/>
            </w:tcBorders>
            <w:tcMar>
              <w:top w:w="0" w:type="dxa"/>
              <w:left w:w="0" w:type="dxa"/>
            </w:tcMar>
          </w:tcPr>
          <w:p>
            <w:pPr>
              <w:pStyle w:val="TableContents"/>
              <w:bidi w:val="0"/>
              <w:spacing w:before="0" w:after="283"/>
              <w:ind w:left="0" w:right="0" w:hanging="0"/>
              <w:jc w:val="right"/>
              <w:rPr>
                <w:rFonts w:ascii="Arial" w:hAnsi="Arial"/>
                <w:sz w:val="20"/>
                <w:szCs w:val="20"/>
                <w:lang w:val="en-GB"/>
              </w:rPr>
            </w:pPr>
            <w:r>
              <w:rPr>
                <w:rFonts w:ascii="Arial" w:hAnsi="Arial"/>
                <w:sz w:val="20"/>
                <w:szCs w:val="20"/>
                <w:lang w:val="en-GB"/>
              </w:rPr>
              <w:t>562</w:t>
            </w:r>
          </w:p>
        </w:tc>
        <w:tc>
          <w:tcPr>
            <w:tcW w:w="851" w:type="dxa"/>
            <w:tcBorders>
              <w:bottom w:val="single" w:sz="4" w:space="0" w:color="000000"/>
              <w:right w:val="single" w:sz="4" w:space="0" w:color="000000"/>
            </w:tcBorders>
            <w:tcMar>
              <w:top w:w="0" w:type="dxa"/>
              <w:left w:w="0" w:type="dxa"/>
            </w:tcMar>
          </w:tcPr>
          <w:p>
            <w:pPr>
              <w:pStyle w:val="TableContents"/>
              <w:bidi w:val="0"/>
              <w:spacing w:before="0" w:after="283"/>
              <w:ind w:left="0" w:right="0" w:hanging="0"/>
              <w:jc w:val="right"/>
              <w:rPr>
                <w:sz w:val="20"/>
                <w:szCs w:val="20"/>
              </w:rPr>
            </w:pPr>
            <w:r>
              <w:rPr>
                <w:caps w:val="false"/>
                <w:smallCaps w:val="false"/>
                <w:sz w:val="20"/>
                <w:szCs w:val="20"/>
              </w:rPr>
              <w:t>    </w:t>
            </w:r>
            <w:r>
              <w:rPr>
                <w:rFonts w:ascii="Arial" w:hAnsi="Arial"/>
                <w:sz w:val="20"/>
                <w:szCs w:val="20"/>
                <w:lang w:val="en-GB"/>
              </w:rPr>
              <w:t>1879</w:t>
            </w:r>
          </w:p>
        </w:tc>
        <w:tc>
          <w:tcPr>
            <w:tcW w:w="1561" w:type="dxa"/>
            <w:tcBorders>
              <w:bottom w:val="single" w:sz="4" w:space="0" w:color="000000"/>
              <w:right w:val="single" w:sz="4" w:space="0" w:color="000000"/>
            </w:tcBorders>
            <w:tcMar>
              <w:top w:w="0" w:type="dxa"/>
              <w:left w:w="0" w:type="dxa"/>
            </w:tcMar>
          </w:tcPr>
          <w:p>
            <w:pPr>
              <w:pStyle w:val="TableContents"/>
              <w:bidi w:val="0"/>
              <w:spacing w:before="0" w:after="283"/>
              <w:ind w:left="0" w:right="0" w:hanging="0"/>
              <w:jc w:val="right"/>
              <w:rPr>
                <w:sz w:val="20"/>
                <w:szCs w:val="20"/>
              </w:rPr>
            </w:pPr>
            <w:r>
              <w:rPr>
                <w:caps w:val="false"/>
                <w:smallCaps w:val="false"/>
                <w:sz w:val="20"/>
                <w:szCs w:val="20"/>
              </w:rPr>
              <w:t>    </w:t>
            </w:r>
            <w:r>
              <w:rPr>
                <w:sz w:val="20"/>
                <w:szCs w:val="20"/>
              </w:rPr>
              <w:t> </w:t>
            </w:r>
          </w:p>
        </w:tc>
      </w:tr>
    </w:tbl>
    <w:p>
      <w:pPr>
        <w:pStyle w:val="TextBody"/>
        <w:widowControl/>
        <w:bidi w:val="0"/>
        <w:spacing w:lineRule="auto" w:line="360"/>
        <w:ind w:left="0" w:right="0" w:hanging="0"/>
        <w:jc w:val="left"/>
        <w:rPr>
          <w:rFonts w:ascii="Arial" w:hAnsi="Arial"/>
          <w:b w:val="false"/>
          <w:i w:val="false"/>
          <w:caps w:val="false"/>
          <w:smallCaps w:val="false"/>
          <w:color w:val="auto"/>
          <w:spacing w:val="0"/>
          <w:sz w:val="21"/>
          <w:szCs w:val="21"/>
          <w:lang w:val="en-GB"/>
        </w:rPr>
      </w:pPr>
      <w:r>
        <w:rPr>
          <w:rFonts w:ascii="Arial" w:hAnsi="Arial"/>
          <w:b w:val="false"/>
          <w:i w:val="false"/>
          <w:caps w:val="false"/>
          <w:smallCaps w:val="false"/>
          <w:color w:val="auto"/>
          <w:spacing w:val="0"/>
          <w:sz w:val="21"/>
          <w:szCs w:val="21"/>
          <w:lang w:val="en-GB"/>
        </w:rPr>
        <w:t>*The words in the </w:t>
      </w:r>
      <w:r>
        <w:rPr>
          <w:rFonts w:ascii="Arial" w:hAnsi="Arial"/>
          <w:b w:val="false"/>
          <w:i/>
          <w:caps w:val="false"/>
          <w:smallCaps w:val="false"/>
          <w:color w:val="auto"/>
          <w:spacing w:val="0"/>
          <w:sz w:val="21"/>
          <w:szCs w:val="21"/>
          <w:lang w:val="en-GB"/>
        </w:rPr>
        <w:t>not used</w:t>
      </w:r>
      <w:r>
        <w:rPr>
          <w:rFonts w:ascii="Arial" w:hAnsi="Arial"/>
          <w:b w:val="false"/>
          <w:i w:val="false"/>
          <w:caps w:val="false"/>
          <w:smallCaps w:val="false"/>
          <w:color w:val="auto"/>
          <w:spacing w:val="0"/>
          <w:sz w:val="21"/>
          <w:szCs w:val="21"/>
          <w:lang w:val="en-GB"/>
        </w:rPr>
        <w:t> category refer to words in that frequency band that did not appear in the series.</w:t>
      </w:r>
    </w:p>
    <w:p>
      <w:pPr>
        <w:pStyle w:val="TextBody"/>
        <w:widowControl/>
        <w:bidi w:val="0"/>
        <w:jc w:val="center"/>
        <w:rPr>
          <w:sz w:val="20"/>
          <w:szCs w:val="20"/>
        </w:rPr>
      </w:pPr>
      <w:r>
        <w:rPr>
          <w:rFonts w:ascii="Arial" w:hAnsi="Arial"/>
          <w:b w:val="false"/>
          <w:i/>
          <w:caps w:val="false"/>
          <w:smallCaps w:val="false"/>
          <w:color w:val="auto"/>
          <w:spacing w:val="0"/>
          <w:sz w:val="21"/>
          <w:szCs w:val="21"/>
          <w:lang w:val="en-GB"/>
        </w:rPr>
        <w:t>Table 3: The percentage of types by recurrence rate by frequency band</w:t>
      </w:r>
    </w:p>
    <w:tbl>
      <w:tblPr>
        <w:tblW w:w="8564" w:type="dxa"/>
        <w:jc w:val="center"/>
        <w:tblInd w:w="0" w:type="dxa"/>
        <w:tblLayout w:type="fixed"/>
        <w:tblCellMar>
          <w:top w:w="28" w:type="dxa"/>
          <w:left w:w="108" w:type="dxa"/>
          <w:bottom w:w="28" w:type="dxa"/>
          <w:right w:w="108" w:type="dxa"/>
        </w:tblCellMar>
      </w:tblPr>
      <w:tblGrid>
        <w:gridCol w:w="1364"/>
        <w:gridCol w:w="1287"/>
        <w:gridCol w:w="1080"/>
        <w:gridCol w:w="1200"/>
        <w:gridCol w:w="1080"/>
        <w:gridCol w:w="1189"/>
        <w:gridCol w:w="1364"/>
      </w:tblGrid>
      <w:tr>
        <w:trPr/>
        <w:tc>
          <w:tcPr>
            <w:tcW w:w="1364" w:type="dxa"/>
            <w:tcBorders>
              <w:top w:val="single" w:sz="8" w:space="0" w:color="000000"/>
              <w:left w:val="single" w:sz="8" w:space="0" w:color="000000"/>
              <w:bottom w:val="single" w:sz="8" w:space="0" w:color="000000"/>
              <w:right w:val="single" w:sz="8" w:space="0" w:color="000000"/>
            </w:tcBorders>
          </w:tcPr>
          <w:p>
            <w:pPr>
              <w:pStyle w:val="TableContents"/>
              <w:bidi w:val="0"/>
              <w:spacing w:before="0" w:after="283"/>
              <w:ind w:left="0" w:right="0" w:hanging="0"/>
              <w:jc w:val="center"/>
              <w:rPr>
                <w:sz w:val="20"/>
                <w:szCs w:val="20"/>
              </w:rPr>
            </w:pPr>
            <w:r>
              <w:rPr>
                <w:caps w:val="false"/>
                <w:smallCaps w:val="false"/>
                <w:sz w:val="20"/>
                <w:szCs w:val="20"/>
              </w:rPr>
              <w:t>    </w:t>
            </w:r>
            <w:r>
              <w:rPr>
                <w:sz w:val="20"/>
                <w:szCs w:val="20"/>
              </w:rPr>
              <w:t> </w:t>
            </w:r>
          </w:p>
        </w:tc>
        <w:tc>
          <w:tcPr>
            <w:tcW w:w="1287" w:type="dxa"/>
            <w:tcBorders>
              <w:top w:val="single" w:sz="8" w:space="0" w:color="000000"/>
              <w:bottom w:val="single" w:sz="8" w:space="0" w:color="000000"/>
              <w:right w:val="single" w:sz="8" w:space="0" w:color="000000"/>
            </w:tcBorders>
            <w:tcMar>
              <w:left w:w="0" w:type="dxa"/>
            </w:tcMar>
          </w:tcPr>
          <w:p>
            <w:pPr>
              <w:pStyle w:val="TableContents"/>
              <w:bidi w:val="0"/>
              <w:spacing w:before="0" w:after="283"/>
              <w:ind w:left="0" w:right="0" w:hanging="0"/>
              <w:jc w:val="center"/>
              <w:rPr>
                <w:sz w:val="20"/>
                <w:szCs w:val="20"/>
              </w:rPr>
            </w:pPr>
            <w:r>
              <w:rPr>
                <w:caps w:val="false"/>
                <w:smallCaps w:val="false"/>
                <w:sz w:val="20"/>
                <w:szCs w:val="20"/>
              </w:rPr>
              <w:t>    </w:t>
            </w:r>
            <w:r>
              <w:rPr>
                <w:rFonts w:ascii="Arial" w:hAnsi="Arial"/>
                <w:b/>
                <w:sz w:val="20"/>
                <w:szCs w:val="20"/>
                <w:lang w:val="en-GB"/>
              </w:rPr>
              <w:t>51+</w:t>
            </w:r>
          </w:p>
        </w:tc>
        <w:tc>
          <w:tcPr>
            <w:tcW w:w="1080" w:type="dxa"/>
            <w:tcBorders>
              <w:top w:val="single" w:sz="8" w:space="0" w:color="000000"/>
              <w:bottom w:val="single" w:sz="8" w:space="0" w:color="000000"/>
              <w:right w:val="single" w:sz="8" w:space="0" w:color="000000"/>
            </w:tcBorders>
            <w:tcMar>
              <w:left w:w="0" w:type="dxa"/>
            </w:tcMar>
          </w:tcPr>
          <w:p>
            <w:pPr>
              <w:pStyle w:val="TableContents"/>
              <w:bidi w:val="0"/>
              <w:spacing w:before="0" w:after="283"/>
              <w:ind w:left="0" w:right="0" w:hanging="0"/>
              <w:jc w:val="center"/>
              <w:rPr>
                <w:sz w:val="20"/>
                <w:szCs w:val="20"/>
              </w:rPr>
            </w:pPr>
            <w:r>
              <w:rPr>
                <w:caps w:val="false"/>
                <w:smallCaps w:val="false"/>
                <w:sz w:val="20"/>
                <w:szCs w:val="20"/>
              </w:rPr>
              <w:t>    </w:t>
            </w:r>
            <w:r>
              <w:rPr>
                <w:rFonts w:ascii="Arial" w:hAnsi="Arial"/>
                <w:b/>
                <w:sz w:val="20"/>
                <w:szCs w:val="20"/>
                <w:lang w:val="en-GB"/>
              </w:rPr>
              <w:t>21-50</w:t>
            </w:r>
          </w:p>
        </w:tc>
        <w:tc>
          <w:tcPr>
            <w:tcW w:w="1200" w:type="dxa"/>
            <w:tcBorders>
              <w:top w:val="single" w:sz="8" w:space="0" w:color="000000"/>
              <w:bottom w:val="single" w:sz="8" w:space="0" w:color="000000"/>
              <w:right w:val="single" w:sz="8" w:space="0" w:color="000000"/>
            </w:tcBorders>
            <w:tcMar>
              <w:left w:w="0" w:type="dxa"/>
            </w:tcMar>
          </w:tcPr>
          <w:p>
            <w:pPr>
              <w:pStyle w:val="TableContents"/>
              <w:bidi w:val="0"/>
              <w:spacing w:before="0" w:after="283"/>
              <w:ind w:left="0" w:right="0" w:hanging="0"/>
              <w:jc w:val="center"/>
              <w:rPr>
                <w:sz w:val="20"/>
                <w:szCs w:val="20"/>
              </w:rPr>
            </w:pPr>
            <w:r>
              <w:rPr>
                <w:caps w:val="false"/>
                <w:smallCaps w:val="false"/>
                <w:sz w:val="20"/>
                <w:szCs w:val="20"/>
              </w:rPr>
              <w:t>    </w:t>
            </w:r>
            <w:r>
              <w:rPr>
                <w:rFonts w:ascii="Arial" w:hAnsi="Arial"/>
                <w:b/>
                <w:sz w:val="20"/>
                <w:szCs w:val="20"/>
                <w:lang w:val="en-GB"/>
              </w:rPr>
              <w:t>20-10</w:t>
            </w:r>
          </w:p>
        </w:tc>
        <w:tc>
          <w:tcPr>
            <w:tcW w:w="1080" w:type="dxa"/>
            <w:tcBorders>
              <w:top w:val="single" w:sz="8" w:space="0" w:color="000000"/>
              <w:bottom w:val="single" w:sz="8" w:space="0" w:color="000000"/>
              <w:right w:val="single" w:sz="8" w:space="0" w:color="000000"/>
            </w:tcBorders>
            <w:tcMar>
              <w:left w:w="0" w:type="dxa"/>
            </w:tcMar>
          </w:tcPr>
          <w:p>
            <w:pPr>
              <w:pStyle w:val="TableContents"/>
              <w:bidi w:val="0"/>
              <w:spacing w:before="0" w:after="283"/>
              <w:ind w:left="0" w:right="0" w:hanging="0"/>
              <w:jc w:val="center"/>
              <w:rPr>
                <w:sz w:val="20"/>
                <w:szCs w:val="20"/>
              </w:rPr>
            </w:pPr>
            <w:r>
              <w:rPr>
                <w:caps w:val="false"/>
                <w:smallCaps w:val="false"/>
                <w:sz w:val="20"/>
                <w:szCs w:val="20"/>
              </w:rPr>
              <w:t>    </w:t>
            </w:r>
            <w:r>
              <w:rPr>
                <w:rFonts w:ascii="Arial" w:hAnsi="Arial"/>
                <w:b/>
                <w:sz w:val="20"/>
                <w:szCs w:val="20"/>
                <w:lang w:val="en-GB"/>
              </w:rPr>
              <w:t>9-5</w:t>
            </w:r>
          </w:p>
        </w:tc>
        <w:tc>
          <w:tcPr>
            <w:tcW w:w="1189" w:type="dxa"/>
            <w:tcBorders>
              <w:top w:val="single" w:sz="8" w:space="0" w:color="000000"/>
              <w:bottom w:val="single" w:sz="8" w:space="0" w:color="000000"/>
              <w:right w:val="single" w:sz="8" w:space="0" w:color="000000"/>
            </w:tcBorders>
            <w:tcMar>
              <w:left w:w="0" w:type="dxa"/>
            </w:tcMar>
          </w:tcPr>
          <w:p>
            <w:pPr>
              <w:pStyle w:val="TableContents"/>
              <w:bidi w:val="0"/>
              <w:spacing w:before="0" w:after="283"/>
              <w:ind w:left="0" w:right="0" w:hanging="0"/>
              <w:jc w:val="center"/>
              <w:rPr>
                <w:sz w:val="20"/>
                <w:szCs w:val="20"/>
              </w:rPr>
            </w:pPr>
            <w:r>
              <w:rPr>
                <w:caps w:val="false"/>
                <w:smallCaps w:val="false"/>
                <w:sz w:val="20"/>
                <w:szCs w:val="20"/>
              </w:rPr>
              <w:t>    </w:t>
            </w:r>
            <w:r>
              <w:rPr>
                <w:rFonts w:ascii="Arial" w:hAnsi="Arial"/>
                <w:b/>
                <w:sz w:val="20"/>
                <w:szCs w:val="20"/>
                <w:lang w:val="en-GB"/>
              </w:rPr>
              <w:t>4-3</w:t>
            </w:r>
          </w:p>
        </w:tc>
        <w:tc>
          <w:tcPr>
            <w:tcW w:w="1364" w:type="dxa"/>
            <w:tcBorders>
              <w:top w:val="single" w:sz="8" w:space="0" w:color="000000"/>
              <w:bottom w:val="single" w:sz="8" w:space="0" w:color="000000"/>
              <w:right w:val="single" w:sz="8" w:space="0" w:color="000000"/>
            </w:tcBorders>
            <w:tcMar>
              <w:left w:w="0" w:type="dxa"/>
            </w:tcMar>
          </w:tcPr>
          <w:p>
            <w:pPr>
              <w:pStyle w:val="TableContents"/>
              <w:bidi w:val="0"/>
              <w:spacing w:before="0" w:after="283"/>
              <w:ind w:left="0" w:right="0" w:hanging="0"/>
              <w:jc w:val="center"/>
              <w:rPr>
                <w:sz w:val="20"/>
                <w:szCs w:val="20"/>
              </w:rPr>
            </w:pPr>
            <w:r>
              <w:rPr>
                <w:caps w:val="false"/>
                <w:smallCaps w:val="false"/>
                <w:sz w:val="20"/>
                <w:szCs w:val="20"/>
              </w:rPr>
              <w:t>    </w:t>
            </w:r>
            <w:r>
              <w:rPr>
                <w:rFonts w:ascii="Arial" w:hAnsi="Arial"/>
                <w:b/>
                <w:sz w:val="20"/>
                <w:szCs w:val="20"/>
                <w:lang w:val="en-GB"/>
              </w:rPr>
              <w:t>2-1</w:t>
            </w:r>
          </w:p>
        </w:tc>
      </w:tr>
      <w:tr>
        <w:trPr/>
        <w:tc>
          <w:tcPr>
            <w:tcW w:w="1364" w:type="dxa"/>
            <w:tcBorders>
              <w:bottom w:val="single" w:sz="8" w:space="0" w:color="000000"/>
              <w:right w:val="single" w:sz="8" w:space="0" w:color="000000"/>
            </w:tcBorders>
            <w:tcMar>
              <w:top w:w="0" w:type="dxa"/>
              <w:left w:w="0" w:type="dxa"/>
            </w:tcMar>
          </w:tcPr>
          <w:p>
            <w:pPr>
              <w:pStyle w:val="TableContents"/>
              <w:bidi w:val="0"/>
              <w:spacing w:before="0" w:after="283"/>
              <w:ind w:left="0" w:right="0" w:hanging="0"/>
              <w:jc w:val="left"/>
              <w:rPr>
                <w:rFonts w:ascii="Arial" w:hAnsi="Arial"/>
                <w:sz w:val="20"/>
                <w:szCs w:val="20"/>
                <w:lang w:val="en-GB"/>
              </w:rPr>
            </w:pPr>
            <w:r>
              <w:rPr>
                <w:rFonts w:ascii="Arial" w:hAnsi="Arial"/>
                <w:sz w:val="20"/>
                <w:szCs w:val="20"/>
                <w:lang w:val="en-GB"/>
              </w:rPr>
              <w:t>1-1000</w:t>
            </w:r>
          </w:p>
        </w:tc>
        <w:tc>
          <w:tcPr>
            <w:tcW w:w="1287" w:type="dxa"/>
            <w:tcBorders>
              <w:bottom w:val="single" w:sz="8" w:space="0" w:color="000000"/>
              <w:right w:val="single" w:sz="8" w:space="0" w:color="000000"/>
            </w:tcBorders>
            <w:tcMar>
              <w:top w:w="0" w:type="dxa"/>
              <w:left w:w="0" w:type="dxa"/>
            </w:tcMar>
          </w:tcPr>
          <w:p>
            <w:pPr>
              <w:pStyle w:val="TableContents"/>
              <w:bidi w:val="0"/>
              <w:spacing w:before="0" w:after="283"/>
              <w:ind w:left="0" w:right="0" w:hanging="0"/>
              <w:jc w:val="right"/>
              <w:rPr>
                <w:rFonts w:ascii="Arial" w:hAnsi="Arial"/>
                <w:sz w:val="20"/>
                <w:szCs w:val="20"/>
                <w:lang w:val="en-GB"/>
              </w:rPr>
            </w:pPr>
            <w:r>
              <w:rPr>
                <w:rFonts w:ascii="Arial" w:hAnsi="Arial"/>
                <w:sz w:val="20"/>
                <w:szCs w:val="20"/>
                <w:lang w:val="en-GB"/>
              </w:rPr>
              <w:t>7.97%</w:t>
            </w:r>
          </w:p>
        </w:tc>
        <w:tc>
          <w:tcPr>
            <w:tcW w:w="1080" w:type="dxa"/>
            <w:tcBorders>
              <w:bottom w:val="single" w:sz="8" w:space="0" w:color="000000"/>
              <w:right w:val="single" w:sz="8" w:space="0" w:color="000000"/>
            </w:tcBorders>
            <w:tcMar>
              <w:top w:w="0" w:type="dxa"/>
              <w:left w:w="0" w:type="dxa"/>
            </w:tcMar>
          </w:tcPr>
          <w:p>
            <w:pPr>
              <w:pStyle w:val="TableContents"/>
              <w:bidi w:val="0"/>
              <w:spacing w:before="0" w:after="283"/>
              <w:ind w:left="0" w:right="0" w:hanging="0"/>
              <w:jc w:val="right"/>
              <w:rPr>
                <w:sz w:val="20"/>
                <w:szCs w:val="20"/>
              </w:rPr>
            </w:pPr>
            <w:r>
              <w:rPr>
                <w:caps w:val="false"/>
                <w:smallCaps w:val="false"/>
                <w:sz w:val="20"/>
                <w:szCs w:val="20"/>
              </w:rPr>
              <w:t>    </w:t>
            </w:r>
            <w:r>
              <w:rPr>
                <w:rFonts w:ascii="Arial" w:hAnsi="Arial"/>
                <w:sz w:val="20"/>
                <w:szCs w:val="20"/>
                <w:lang w:val="en-GB"/>
              </w:rPr>
              <w:t>5.07%</w:t>
            </w:r>
          </w:p>
        </w:tc>
        <w:tc>
          <w:tcPr>
            <w:tcW w:w="1200" w:type="dxa"/>
            <w:tcBorders>
              <w:bottom w:val="single" w:sz="8" w:space="0" w:color="000000"/>
              <w:right w:val="single" w:sz="8" w:space="0" w:color="000000"/>
            </w:tcBorders>
            <w:tcMar>
              <w:top w:w="0" w:type="dxa"/>
              <w:left w:w="0" w:type="dxa"/>
            </w:tcMar>
          </w:tcPr>
          <w:p>
            <w:pPr>
              <w:pStyle w:val="TableContents"/>
              <w:bidi w:val="0"/>
              <w:spacing w:before="0" w:after="283"/>
              <w:ind w:left="0" w:right="0" w:hanging="0"/>
              <w:jc w:val="right"/>
              <w:rPr>
                <w:sz w:val="20"/>
                <w:szCs w:val="20"/>
              </w:rPr>
            </w:pPr>
            <w:r>
              <w:rPr>
                <w:caps w:val="false"/>
                <w:smallCaps w:val="false"/>
                <w:sz w:val="20"/>
                <w:szCs w:val="20"/>
              </w:rPr>
              <w:t>    </w:t>
            </w:r>
            <w:r>
              <w:rPr>
                <w:rFonts w:ascii="Arial" w:hAnsi="Arial"/>
                <w:sz w:val="20"/>
                <w:szCs w:val="20"/>
                <w:lang w:val="en-GB"/>
              </w:rPr>
              <w:t>3.28%</w:t>
            </w:r>
          </w:p>
        </w:tc>
        <w:tc>
          <w:tcPr>
            <w:tcW w:w="1080" w:type="dxa"/>
            <w:tcBorders>
              <w:bottom w:val="single" w:sz="8" w:space="0" w:color="000000"/>
              <w:right w:val="single" w:sz="8" w:space="0" w:color="000000"/>
            </w:tcBorders>
            <w:tcMar>
              <w:top w:w="0" w:type="dxa"/>
              <w:left w:w="0" w:type="dxa"/>
            </w:tcMar>
          </w:tcPr>
          <w:p>
            <w:pPr>
              <w:pStyle w:val="TableContents"/>
              <w:bidi w:val="0"/>
              <w:spacing w:before="0" w:after="283"/>
              <w:ind w:left="0" w:right="0" w:hanging="0"/>
              <w:jc w:val="right"/>
              <w:rPr>
                <w:sz w:val="20"/>
                <w:szCs w:val="20"/>
              </w:rPr>
            </w:pPr>
            <w:r>
              <w:rPr>
                <w:caps w:val="false"/>
                <w:smallCaps w:val="false"/>
                <w:sz w:val="20"/>
                <w:szCs w:val="20"/>
              </w:rPr>
              <w:t>    </w:t>
            </w:r>
            <w:r>
              <w:rPr>
                <w:rFonts w:ascii="Arial" w:hAnsi="Arial"/>
                <w:sz w:val="20"/>
                <w:szCs w:val="20"/>
                <w:lang w:val="en-GB"/>
              </w:rPr>
              <w:t>2.53%</w:t>
            </w:r>
          </w:p>
        </w:tc>
        <w:tc>
          <w:tcPr>
            <w:tcW w:w="1189" w:type="dxa"/>
            <w:tcBorders>
              <w:bottom w:val="single" w:sz="8" w:space="0" w:color="000000"/>
              <w:right w:val="single" w:sz="8" w:space="0" w:color="000000"/>
            </w:tcBorders>
            <w:tcMar>
              <w:top w:w="0" w:type="dxa"/>
              <w:left w:w="0" w:type="dxa"/>
            </w:tcMar>
          </w:tcPr>
          <w:p>
            <w:pPr>
              <w:pStyle w:val="TableContents"/>
              <w:bidi w:val="0"/>
              <w:spacing w:before="0" w:after="283"/>
              <w:ind w:left="0" w:right="0" w:hanging="0"/>
              <w:jc w:val="right"/>
              <w:rPr>
                <w:sz w:val="20"/>
                <w:szCs w:val="20"/>
              </w:rPr>
            </w:pPr>
            <w:r>
              <w:rPr>
                <w:caps w:val="false"/>
                <w:smallCaps w:val="false"/>
                <w:sz w:val="20"/>
                <w:szCs w:val="20"/>
              </w:rPr>
              <w:t>    </w:t>
            </w:r>
            <w:r>
              <w:rPr>
                <w:rFonts w:ascii="Arial" w:hAnsi="Arial"/>
                <w:sz w:val="20"/>
                <w:szCs w:val="20"/>
                <w:lang w:val="en-GB"/>
              </w:rPr>
              <w:t>1.38%</w:t>
            </w:r>
          </w:p>
        </w:tc>
        <w:tc>
          <w:tcPr>
            <w:tcW w:w="1364" w:type="dxa"/>
            <w:tcBorders>
              <w:bottom w:val="single" w:sz="8" w:space="0" w:color="000000"/>
              <w:right w:val="single" w:sz="8" w:space="0" w:color="000000"/>
            </w:tcBorders>
            <w:tcMar>
              <w:top w:w="0" w:type="dxa"/>
              <w:left w:w="0" w:type="dxa"/>
            </w:tcMar>
          </w:tcPr>
          <w:p>
            <w:pPr>
              <w:pStyle w:val="TableContents"/>
              <w:bidi w:val="0"/>
              <w:spacing w:before="0" w:after="283"/>
              <w:ind w:left="0" w:right="0" w:hanging="0"/>
              <w:jc w:val="right"/>
              <w:rPr>
                <w:sz w:val="20"/>
                <w:szCs w:val="20"/>
              </w:rPr>
            </w:pPr>
            <w:r>
              <w:rPr>
                <w:caps w:val="false"/>
                <w:smallCaps w:val="false"/>
                <w:sz w:val="20"/>
                <w:szCs w:val="20"/>
              </w:rPr>
              <w:t>    </w:t>
            </w:r>
            <w:r>
              <w:rPr>
                <w:rFonts w:ascii="Arial" w:hAnsi="Arial"/>
                <w:sz w:val="20"/>
                <w:szCs w:val="20"/>
                <w:lang w:val="en-GB"/>
              </w:rPr>
              <w:t>1.38%</w:t>
            </w:r>
          </w:p>
        </w:tc>
      </w:tr>
      <w:tr>
        <w:trPr/>
        <w:tc>
          <w:tcPr>
            <w:tcW w:w="1364" w:type="dxa"/>
            <w:tcBorders>
              <w:bottom w:val="single" w:sz="8" w:space="0" w:color="000000"/>
              <w:right w:val="single" w:sz="8" w:space="0" w:color="000000"/>
            </w:tcBorders>
            <w:tcMar>
              <w:top w:w="0" w:type="dxa"/>
              <w:left w:w="0" w:type="dxa"/>
            </w:tcMar>
          </w:tcPr>
          <w:p>
            <w:pPr>
              <w:pStyle w:val="TableContents"/>
              <w:bidi w:val="0"/>
              <w:spacing w:before="0" w:after="283"/>
              <w:ind w:left="0" w:right="0" w:hanging="0"/>
              <w:jc w:val="left"/>
              <w:rPr>
                <w:rFonts w:ascii="Arial" w:hAnsi="Arial"/>
                <w:sz w:val="20"/>
                <w:szCs w:val="20"/>
                <w:lang w:val="en-GB"/>
              </w:rPr>
            </w:pPr>
            <w:r>
              <w:rPr>
                <w:rFonts w:ascii="Arial" w:hAnsi="Arial"/>
                <w:sz w:val="20"/>
                <w:szCs w:val="20"/>
                <w:lang w:val="en-GB"/>
              </w:rPr>
              <w:t>1001-2000</w:t>
            </w:r>
          </w:p>
        </w:tc>
        <w:tc>
          <w:tcPr>
            <w:tcW w:w="1287" w:type="dxa"/>
            <w:tcBorders>
              <w:bottom w:val="single" w:sz="8" w:space="0" w:color="000000"/>
              <w:right w:val="single" w:sz="8" w:space="0" w:color="000000"/>
            </w:tcBorders>
            <w:tcMar>
              <w:top w:w="0" w:type="dxa"/>
              <w:left w:w="0" w:type="dxa"/>
            </w:tcMar>
          </w:tcPr>
          <w:p>
            <w:pPr>
              <w:pStyle w:val="TableContents"/>
              <w:bidi w:val="0"/>
              <w:spacing w:before="0" w:after="283"/>
              <w:ind w:left="0" w:right="0" w:hanging="0"/>
              <w:jc w:val="right"/>
              <w:rPr>
                <w:rFonts w:ascii="Arial" w:hAnsi="Arial"/>
                <w:sz w:val="20"/>
                <w:szCs w:val="20"/>
                <w:lang w:val="en-GB"/>
              </w:rPr>
            </w:pPr>
            <w:r>
              <w:rPr>
                <w:rFonts w:ascii="Arial" w:hAnsi="Arial"/>
                <w:sz w:val="20"/>
                <w:szCs w:val="20"/>
                <w:lang w:val="en-GB"/>
              </w:rPr>
              <w:t>0.60%</w:t>
            </w:r>
          </w:p>
        </w:tc>
        <w:tc>
          <w:tcPr>
            <w:tcW w:w="1080" w:type="dxa"/>
            <w:tcBorders>
              <w:bottom w:val="single" w:sz="8" w:space="0" w:color="000000"/>
              <w:right w:val="single" w:sz="8" w:space="0" w:color="000000"/>
            </w:tcBorders>
            <w:tcMar>
              <w:top w:w="0" w:type="dxa"/>
              <w:left w:w="0" w:type="dxa"/>
            </w:tcMar>
          </w:tcPr>
          <w:p>
            <w:pPr>
              <w:pStyle w:val="TableContents"/>
              <w:bidi w:val="0"/>
              <w:spacing w:before="0" w:after="283"/>
              <w:ind w:left="0" w:right="0" w:hanging="0"/>
              <w:jc w:val="right"/>
              <w:rPr>
                <w:sz w:val="20"/>
                <w:szCs w:val="20"/>
              </w:rPr>
            </w:pPr>
            <w:r>
              <w:rPr>
                <w:caps w:val="false"/>
                <w:smallCaps w:val="false"/>
                <w:sz w:val="20"/>
                <w:szCs w:val="20"/>
              </w:rPr>
              <w:t>    </w:t>
            </w:r>
            <w:r>
              <w:rPr>
                <w:rFonts w:ascii="Arial" w:hAnsi="Arial"/>
                <w:sz w:val="20"/>
                <w:szCs w:val="20"/>
                <w:lang w:val="en-GB"/>
              </w:rPr>
              <w:t>2.20%</w:t>
            </w:r>
          </w:p>
        </w:tc>
        <w:tc>
          <w:tcPr>
            <w:tcW w:w="1200" w:type="dxa"/>
            <w:tcBorders>
              <w:bottom w:val="single" w:sz="8" w:space="0" w:color="000000"/>
              <w:right w:val="single" w:sz="8" w:space="0" w:color="000000"/>
            </w:tcBorders>
            <w:tcMar>
              <w:top w:w="0" w:type="dxa"/>
              <w:left w:w="0" w:type="dxa"/>
            </w:tcMar>
          </w:tcPr>
          <w:p>
            <w:pPr>
              <w:pStyle w:val="TableContents"/>
              <w:bidi w:val="0"/>
              <w:spacing w:before="0" w:after="283"/>
              <w:ind w:left="0" w:right="0" w:hanging="0"/>
              <w:jc w:val="right"/>
              <w:rPr>
                <w:sz w:val="20"/>
                <w:szCs w:val="20"/>
              </w:rPr>
            </w:pPr>
            <w:r>
              <w:rPr>
                <w:caps w:val="false"/>
                <w:smallCaps w:val="false"/>
                <w:sz w:val="20"/>
                <w:szCs w:val="20"/>
              </w:rPr>
              <w:t>    </w:t>
            </w:r>
            <w:r>
              <w:rPr>
                <w:rFonts w:ascii="Arial" w:hAnsi="Arial"/>
                <w:sz w:val="20"/>
                <w:szCs w:val="20"/>
                <w:lang w:val="en-GB"/>
              </w:rPr>
              <w:t>2.73%</w:t>
            </w:r>
          </w:p>
        </w:tc>
        <w:tc>
          <w:tcPr>
            <w:tcW w:w="1080" w:type="dxa"/>
            <w:tcBorders>
              <w:bottom w:val="single" w:sz="8" w:space="0" w:color="000000"/>
              <w:right w:val="single" w:sz="8" w:space="0" w:color="000000"/>
            </w:tcBorders>
            <w:tcMar>
              <w:top w:w="0" w:type="dxa"/>
              <w:left w:w="0" w:type="dxa"/>
            </w:tcMar>
          </w:tcPr>
          <w:p>
            <w:pPr>
              <w:pStyle w:val="TableContents"/>
              <w:bidi w:val="0"/>
              <w:spacing w:before="0" w:after="283"/>
              <w:ind w:left="0" w:right="0" w:hanging="0"/>
              <w:jc w:val="right"/>
              <w:rPr>
                <w:sz w:val="20"/>
                <w:szCs w:val="20"/>
              </w:rPr>
            </w:pPr>
            <w:r>
              <w:rPr>
                <w:caps w:val="false"/>
                <w:smallCaps w:val="false"/>
                <w:sz w:val="20"/>
                <w:szCs w:val="20"/>
              </w:rPr>
              <w:t>    </w:t>
            </w:r>
            <w:r>
              <w:rPr>
                <w:rFonts w:ascii="Arial" w:hAnsi="Arial"/>
                <w:sz w:val="20"/>
                <w:szCs w:val="20"/>
                <w:lang w:val="en-GB"/>
              </w:rPr>
              <w:t>3.47%</w:t>
            </w:r>
          </w:p>
        </w:tc>
        <w:tc>
          <w:tcPr>
            <w:tcW w:w="1189" w:type="dxa"/>
            <w:tcBorders>
              <w:bottom w:val="single" w:sz="8" w:space="0" w:color="000000"/>
              <w:right w:val="single" w:sz="8" w:space="0" w:color="000000"/>
            </w:tcBorders>
            <w:tcMar>
              <w:top w:w="0" w:type="dxa"/>
              <w:left w:w="0" w:type="dxa"/>
            </w:tcMar>
          </w:tcPr>
          <w:p>
            <w:pPr>
              <w:pStyle w:val="TableContents"/>
              <w:bidi w:val="0"/>
              <w:spacing w:before="0" w:after="283"/>
              <w:ind w:left="0" w:right="0" w:hanging="0"/>
              <w:jc w:val="right"/>
              <w:rPr>
                <w:sz w:val="20"/>
                <w:szCs w:val="20"/>
              </w:rPr>
            </w:pPr>
            <w:r>
              <w:rPr>
                <w:caps w:val="false"/>
                <w:smallCaps w:val="false"/>
                <w:sz w:val="20"/>
                <w:szCs w:val="20"/>
              </w:rPr>
              <w:t>    </w:t>
            </w:r>
            <w:r>
              <w:rPr>
                <w:rFonts w:ascii="Arial" w:hAnsi="Arial"/>
                <w:sz w:val="20"/>
                <w:szCs w:val="20"/>
                <w:lang w:val="en-GB"/>
              </w:rPr>
              <w:t>2.09%</w:t>
            </w:r>
          </w:p>
        </w:tc>
        <w:tc>
          <w:tcPr>
            <w:tcW w:w="1364" w:type="dxa"/>
            <w:tcBorders>
              <w:bottom w:val="single" w:sz="8" w:space="0" w:color="000000"/>
              <w:right w:val="single" w:sz="8" w:space="0" w:color="000000"/>
            </w:tcBorders>
            <w:tcMar>
              <w:top w:w="0" w:type="dxa"/>
              <w:left w:w="0" w:type="dxa"/>
            </w:tcMar>
          </w:tcPr>
          <w:p>
            <w:pPr>
              <w:pStyle w:val="TableContents"/>
              <w:bidi w:val="0"/>
              <w:spacing w:before="0" w:after="283"/>
              <w:ind w:left="0" w:right="0" w:hanging="0"/>
              <w:jc w:val="right"/>
              <w:rPr>
                <w:sz w:val="20"/>
                <w:szCs w:val="20"/>
              </w:rPr>
            </w:pPr>
            <w:r>
              <w:rPr>
                <w:caps w:val="false"/>
                <w:smallCaps w:val="false"/>
                <w:sz w:val="20"/>
                <w:szCs w:val="20"/>
              </w:rPr>
              <w:t>    </w:t>
            </w:r>
            <w:r>
              <w:rPr>
                <w:rFonts w:ascii="Arial" w:hAnsi="Arial"/>
                <w:sz w:val="20"/>
                <w:szCs w:val="20"/>
                <w:lang w:val="en-GB"/>
              </w:rPr>
              <w:t>4.02%</w:t>
            </w:r>
          </w:p>
        </w:tc>
      </w:tr>
      <w:tr>
        <w:trPr/>
        <w:tc>
          <w:tcPr>
            <w:tcW w:w="1364" w:type="dxa"/>
            <w:tcBorders>
              <w:left w:val="single" w:sz="4" w:space="0" w:color="000000"/>
              <w:bottom w:val="single" w:sz="4" w:space="0" w:color="000000"/>
              <w:right w:val="single" w:sz="4" w:space="0" w:color="000000"/>
            </w:tcBorders>
            <w:tcMar>
              <w:top w:w="0" w:type="dxa"/>
            </w:tcMar>
          </w:tcPr>
          <w:p>
            <w:pPr>
              <w:pStyle w:val="TableContents"/>
              <w:bidi w:val="0"/>
              <w:spacing w:before="0" w:after="283"/>
              <w:ind w:left="0" w:right="0" w:hanging="0"/>
              <w:jc w:val="left"/>
              <w:rPr>
                <w:rFonts w:ascii="Arial" w:hAnsi="Arial"/>
                <w:sz w:val="20"/>
                <w:szCs w:val="20"/>
                <w:lang w:val="en-GB"/>
              </w:rPr>
            </w:pPr>
            <w:r>
              <w:rPr>
                <w:rFonts w:ascii="Arial" w:hAnsi="Arial"/>
                <w:sz w:val="20"/>
                <w:szCs w:val="20"/>
                <w:lang w:val="en-GB"/>
              </w:rPr>
              <w:t>2001-3000</w:t>
            </w:r>
          </w:p>
        </w:tc>
        <w:tc>
          <w:tcPr>
            <w:tcW w:w="1287" w:type="dxa"/>
            <w:tcBorders>
              <w:bottom w:val="single" w:sz="4" w:space="0" w:color="000000"/>
              <w:right w:val="single" w:sz="4" w:space="0" w:color="000000"/>
            </w:tcBorders>
            <w:tcMar>
              <w:top w:w="0" w:type="dxa"/>
              <w:left w:w="0" w:type="dxa"/>
            </w:tcMar>
          </w:tcPr>
          <w:p>
            <w:pPr>
              <w:pStyle w:val="TableContents"/>
              <w:bidi w:val="0"/>
              <w:spacing w:before="0" w:after="283"/>
              <w:ind w:left="0" w:right="0" w:hanging="0"/>
              <w:jc w:val="right"/>
              <w:rPr>
                <w:rFonts w:ascii="Arial" w:hAnsi="Arial"/>
                <w:sz w:val="20"/>
                <w:szCs w:val="20"/>
                <w:lang w:val="en-GB"/>
              </w:rPr>
            </w:pPr>
            <w:r>
              <w:rPr>
                <w:rFonts w:ascii="Arial" w:hAnsi="Arial"/>
                <w:sz w:val="20"/>
                <w:szCs w:val="20"/>
                <w:lang w:val="en-GB"/>
              </w:rPr>
              <w:t>0.23%</w:t>
            </w:r>
          </w:p>
        </w:tc>
        <w:tc>
          <w:tcPr>
            <w:tcW w:w="1080" w:type="dxa"/>
            <w:tcBorders>
              <w:bottom w:val="single" w:sz="4" w:space="0" w:color="000000"/>
              <w:right w:val="single" w:sz="4" w:space="0" w:color="000000"/>
            </w:tcBorders>
            <w:tcMar>
              <w:top w:w="0" w:type="dxa"/>
              <w:left w:w="0" w:type="dxa"/>
            </w:tcMar>
          </w:tcPr>
          <w:p>
            <w:pPr>
              <w:pStyle w:val="TableContents"/>
              <w:bidi w:val="0"/>
              <w:spacing w:before="0" w:after="283"/>
              <w:ind w:left="0" w:right="0" w:hanging="0"/>
              <w:jc w:val="right"/>
              <w:rPr>
                <w:sz w:val="20"/>
                <w:szCs w:val="20"/>
              </w:rPr>
            </w:pPr>
            <w:r>
              <w:rPr>
                <w:caps w:val="false"/>
                <w:smallCaps w:val="false"/>
                <w:sz w:val="20"/>
                <w:szCs w:val="20"/>
              </w:rPr>
              <w:t>    </w:t>
            </w:r>
            <w:r>
              <w:rPr>
                <w:rFonts w:ascii="Arial" w:hAnsi="Arial"/>
                <w:sz w:val="20"/>
                <w:szCs w:val="20"/>
                <w:lang w:val="en-GB"/>
              </w:rPr>
              <w:t>0.30%</w:t>
            </w:r>
          </w:p>
        </w:tc>
        <w:tc>
          <w:tcPr>
            <w:tcW w:w="1200" w:type="dxa"/>
            <w:tcBorders>
              <w:bottom w:val="single" w:sz="4" w:space="0" w:color="000000"/>
              <w:right w:val="single" w:sz="4" w:space="0" w:color="000000"/>
            </w:tcBorders>
            <w:tcMar>
              <w:top w:w="0" w:type="dxa"/>
              <w:left w:w="0" w:type="dxa"/>
            </w:tcMar>
          </w:tcPr>
          <w:p>
            <w:pPr>
              <w:pStyle w:val="TableContents"/>
              <w:bidi w:val="0"/>
              <w:spacing w:before="0" w:after="283"/>
              <w:ind w:left="0" w:right="0" w:hanging="0"/>
              <w:jc w:val="right"/>
              <w:rPr>
                <w:sz w:val="20"/>
                <w:szCs w:val="20"/>
              </w:rPr>
            </w:pPr>
            <w:r>
              <w:rPr>
                <w:caps w:val="false"/>
                <w:smallCaps w:val="false"/>
                <w:sz w:val="20"/>
                <w:szCs w:val="20"/>
              </w:rPr>
              <w:t>    </w:t>
            </w:r>
            <w:r>
              <w:rPr>
                <w:rFonts w:ascii="Arial" w:hAnsi="Arial"/>
                <w:sz w:val="20"/>
                <w:szCs w:val="20"/>
                <w:lang w:val="en-GB"/>
              </w:rPr>
              <w:t>1.33%</w:t>
            </w:r>
          </w:p>
        </w:tc>
        <w:tc>
          <w:tcPr>
            <w:tcW w:w="1080" w:type="dxa"/>
            <w:tcBorders>
              <w:bottom w:val="single" w:sz="4" w:space="0" w:color="000000"/>
              <w:right w:val="single" w:sz="4" w:space="0" w:color="000000"/>
            </w:tcBorders>
            <w:tcMar>
              <w:top w:w="0" w:type="dxa"/>
              <w:left w:w="0" w:type="dxa"/>
            </w:tcMar>
          </w:tcPr>
          <w:p>
            <w:pPr>
              <w:pStyle w:val="TableContents"/>
              <w:bidi w:val="0"/>
              <w:spacing w:before="0" w:after="283"/>
              <w:ind w:left="0" w:right="0" w:hanging="0"/>
              <w:jc w:val="right"/>
              <w:rPr>
                <w:sz w:val="20"/>
                <w:szCs w:val="20"/>
              </w:rPr>
            </w:pPr>
            <w:r>
              <w:rPr>
                <w:caps w:val="false"/>
                <w:smallCaps w:val="false"/>
                <w:sz w:val="20"/>
                <w:szCs w:val="20"/>
              </w:rPr>
              <w:t>    </w:t>
            </w:r>
            <w:r>
              <w:rPr>
                <w:rFonts w:ascii="Arial" w:hAnsi="Arial"/>
                <w:sz w:val="20"/>
                <w:szCs w:val="20"/>
                <w:lang w:val="en-GB"/>
              </w:rPr>
              <w:t>1.81%</w:t>
            </w:r>
          </w:p>
        </w:tc>
        <w:tc>
          <w:tcPr>
            <w:tcW w:w="1189" w:type="dxa"/>
            <w:tcBorders>
              <w:bottom w:val="single" w:sz="4" w:space="0" w:color="000000"/>
              <w:right w:val="single" w:sz="4" w:space="0" w:color="000000"/>
            </w:tcBorders>
            <w:tcMar>
              <w:top w:w="0" w:type="dxa"/>
              <w:left w:w="0" w:type="dxa"/>
            </w:tcMar>
          </w:tcPr>
          <w:p>
            <w:pPr>
              <w:pStyle w:val="TableContents"/>
              <w:bidi w:val="0"/>
              <w:spacing w:before="0" w:after="283"/>
              <w:ind w:left="0" w:right="0" w:hanging="0"/>
              <w:jc w:val="right"/>
              <w:rPr>
                <w:sz w:val="20"/>
                <w:szCs w:val="20"/>
              </w:rPr>
            </w:pPr>
            <w:r>
              <w:rPr>
                <w:caps w:val="false"/>
                <w:smallCaps w:val="false"/>
                <w:sz w:val="20"/>
                <w:szCs w:val="20"/>
              </w:rPr>
              <w:t>    </w:t>
            </w:r>
            <w:r>
              <w:rPr>
                <w:rFonts w:ascii="Arial" w:hAnsi="Arial"/>
                <w:sz w:val="20"/>
                <w:szCs w:val="20"/>
                <w:lang w:val="en-GB"/>
              </w:rPr>
              <w:t>1.38%</w:t>
            </w:r>
          </w:p>
        </w:tc>
        <w:tc>
          <w:tcPr>
            <w:tcW w:w="1364" w:type="dxa"/>
            <w:tcBorders>
              <w:bottom w:val="single" w:sz="4" w:space="0" w:color="000000"/>
              <w:right w:val="single" w:sz="4" w:space="0" w:color="000000"/>
            </w:tcBorders>
            <w:tcMar>
              <w:top w:w="0" w:type="dxa"/>
              <w:left w:w="0" w:type="dxa"/>
            </w:tcMar>
          </w:tcPr>
          <w:p>
            <w:pPr>
              <w:pStyle w:val="TableContents"/>
              <w:bidi w:val="0"/>
              <w:spacing w:before="0" w:after="283"/>
              <w:ind w:left="0" w:right="0" w:hanging="0"/>
              <w:jc w:val="right"/>
              <w:rPr>
                <w:sz w:val="20"/>
                <w:szCs w:val="20"/>
              </w:rPr>
            </w:pPr>
            <w:r>
              <w:rPr>
                <w:caps w:val="false"/>
                <w:smallCaps w:val="false"/>
                <w:sz w:val="20"/>
                <w:szCs w:val="20"/>
              </w:rPr>
              <w:t>    </w:t>
            </w:r>
            <w:r>
              <w:rPr>
                <w:rFonts w:ascii="Arial" w:hAnsi="Arial"/>
                <w:sz w:val="20"/>
                <w:szCs w:val="20"/>
                <w:lang w:val="en-GB"/>
              </w:rPr>
              <w:t>3.19%</w:t>
            </w:r>
          </w:p>
        </w:tc>
      </w:tr>
      <w:tr>
        <w:trPr/>
        <w:tc>
          <w:tcPr>
            <w:tcW w:w="1364" w:type="dxa"/>
            <w:tcBorders>
              <w:left w:val="single" w:sz="4" w:space="0" w:color="000000"/>
              <w:bottom w:val="single" w:sz="4" w:space="0" w:color="000000"/>
              <w:right w:val="single" w:sz="4" w:space="0" w:color="000000"/>
            </w:tcBorders>
            <w:tcMar>
              <w:top w:w="0" w:type="dxa"/>
            </w:tcMar>
          </w:tcPr>
          <w:p>
            <w:pPr>
              <w:pStyle w:val="TableContents"/>
              <w:bidi w:val="0"/>
              <w:spacing w:before="0" w:after="283"/>
              <w:ind w:left="0" w:right="0" w:hanging="0"/>
              <w:jc w:val="left"/>
              <w:rPr>
                <w:rFonts w:ascii="Arial" w:hAnsi="Arial"/>
                <w:sz w:val="20"/>
                <w:szCs w:val="20"/>
                <w:lang w:val="en-GB"/>
              </w:rPr>
            </w:pPr>
            <w:r>
              <w:rPr>
                <w:rFonts w:ascii="Arial" w:hAnsi="Arial"/>
                <w:sz w:val="20"/>
                <w:szCs w:val="20"/>
                <w:lang w:val="en-GB"/>
              </w:rPr>
              <w:t>3001 +</w:t>
            </w:r>
          </w:p>
        </w:tc>
        <w:tc>
          <w:tcPr>
            <w:tcW w:w="1287" w:type="dxa"/>
            <w:tcBorders>
              <w:bottom w:val="single" w:sz="4" w:space="0" w:color="000000"/>
              <w:right w:val="single" w:sz="4" w:space="0" w:color="000000"/>
            </w:tcBorders>
            <w:tcMar>
              <w:top w:w="0" w:type="dxa"/>
              <w:left w:w="0" w:type="dxa"/>
            </w:tcMar>
          </w:tcPr>
          <w:p>
            <w:pPr>
              <w:pStyle w:val="TableContents"/>
              <w:bidi w:val="0"/>
              <w:spacing w:before="0" w:after="283"/>
              <w:ind w:left="0" w:right="0" w:hanging="0"/>
              <w:jc w:val="right"/>
              <w:rPr>
                <w:rFonts w:ascii="Arial" w:hAnsi="Arial"/>
                <w:sz w:val="20"/>
                <w:szCs w:val="20"/>
                <w:lang w:val="en-GB"/>
              </w:rPr>
            </w:pPr>
            <w:r>
              <w:rPr>
                <w:rFonts w:ascii="Arial" w:hAnsi="Arial"/>
                <w:sz w:val="20"/>
                <w:szCs w:val="20"/>
                <w:lang w:val="en-GB"/>
              </w:rPr>
              <w:t>0.39%</w:t>
            </w:r>
          </w:p>
        </w:tc>
        <w:tc>
          <w:tcPr>
            <w:tcW w:w="1080" w:type="dxa"/>
            <w:tcBorders>
              <w:bottom w:val="single" w:sz="4" w:space="0" w:color="000000"/>
              <w:right w:val="single" w:sz="4" w:space="0" w:color="000000"/>
            </w:tcBorders>
            <w:tcMar>
              <w:top w:w="0" w:type="dxa"/>
              <w:left w:w="0" w:type="dxa"/>
            </w:tcMar>
          </w:tcPr>
          <w:p>
            <w:pPr>
              <w:pStyle w:val="TableContents"/>
              <w:bidi w:val="0"/>
              <w:spacing w:before="0" w:after="283"/>
              <w:ind w:left="0" w:right="0" w:hanging="0"/>
              <w:jc w:val="right"/>
              <w:rPr>
                <w:sz w:val="20"/>
                <w:szCs w:val="20"/>
              </w:rPr>
            </w:pPr>
            <w:r>
              <w:rPr>
                <w:caps w:val="false"/>
                <w:smallCaps w:val="false"/>
                <w:sz w:val="20"/>
                <w:szCs w:val="20"/>
              </w:rPr>
              <w:t>    </w:t>
            </w:r>
            <w:r>
              <w:rPr>
                <w:rFonts w:ascii="Arial" w:hAnsi="Arial"/>
                <w:sz w:val="20"/>
                <w:szCs w:val="20"/>
                <w:lang w:val="en-GB"/>
              </w:rPr>
              <w:t>1.49%</w:t>
            </w:r>
          </w:p>
        </w:tc>
        <w:tc>
          <w:tcPr>
            <w:tcW w:w="1200" w:type="dxa"/>
            <w:tcBorders>
              <w:bottom w:val="single" w:sz="4" w:space="0" w:color="000000"/>
              <w:right w:val="single" w:sz="4" w:space="0" w:color="000000"/>
            </w:tcBorders>
            <w:tcMar>
              <w:top w:w="0" w:type="dxa"/>
              <w:left w:w="0" w:type="dxa"/>
            </w:tcMar>
          </w:tcPr>
          <w:p>
            <w:pPr>
              <w:pStyle w:val="TableContents"/>
              <w:bidi w:val="0"/>
              <w:spacing w:before="0" w:after="283"/>
              <w:ind w:left="0" w:right="0" w:hanging="0"/>
              <w:jc w:val="right"/>
              <w:rPr>
                <w:sz w:val="20"/>
                <w:szCs w:val="20"/>
              </w:rPr>
            </w:pPr>
            <w:r>
              <w:rPr>
                <w:caps w:val="false"/>
                <w:smallCaps w:val="false"/>
                <w:sz w:val="20"/>
                <w:szCs w:val="20"/>
              </w:rPr>
              <w:t>    </w:t>
            </w:r>
            <w:r>
              <w:rPr>
                <w:rFonts w:ascii="Arial" w:hAnsi="Arial"/>
                <w:sz w:val="20"/>
                <w:szCs w:val="20"/>
                <w:lang w:val="en-GB"/>
              </w:rPr>
              <w:t>3.61%</w:t>
            </w:r>
          </w:p>
        </w:tc>
        <w:tc>
          <w:tcPr>
            <w:tcW w:w="1080" w:type="dxa"/>
            <w:tcBorders>
              <w:bottom w:val="single" w:sz="4" w:space="0" w:color="000000"/>
              <w:right w:val="single" w:sz="4" w:space="0" w:color="000000"/>
            </w:tcBorders>
            <w:tcMar>
              <w:top w:w="0" w:type="dxa"/>
              <w:left w:w="0" w:type="dxa"/>
            </w:tcMar>
          </w:tcPr>
          <w:p>
            <w:pPr>
              <w:pStyle w:val="TableContents"/>
              <w:bidi w:val="0"/>
              <w:spacing w:before="0" w:after="283"/>
              <w:ind w:left="0" w:right="0" w:hanging="0"/>
              <w:jc w:val="right"/>
              <w:rPr>
                <w:sz w:val="20"/>
                <w:szCs w:val="20"/>
              </w:rPr>
            </w:pPr>
            <w:r>
              <w:rPr>
                <w:caps w:val="false"/>
                <w:smallCaps w:val="false"/>
                <w:sz w:val="20"/>
                <w:szCs w:val="20"/>
              </w:rPr>
              <w:t>    </w:t>
            </w:r>
            <w:r>
              <w:rPr>
                <w:rFonts w:ascii="Arial" w:hAnsi="Arial"/>
                <w:sz w:val="20"/>
                <w:szCs w:val="20"/>
                <w:lang w:val="en-GB"/>
              </w:rPr>
              <w:t>7.00%</w:t>
            </w:r>
          </w:p>
        </w:tc>
        <w:tc>
          <w:tcPr>
            <w:tcW w:w="1189" w:type="dxa"/>
            <w:tcBorders>
              <w:bottom w:val="single" w:sz="4" w:space="0" w:color="000000"/>
              <w:right w:val="single" w:sz="4" w:space="0" w:color="000000"/>
            </w:tcBorders>
            <w:tcMar>
              <w:top w:w="0" w:type="dxa"/>
              <w:left w:w="0" w:type="dxa"/>
            </w:tcMar>
          </w:tcPr>
          <w:p>
            <w:pPr>
              <w:pStyle w:val="TableContents"/>
              <w:bidi w:val="0"/>
              <w:spacing w:before="0" w:after="283"/>
              <w:ind w:left="0" w:right="0" w:hanging="0"/>
              <w:jc w:val="right"/>
              <w:rPr>
                <w:sz w:val="20"/>
                <w:szCs w:val="20"/>
              </w:rPr>
            </w:pPr>
            <w:r>
              <w:rPr>
                <w:caps w:val="false"/>
                <w:smallCaps w:val="false"/>
                <w:sz w:val="20"/>
                <w:szCs w:val="20"/>
              </w:rPr>
              <w:t>    </w:t>
            </w:r>
            <w:r>
              <w:rPr>
                <w:rFonts w:ascii="Arial" w:hAnsi="Arial"/>
                <w:sz w:val="20"/>
                <w:szCs w:val="20"/>
                <w:lang w:val="en-GB"/>
              </w:rPr>
              <w:t>8.06%</w:t>
            </w:r>
          </w:p>
        </w:tc>
        <w:tc>
          <w:tcPr>
            <w:tcW w:w="1364" w:type="dxa"/>
            <w:tcBorders>
              <w:bottom w:val="single" w:sz="4" w:space="0" w:color="000000"/>
              <w:right w:val="single" w:sz="4" w:space="0" w:color="000000"/>
            </w:tcBorders>
            <w:tcMar>
              <w:top w:w="0" w:type="dxa"/>
              <w:left w:w="0" w:type="dxa"/>
            </w:tcMar>
          </w:tcPr>
          <w:p>
            <w:pPr>
              <w:pStyle w:val="TableContents"/>
              <w:bidi w:val="0"/>
              <w:spacing w:before="0" w:after="283"/>
              <w:ind w:left="0" w:right="0" w:hanging="0"/>
              <w:jc w:val="right"/>
              <w:rPr>
                <w:sz w:val="20"/>
                <w:szCs w:val="20"/>
              </w:rPr>
            </w:pPr>
            <w:r>
              <w:rPr>
                <w:caps w:val="false"/>
                <w:smallCaps w:val="false"/>
                <w:sz w:val="20"/>
                <w:szCs w:val="20"/>
              </w:rPr>
              <w:t>    </w:t>
            </w:r>
            <w:r>
              <w:rPr>
                <w:rFonts w:ascii="Arial" w:hAnsi="Arial"/>
                <w:sz w:val="20"/>
                <w:szCs w:val="20"/>
                <w:lang w:val="en-GB"/>
              </w:rPr>
              <w:t>34.49%</w:t>
            </w:r>
          </w:p>
        </w:tc>
      </w:tr>
      <w:tr>
        <w:trPr/>
        <w:tc>
          <w:tcPr>
            <w:tcW w:w="1364" w:type="dxa"/>
            <w:tcBorders>
              <w:left w:val="single" w:sz="4" w:space="0" w:color="000000"/>
              <w:bottom w:val="single" w:sz="4" w:space="0" w:color="000000"/>
              <w:right w:val="single" w:sz="4" w:space="0" w:color="000000"/>
            </w:tcBorders>
            <w:tcMar>
              <w:top w:w="0" w:type="dxa"/>
            </w:tcMar>
          </w:tcPr>
          <w:p>
            <w:pPr>
              <w:pStyle w:val="TableContents"/>
              <w:bidi w:val="0"/>
              <w:spacing w:before="0" w:after="283"/>
              <w:ind w:left="0" w:right="0" w:hanging="0"/>
              <w:jc w:val="left"/>
              <w:rPr>
                <w:rFonts w:ascii="Arial" w:hAnsi="Arial"/>
                <w:sz w:val="20"/>
                <w:szCs w:val="20"/>
                <w:lang w:val="en-GB"/>
              </w:rPr>
            </w:pPr>
            <w:r>
              <w:rPr>
                <w:rFonts w:ascii="Arial" w:hAnsi="Arial"/>
                <w:sz w:val="20"/>
                <w:szCs w:val="20"/>
                <w:lang w:val="en-GB"/>
              </w:rPr>
              <w:t>Total</w:t>
            </w:r>
          </w:p>
        </w:tc>
        <w:tc>
          <w:tcPr>
            <w:tcW w:w="1287" w:type="dxa"/>
            <w:tcBorders>
              <w:bottom w:val="single" w:sz="4" w:space="0" w:color="000000"/>
              <w:right w:val="single" w:sz="4" w:space="0" w:color="000000"/>
            </w:tcBorders>
            <w:tcMar>
              <w:top w:w="0" w:type="dxa"/>
              <w:left w:w="0" w:type="dxa"/>
            </w:tcMar>
          </w:tcPr>
          <w:p>
            <w:pPr>
              <w:pStyle w:val="TableContents"/>
              <w:bidi w:val="0"/>
              <w:spacing w:before="0" w:after="283"/>
              <w:ind w:left="0" w:right="0" w:hanging="0"/>
              <w:jc w:val="right"/>
              <w:rPr>
                <w:sz w:val="20"/>
                <w:szCs w:val="20"/>
              </w:rPr>
            </w:pPr>
            <w:r>
              <w:rPr>
                <w:caps w:val="false"/>
                <w:smallCaps w:val="false"/>
                <w:sz w:val="20"/>
                <w:szCs w:val="20"/>
              </w:rPr>
              <w:t>   </w:t>
            </w:r>
            <w:r>
              <w:rPr>
                <w:rFonts w:ascii="Arial" w:hAnsi="Arial"/>
                <w:sz w:val="20"/>
                <w:szCs w:val="20"/>
                <w:lang w:val="en-GB"/>
              </w:rPr>
              <w:t>9.18%</w:t>
            </w:r>
          </w:p>
        </w:tc>
        <w:tc>
          <w:tcPr>
            <w:tcW w:w="1080" w:type="dxa"/>
            <w:tcBorders>
              <w:bottom w:val="single" w:sz="4" w:space="0" w:color="000000"/>
              <w:right w:val="single" w:sz="4" w:space="0" w:color="000000"/>
            </w:tcBorders>
            <w:tcMar>
              <w:top w:w="0" w:type="dxa"/>
              <w:left w:w="0" w:type="dxa"/>
            </w:tcMar>
          </w:tcPr>
          <w:p>
            <w:pPr>
              <w:pStyle w:val="TableContents"/>
              <w:bidi w:val="0"/>
              <w:spacing w:before="0" w:after="283"/>
              <w:ind w:left="0" w:right="0" w:hanging="0"/>
              <w:jc w:val="right"/>
              <w:rPr>
                <w:sz w:val="20"/>
                <w:szCs w:val="20"/>
              </w:rPr>
            </w:pPr>
            <w:r>
              <w:rPr>
                <w:caps w:val="false"/>
                <w:smallCaps w:val="false"/>
                <w:sz w:val="20"/>
                <w:szCs w:val="20"/>
              </w:rPr>
              <w:t>    </w:t>
            </w:r>
            <w:r>
              <w:rPr>
                <w:rFonts w:ascii="Arial" w:hAnsi="Arial"/>
                <w:sz w:val="20"/>
                <w:szCs w:val="20"/>
                <w:lang w:val="en-GB"/>
              </w:rPr>
              <w:t>9.07%</w:t>
            </w:r>
          </w:p>
        </w:tc>
        <w:tc>
          <w:tcPr>
            <w:tcW w:w="1200" w:type="dxa"/>
            <w:tcBorders>
              <w:bottom w:val="single" w:sz="4" w:space="0" w:color="000000"/>
              <w:right w:val="single" w:sz="4" w:space="0" w:color="000000"/>
            </w:tcBorders>
            <w:tcMar>
              <w:top w:w="0" w:type="dxa"/>
              <w:left w:w="0" w:type="dxa"/>
            </w:tcMar>
          </w:tcPr>
          <w:p>
            <w:pPr>
              <w:pStyle w:val="TableContents"/>
              <w:bidi w:val="0"/>
              <w:spacing w:before="0" w:after="283"/>
              <w:ind w:left="0" w:right="0" w:hanging="0"/>
              <w:jc w:val="right"/>
              <w:rPr>
                <w:sz w:val="20"/>
                <w:szCs w:val="20"/>
              </w:rPr>
            </w:pPr>
            <w:r>
              <w:rPr>
                <w:caps w:val="false"/>
                <w:smallCaps w:val="false"/>
                <w:sz w:val="20"/>
                <w:szCs w:val="20"/>
              </w:rPr>
              <w:t>   </w:t>
            </w:r>
            <w:r>
              <w:rPr>
                <w:rFonts w:ascii="Arial" w:hAnsi="Arial"/>
                <w:sz w:val="20"/>
                <w:szCs w:val="20"/>
                <w:lang w:val="en-GB"/>
              </w:rPr>
              <w:t>10.95%</w:t>
            </w:r>
          </w:p>
        </w:tc>
        <w:tc>
          <w:tcPr>
            <w:tcW w:w="1080" w:type="dxa"/>
            <w:tcBorders>
              <w:bottom w:val="single" w:sz="4" w:space="0" w:color="000000"/>
              <w:right w:val="single" w:sz="4" w:space="0" w:color="000000"/>
            </w:tcBorders>
            <w:tcMar>
              <w:top w:w="0" w:type="dxa"/>
              <w:left w:w="0" w:type="dxa"/>
            </w:tcMar>
          </w:tcPr>
          <w:p>
            <w:pPr>
              <w:pStyle w:val="TableContents"/>
              <w:bidi w:val="0"/>
              <w:spacing w:before="0" w:after="283"/>
              <w:ind w:left="0" w:right="0" w:hanging="0"/>
              <w:jc w:val="right"/>
              <w:rPr>
                <w:rFonts w:ascii="Arial" w:hAnsi="Arial"/>
                <w:sz w:val="20"/>
                <w:szCs w:val="20"/>
                <w:lang w:val="en-GB"/>
              </w:rPr>
            </w:pPr>
            <w:r>
              <w:rPr>
                <w:rFonts w:ascii="Arial" w:hAnsi="Arial"/>
                <w:sz w:val="20"/>
                <w:szCs w:val="20"/>
                <w:lang w:val="en-GB"/>
              </w:rPr>
              <w:t>14.81%</w:t>
            </w:r>
          </w:p>
        </w:tc>
        <w:tc>
          <w:tcPr>
            <w:tcW w:w="1189" w:type="dxa"/>
            <w:tcBorders>
              <w:bottom w:val="single" w:sz="4" w:space="0" w:color="000000"/>
              <w:right w:val="single" w:sz="4" w:space="0" w:color="000000"/>
            </w:tcBorders>
            <w:tcMar>
              <w:top w:w="0" w:type="dxa"/>
              <w:left w:w="0" w:type="dxa"/>
            </w:tcMar>
          </w:tcPr>
          <w:p>
            <w:pPr>
              <w:pStyle w:val="TableContents"/>
              <w:bidi w:val="0"/>
              <w:spacing w:before="0" w:after="283"/>
              <w:ind w:left="0" w:right="0" w:hanging="0"/>
              <w:jc w:val="right"/>
              <w:rPr>
                <w:sz w:val="20"/>
                <w:szCs w:val="20"/>
              </w:rPr>
            </w:pPr>
            <w:r>
              <w:rPr>
                <w:caps w:val="false"/>
                <w:smallCaps w:val="false"/>
                <w:sz w:val="20"/>
                <w:szCs w:val="20"/>
              </w:rPr>
              <w:t>    </w:t>
            </w:r>
            <w:r>
              <w:rPr>
                <w:rFonts w:ascii="Arial" w:hAnsi="Arial"/>
                <w:sz w:val="20"/>
                <w:szCs w:val="20"/>
                <w:lang w:val="en-GB"/>
              </w:rPr>
              <w:t>12.90%</w:t>
            </w:r>
          </w:p>
        </w:tc>
        <w:tc>
          <w:tcPr>
            <w:tcW w:w="1364" w:type="dxa"/>
            <w:tcBorders>
              <w:bottom w:val="single" w:sz="4" w:space="0" w:color="000000"/>
              <w:right w:val="single" w:sz="4" w:space="0" w:color="000000"/>
            </w:tcBorders>
            <w:tcMar>
              <w:top w:w="0" w:type="dxa"/>
              <w:left w:w="0" w:type="dxa"/>
            </w:tcMar>
          </w:tcPr>
          <w:p>
            <w:pPr>
              <w:pStyle w:val="TableContents"/>
              <w:bidi w:val="0"/>
              <w:spacing w:before="0" w:after="283"/>
              <w:ind w:left="0" w:right="0" w:hanging="0"/>
              <w:jc w:val="right"/>
              <w:rPr>
                <w:sz w:val="20"/>
                <w:szCs w:val="20"/>
              </w:rPr>
            </w:pPr>
            <w:r>
              <w:rPr>
                <w:caps w:val="false"/>
                <w:smallCaps w:val="false"/>
                <w:sz w:val="20"/>
                <w:szCs w:val="20"/>
              </w:rPr>
              <w:t>    </w:t>
            </w:r>
            <w:r>
              <w:rPr>
                <w:rFonts w:ascii="Arial" w:hAnsi="Arial"/>
                <w:sz w:val="20"/>
                <w:szCs w:val="20"/>
                <w:lang w:val="en-GB"/>
              </w:rPr>
              <w:t>43.08%</w:t>
            </w:r>
          </w:p>
        </w:tc>
      </w:tr>
    </w:tbl>
    <w:p>
      <w:pPr>
        <w:pStyle w:val="TextBody"/>
        <w:widowControl/>
        <w:bidi w:val="0"/>
        <w:ind w:left="0" w:right="0" w:hanging="0"/>
        <w:jc w:val="left"/>
        <w:rPr>
          <w:rFonts w:ascii="Arial" w:hAnsi="Arial"/>
          <w:b w:val="false"/>
          <w:i w:val="false"/>
          <w:caps w:val="false"/>
          <w:smallCaps w:val="false"/>
          <w:color w:val="434343"/>
          <w:spacing w:val="0"/>
          <w:sz w:val="20"/>
          <w:szCs w:val="20"/>
          <w:lang w:val="en-GB"/>
        </w:rPr>
      </w:pPr>
      <w:r>
        <w:rPr>
          <w:rFonts w:ascii="Arial" w:hAnsi="Arial"/>
          <w:b w:val="false"/>
          <w:i w:val="false"/>
          <w:caps w:val="false"/>
          <w:smallCaps w:val="false"/>
          <w:color w:val="434343"/>
          <w:spacing w:val="0"/>
          <w:sz w:val="20"/>
          <w:szCs w:val="20"/>
          <w:lang w:val="en-GB"/>
        </w:rPr>
      </w:r>
    </w:p>
    <w:p>
      <w:pPr>
        <w:pStyle w:val="TextBody"/>
        <w:widowControl/>
        <w:bidi w:val="0"/>
        <w:spacing w:lineRule="auto" w:line="360"/>
        <w:ind w:left="0" w:right="0" w:hanging="0"/>
        <w:jc w:val="left"/>
        <w:rPr>
          <w:rFonts w:ascii="Liberation Serif" w:hAnsi="Liberation Serif"/>
          <w:b w:val="false"/>
          <w:i w:val="false"/>
          <w:caps w:val="false"/>
          <w:smallCaps w:val="false"/>
          <w:color w:val="auto"/>
          <w:spacing w:val="0"/>
          <w:sz w:val="24"/>
          <w:szCs w:val="24"/>
          <w:lang w:val="en-GB"/>
        </w:rPr>
      </w:pPr>
      <w:r>
        <w:rPr>
          <w:rFonts w:ascii="Liberation Serif" w:hAnsi="Liberation Serif"/>
          <w:b w:val="false"/>
          <w:i w:val="false"/>
          <w:caps w:val="false"/>
          <w:smallCaps w:val="false"/>
          <w:color w:val="auto"/>
          <w:spacing w:val="0"/>
          <w:sz w:val="24"/>
          <w:szCs w:val="24"/>
          <w:lang w:val="en-GB"/>
        </w:rPr>
        <w:t>Tables 4 and 5 presents the number of tokens for each frequency band for each of the recurrence rates at the four frequency bands. The four books in the series comprise a total of 162,175 tokens. The percentages of the total tokens by recurrence rate and by frequency band are shown in Table 5.</w:t>
      </w:r>
    </w:p>
    <w:p>
      <w:pPr>
        <w:pStyle w:val="TextBody"/>
        <w:widowControl/>
        <w:bidi w:val="0"/>
        <w:jc w:val="center"/>
        <w:rPr>
          <w:rFonts w:ascii="Liberation Serif" w:hAnsi="Liberation Serif"/>
          <w:b w:val="false"/>
          <w:i/>
          <w:caps w:val="false"/>
          <w:smallCaps w:val="false"/>
          <w:color w:val="auto"/>
          <w:spacing w:val="0"/>
          <w:sz w:val="21"/>
          <w:szCs w:val="21"/>
          <w:lang w:val="en-GB"/>
        </w:rPr>
      </w:pPr>
      <w:r>
        <w:rPr>
          <w:rFonts w:ascii="Liberation Serif" w:hAnsi="Liberation Serif"/>
          <w:b w:val="false"/>
          <w:i/>
          <w:caps w:val="false"/>
          <w:smallCaps w:val="false"/>
          <w:color w:val="auto"/>
          <w:spacing w:val="0"/>
          <w:sz w:val="21"/>
          <w:szCs w:val="21"/>
          <w:lang w:val="en-GB"/>
        </w:rPr>
        <w:t>Table 4: The total number of tokens by recurrence rate by frequency band level</w:t>
      </w:r>
    </w:p>
    <w:tbl>
      <w:tblPr>
        <w:tblW w:w="9229" w:type="dxa"/>
        <w:jc w:val="center"/>
        <w:tblInd w:w="0" w:type="dxa"/>
        <w:tblLayout w:type="fixed"/>
        <w:tblCellMar>
          <w:top w:w="28" w:type="dxa"/>
          <w:left w:w="108" w:type="dxa"/>
          <w:bottom w:w="28" w:type="dxa"/>
          <w:right w:w="108" w:type="dxa"/>
        </w:tblCellMar>
      </w:tblPr>
      <w:tblGrid>
        <w:gridCol w:w="1800"/>
        <w:gridCol w:w="1189"/>
        <w:gridCol w:w="1047"/>
        <w:gridCol w:w="917"/>
        <w:gridCol w:w="916"/>
        <w:gridCol w:w="927"/>
        <w:gridCol w:w="917"/>
        <w:gridCol w:w="1516"/>
      </w:tblGrid>
      <w:tr>
        <w:trPr/>
        <w:tc>
          <w:tcPr>
            <w:tcW w:w="1800" w:type="dxa"/>
            <w:tcBorders>
              <w:top w:val="single" w:sz="8" w:space="0" w:color="000000"/>
              <w:left w:val="single" w:sz="8" w:space="0" w:color="000000"/>
              <w:bottom w:val="single" w:sz="8" w:space="0" w:color="000000"/>
              <w:right w:val="single" w:sz="8" w:space="0" w:color="000000"/>
            </w:tcBorders>
          </w:tcPr>
          <w:p>
            <w:pPr>
              <w:pStyle w:val="TableContents"/>
              <w:bidi w:val="0"/>
              <w:spacing w:before="0" w:after="283"/>
              <w:ind w:left="0" w:right="0" w:hanging="0"/>
              <w:jc w:val="center"/>
              <w:rPr>
                <w:sz w:val="20"/>
                <w:szCs w:val="20"/>
              </w:rPr>
            </w:pPr>
            <w:r>
              <w:rPr>
                <w:rFonts w:ascii="Arial" w:hAnsi="Arial"/>
                <w:b/>
                <w:sz w:val="20"/>
                <w:szCs w:val="20"/>
                <w:lang w:val="en-GB"/>
              </w:rPr>
              <w:t>21-50</w:t>
            </w:r>
          </w:p>
        </w:tc>
        <w:tc>
          <w:tcPr>
            <w:tcW w:w="1189" w:type="dxa"/>
            <w:tcBorders>
              <w:top w:val="single" w:sz="4" w:space="0" w:color="000000"/>
              <w:bottom w:val="single" w:sz="4" w:space="0" w:color="000000"/>
              <w:right w:val="single" w:sz="4" w:space="0" w:color="000000"/>
            </w:tcBorders>
            <w:tcMar>
              <w:left w:w="0" w:type="dxa"/>
            </w:tcMar>
          </w:tcPr>
          <w:p>
            <w:pPr>
              <w:pStyle w:val="TableContents"/>
              <w:bidi w:val="0"/>
              <w:spacing w:before="0" w:after="283"/>
              <w:ind w:left="0" w:right="0" w:hanging="0"/>
              <w:jc w:val="center"/>
              <w:rPr>
                <w:sz w:val="20"/>
                <w:szCs w:val="20"/>
              </w:rPr>
            </w:pPr>
            <w:r>
              <w:rPr>
                <w:caps w:val="false"/>
                <w:smallCaps w:val="false"/>
                <w:sz w:val="20"/>
                <w:szCs w:val="20"/>
              </w:rPr>
              <w:t>    </w:t>
            </w:r>
            <w:r>
              <w:rPr>
                <w:rFonts w:ascii="Arial" w:hAnsi="Arial"/>
                <w:b/>
                <w:sz w:val="20"/>
                <w:szCs w:val="20"/>
                <w:lang w:val="en-GB"/>
              </w:rPr>
              <w:t>20-10</w:t>
            </w:r>
          </w:p>
        </w:tc>
        <w:tc>
          <w:tcPr>
            <w:tcW w:w="1047" w:type="dxa"/>
            <w:tcBorders>
              <w:top w:val="single" w:sz="4" w:space="0" w:color="000000"/>
              <w:bottom w:val="single" w:sz="4" w:space="0" w:color="000000"/>
              <w:right w:val="single" w:sz="4" w:space="0" w:color="000000"/>
            </w:tcBorders>
            <w:tcMar>
              <w:left w:w="0" w:type="dxa"/>
            </w:tcMar>
          </w:tcPr>
          <w:p>
            <w:pPr>
              <w:pStyle w:val="TableContents"/>
              <w:bidi w:val="0"/>
              <w:spacing w:before="0" w:after="283"/>
              <w:ind w:left="0" w:right="0" w:hanging="0"/>
              <w:jc w:val="center"/>
              <w:rPr>
                <w:sz w:val="20"/>
                <w:szCs w:val="20"/>
              </w:rPr>
            </w:pPr>
            <w:r>
              <w:rPr>
                <w:caps w:val="false"/>
                <w:smallCaps w:val="false"/>
                <w:sz w:val="20"/>
                <w:szCs w:val="20"/>
              </w:rPr>
              <w:t>    </w:t>
            </w:r>
            <w:r>
              <w:rPr>
                <w:rFonts w:ascii="Arial" w:hAnsi="Arial"/>
                <w:b/>
                <w:sz w:val="20"/>
                <w:szCs w:val="20"/>
                <w:lang w:val="en-GB"/>
              </w:rPr>
              <w:t>9-5</w:t>
            </w:r>
          </w:p>
        </w:tc>
        <w:tc>
          <w:tcPr>
            <w:tcW w:w="917" w:type="dxa"/>
            <w:tcBorders>
              <w:top w:val="single" w:sz="4" w:space="0" w:color="000000"/>
              <w:bottom w:val="single" w:sz="4" w:space="0" w:color="000000"/>
              <w:right w:val="single" w:sz="4" w:space="0" w:color="000000"/>
            </w:tcBorders>
            <w:tcMar>
              <w:left w:w="0" w:type="dxa"/>
            </w:tcMar>
          </w:tcPr>
          <w:p>
            <w:pPr>
              <w:pStyle w:val="TableContents"/>
              <w:bidi w:val="0"/>
              <w:spacing w:before="0" w:after="283"/>
              <w:ind w:left="0" w:right="0" w:hanging="0"/>
              <w:jc w:val="center"/>
              <w:rPr>
                <w:sz w:val="20"/>
                <w:szCs w:val="20"/>
              </w:rPr>
            </w:pPr>
            <w:r>
              <w:rPr>
                <w:caps w:val="false"/>
                <w:smallCaps w:val="false"/>
                <w:sz w:val="20"/>
                <w:szCs w:val="20"/>
              </w:rPr>
              <w:t>    </w:t>
            </w:r>
            <w:r>
              <w:rPr>
                <w:rFonts w:ascii="Arial" w:hAnsi="Arial"/>
                <w:b/>
                <w:sz w:val="20"/>
                <w:szCs w:val="20"/>
                <w:lang w:val="en-GB"/>
              </w:rPr>
              <w:t>4-3</w:t>
            </w:r>
          </w:p>
        </w:tc>
        <w:tc>
          <w:tcPr>
            <w:tcW w:w="916" w:type="dxa"/>
            <w:tcBorders>
              <w:top w:val="single" w:sz="4" w:space="0" w:color="000000"/>
              <w:bottom w:val="single" w:sz="4" w:space="0" w:color="000000"/>
              <w:right w:val="single" w:sz="4" w:space="0" w:color="000000"/>
            </w:tcBorders>
            <w:tcMar>
              <w:left w:w="0" w:type="dxa"/>
            </w:tcMar>
          </w:tcPr>
          <w:p>
            <w:pPr>
              <w:pStyle w:val="TableContents"/>
              <w:bidi w:val="0"/>
              <w:spacing w:before="0" w:after="283"/>
              <w:ind w:left="0" w:right="0" w:hanging="0"/>
              <w:jc w:val="center"/>
              <w:rPr>
                <w:sz w:val="20"/>
                <w:szCs w:val="20"/>
              </w:rPr>
            </w:pPr>
            <w:r>
              <w:rPr>
                <w:caps w:val="false"/>
                <w:smallCaps w:val="false"/>
                <w:sz w:val="20"/>
                <w:szCs w:val="20"/>
              </w:rPr>
              <w:t>    </w:t>
            </w:r>
            <w:r>
              <w:rPr>
                <w:rFonts w:ascii="Arial" w:hAnsi="Arial"/>
                <w:b/>
                <w:sz w:val="20"/>
                <w:szCs w:val="20"/>
                <w:lang w:val="en-GB"/>
              </w:rPr>
              <w:t>2-1</w:t>
            </w:r>
          </w:p>
        </w:tc>
        <w:tc>
          <w:tcPr>
            <w:tcW w:w="927" w:type="dxa"/>
            <w:tcBorders>
              <w:top w:val="single" w:sz="4" w:space="0" w:color="000000"/>
              <w:bottom w:val="single" w:sz="4" w:space="0" w:color="000000"/>
              <w:right w:val="single" w:sz="4" w:space="0" w:color="000000"/>
            </w:tcBorders>
            <w:tcMar>
              <w:left w:w="0" w:type="dxa"/>
            </w:tcMar>
          </w:tcPr>
          <w:p>
            <w:pPr>
              <w:pStyle w:val="TableContents"/>
              <w:bidi w:val="0"/>
              <w:spacing w:before="0" w:after="283"/>
              <w:ind w:left="0" w:right="0" w:hanging="0"/>
              <w:jc w:val="center"/>
              <w:rPr>
                <w:sz w:val="20"/>
                <w:szCs w:val="20"/>
              </w:rPr>
            </w:pPr>
            <w:r>
              <w:rPr>
                <w:caps w:val="false"/>
                <w:smallCaps w:val="false"/>
                <w:sz w:val="20"/>
                <w:szCs w:val="20"/>
              </w:rPr>
              <w:t>    </w:t>
            </w:r>
            <w:r>
              <w:rPr>
                <w:rFonts w:ascii="Arial" w:hAnsi="Arial"/>
                <w:b/>
                <w:sz w:val="20"/>
                <w:szCs w:val="20"/>
                <w:lang w:val="en-GB"/>
              </w:rPr>
              <w:t>Total</w:t>
            </w:r>
          </w:p>
        </w:tc>
        <w:tc>
          <w:tcPr>
            <w:tcW w:w="917" w:type="dxa"/>
            <w:tcBorders>
              <w:top w:val="single" w:sz="4" w:space="0" w:color="333333"/>
              <w:left w:val="single" w:sz="2" w:space="0" w:color="333333"/>
              <w:bottom w:val="single" w:sz="2" w:space="0" w:color="333333"/>
              <w:right w:val="single" w:sz="4" w:space="0" w:color="333333"/>
            </w:tcBorders>
            <w:tcMar>
              <w:left w:w="28" w:type="dxa"/>
              <w:right w:w="28" w:type="dxa"/>
            </w:tcMar>
          </w:tcPr>
          <w:p>
            <w:pPr>
              <w:pStyle w:val="TableContents"/>
              <w:bidi w:val="0"/>
              <w:jc w:val="left"/>
              <w:rPr>
                <w:sz w:val="20"/>
                <w:szCs w:val="20"/>
              </w:rPr>
            </w:pPr>
            <w:r>
              <w:rPr>
                <w:sz w:val="20"/>
                <w:szCs w:val="20"/>
              </w:rPr>
            </w:r>
          </w:p>
        </w:tc>
        <w:tc>
          <w:tcPr>
            <w:tcW w:w="1516" w:type="dxa"/>
            <w:tcBorders>
              <w:top w:val="single" w:sz="4" w:space="0" w:color="333333"/>
              <w:left w:val="single" w:sz="2" w:space="0" w:color="333333"/>
              <w:bottom w:val="single" w:sz="2" w:space="0" w:color="333333"/>
              <w:right w:val="single" w:sz="4" w:space="0" w:color="333333"/>
            </w:tcBorders>
            <w:tcMar>
              <w:left w:w="28" w:type="dxa"/>
              <w:right w:w="28" w:type="dxa"/>
            </w:tcMar>
          </w:tcPr>
          <w:p>
            <w:pPr>
              <w:pStyle w:val="TableContents"/>
              <w:bidi w:val="0"/>
              <w:jc w:val="left"/>
              <w:rPr>
                <w:sz w:val="20"/>
                <w:szCs w:val="20"/>
              </w:rPr>
            </w:pPr>
            <w:r>
              <w:rPr>
                <w:sz w:val="20"/>
                <w:szCs w:val="20"/>
              </w:rPr>
            </w:r>
          </w:p>
        </w:tc>
      </w:tr>
      <w:tr>
        <w:trPr/>
        <w:tc>
          <w:tcPr>
            <w:tcW w:w="1800" w:type="dxa"/>
            <w:tcBorders>
              <w:left w:val="single" w:sz="4" w:space="0" w:color="000000"/>
              <w:bottom w:val="single" w:sz="4" w:space="0" w:color="000000"/>
              <w:right w:val="single" w:sz="4" w:space="0" w:color="000000"/>
            </w:tcBorders>
            <w:tcMar>
              <w:top w:w="0" w:type="dxa"/>
            </w:tcMar>
          </w:tcPr>
          <w:p>
            <w:pPr>
              <w:pStyle w:val="TableContents"/>
              <w:bidi w:val="0"/>
              <w:spacing w:before="0" w:after="283"/>
              <w:ind w:left="0" w:right="0" w:hanging="0"/>
              <w:jc w:val="left"/>
              <w:rPr>
                <w:sz w:val="20"/>
                <w:szCs w:val="20"/>
              </w:rPr>
            </w:pPr>
            <w:r>
              <w:rPr>
                <w:caps w:val="false"/>
                <w:smallCaps w:val="false"/>
                <w:sz w:val="20"/>
                <w:szCs w:val="20"/>
              </w:rPr>
              <w:t>    </w:t>
            </w:r>
            <w:r>
              <w:rPr>
                <w:rFonts w:ascii="Arial" w:hAnsi="Arial"/>
                <w:sz w:val="20"/>
                <w:szCs w:val="20"/>
                <w:lang w:val="en-GB"/>
              </w:rPr>
              <w:t>1-1000</w:t>
            </w:r>
          </w:p>
        </w:tc>
        <w:tc>
          <w:tcPr>
            <w:tcW w:w="1189" w:type="dxa"/>
            <w:tcBorders>
              <w:bottom w:val="single" w:sz="4" w:space="0" w:color="000000"/>
              <w:right w:val="single" w:sz="4" w:space="0" w:color="000000"/>
            </w:tcBorders>
            <w:tcMar>
              <w:top w:w="0" w:type="dxa"/>
              <w:left w:w="0" w:type="dxa"/>
            </w:tcMar>
          </w:tcPr>
          <w:p>
            <w:pPr>
              <w:pStyle w:val="TableContents"/>
              <w:bidi w:val="0"/>
              <w:spacing w:before="0" w:after="283"/>
              <w:ind w:left="0" w:right="0" w:hanging="0"/>
              <w:jc w:val="right"/>
              <w:rPr>
                <w:sz w:val="20"/>
                <w:szCs w:val="20"/>
              </w:rPr>
            </w:pPr>
            <w:r>
              <w:rPr>
                <w:caps w:val="false"/>
                <w:smallCaps w:val="false"/>
                <w:sz w:val="20"/>
                <w:szCs w:val="20"/>
              </w:rPr>
              <w:t>    </w:t>
            </w:r>
            <w:r>
              <w:rPr>
                <w:rFonts w:ascii="Arial" w:hAnsi="Arial"/>
                <w:sz w:val="20"/>
                <w:szCs w:val="20"/>
                <w:lang w:val="en-GB"/>
              </w:rPr>
              <w:t>128,463</w:t>
            </w:r>
          </w:p>
        </w:tc>
        <w:tc>
          <w:tcPr>
            <w:tcW w:w="1047" w:type="dxa"/>
            <w:tcBorders>
              <w:bottom w:val="single" w:sz="4" w:space="0" w:color="000000"/>
              <w:right w:val="single" w:sz="4" w:space="0" w:color="000000"/>
            </w:tcBorders>
            <w:tcMar>
              <w:top w:w="0" w:type="dxa"/>
              <w:left w:w="0" w:type="dxa"/>
            </w:tcMar>
          </w:tcPr>
          <w:p>
            <w:pPr>
              <w:pStyle w:val="TableContents"/>
              <w:bidi w:val="0"/>
              <w:spacing w:before="0" w:after="283"/>
              <w:ind w:left="0" w:right="0" w:hanging="0"/>
              <w:jc w:val="right"/>
              <w:rPr>
                <w:sz w:val="20"/>
                <w:szCs w:val="20"/>
              </w:rPr>
            </w:pPr>
            <w:r>
              <w:rPr>
                <w:caps w:val="false"/>
                <w:smallCaps w:val="false"/>
                <w:sz w:val="20"/>
                <w:szCs w:val="20"/>
              </w:rPr>
              <w:t>    </w:t>
            </w:r>
            <w:r>
              <w:rPr>
                <w:rFonts w:ascii="Arial" w:hAnsi="Arial"/>
                <w:sz w:val="20"/>
                <w:szCs w:val="20"/>
                <w:lang w:val="en-GB"/>
              </w:rPr>
              <w:t>7,275</w:t>
            </w:r>
          </w:p>
        </w:tc>
        <w:tc>
          <w:tcPr>
            <w:tcW w:w="917" w:type="dxa"/>
            <w:tcBorders>
              <w:bottom w:val="single" w:sz="4" w:space="0" w:color="000000"/>
              <w:right w:val="single" w:sz="4" w:space="0" w:color="000000"/>
            </w:tcBorders>
            <w:tcMar>
              <w:top w:w="0" w:type="dxa"/>
              <w:left w:w="0" w:type="dxa"/>
            </w:tcMar>
          </w:tcPr>
          <w:p>
            <w:pPr>
              <w:pStyle w:val="TableContents"/>
              <w:bidi w:val="0"/>
              <w:spacing w:before="0" w:after="283"/>
              <w:ind w:left="0" w:right="0" w:hanging="0"/>
              <w:jc w:val="right"/>
              <w:rPr>
                <w:sz w:val="20"/>
                <w:szCs w:val="20"/>
              </w:rPr>
            </w:pPr>
            <w:r>
              <w:rPr>
                <w:caps w:val="false"/>
                <w:smallCaps w:val="false"/>
                <w:sz w:val="20"/>
                <w:szCs w:val="20"/>
              </w:rPr>
              <w:t>    </w:t>
            </w:r>
            <w:r>
              <w:rPr>
                <w:rFonts w:ascii="Arial" w:hAnsi="Arial"/>
                <w:sz w:val="20"/>
                <w:szCs w:val="20"/>
                <w:lang w:val="en-GB"/>
              </w:rPr>
              <w:t>2,078</w:t>
            </w:r>
          </w:p>
        </w:tc>
        <w:tc>
          <w:tcPr>
            <w:tcW w:w="916" w:type="dxa"/>
            <w:tcBorders>
              <w:bottom w:val="single" w:sz="4" w:space="0" w:color="000000"/>
              <w:right w:val="single" w:sz="4" w:space="0" w:color="000000"/>
            </w:tcBorders>
            <w:tcMar>
              <w:top w:w="0" w:type="dxa"/>
              <w:left w:w="0" w:type="dxa"/>
            </w:tcMar>
          </w:tcPr>
          <w:p>
            <w:pPr>
              <w:pStyle w:val="TableContents"/>
              <w:bidi w:val="0"/>
              <w:spacing w:before="0" w:after="283"/>
              <w:ind w:left="0" w:right="0" w:hanging="0"/>
              <w:jc w:val="right"/>
              <w:rPr>
                <w:sz w:val="20"/>
                <w:szCs w:val="20"/>
              </w:rPr>
            </w:pPr>
            <w:r>
              <w:rPr>
                <w:caps w:val="false"/>
                <w:smallCaps w:val="false"/>
                <w:sz w:val="20"/>
                <w:szCs w:val="20"/>
              </w:rPr>
              <w:t>    </w:t>
            </w:r>
            <w:r>
              <w:rPr>
                <w:rFonts w:ascii="Arial" w:hAnsi="Arial"/>
                <w:sz w:val="20"/>
                <w:szCs w:val="20"/>
                <w:lang w:val="en-GB"/>
              </w:rPr>
              <w:t>766</w:t>
            </w:r>
          </w:p>
        </w:tc>
        <w:tc>
          <w:tcPr>
            <w:tcW w:w="927" w:type="dxa"/>
            <w:tcBorders>
              <w:bottom w:val="single" w:sz="4" w:space="0" w:color="000000"/>
              <w:right w:val="single" w:sz="4" w:space="0" w:color="000000"/>
            </w:tcBorders>
            <w:tcMar>
              <w:top w:w="0" w:type="dxa"/>
              <w:left w:w="0" w:type="dxa"/>
            </w:tcMar>
          </w:tcPr>
          <w:p>
            <w:pPr>
              <w:pStyle w:val="TableContents"/>
              <w:bidi w:val="0"/>
              <w:spacing w:before="0" w:after="283"/>
              <w:ind w:left="0" w:right="0" w:hanging="0"/>
              <w:jc w:val="right"/>
              <w:rPr>
                <w:sz w:val="20"/>
                <w:szCs w:val="20"/>
              </w:rPr>
            </w:pPr>
            <w:r>
              <w:rPr>
                <w:caps w:val="false"/>
                <w:smallCaps w:val="false"/>
                <w:sz w:val="20"/>
                <w:szCs w:val="20"/>
              </w:rPr>
              <w:t>    </w:t>
            </w:r>
            <w:r>
              <w:rPr>
                <w:rFonts w:ascii="Arial" w:hAnsi="Arial"/>
                <w:sz w:val="20"/>
                <w:szCs w:val="20"/>
                <w:lang w:val="en-GB"/>
              </w:rPr>
              <w:t>201</w:t>
            </w:r>
          </w:p>
        </w:tc>
        <w:tc>
          <w:tcPr>
            <w:tcW w:w="917" w:type="dxa"/>
            <w:tcBorders>
              <w:bottom w:val="single" w:sz="4" w:space="0" w:color="000000"/>
              <w:right w:val="single" w:sz="4" w:space="0" w:color="000000"/>
            </w:tcBorders>
            <w:tcMar>
              <w:top w:w="0" w:type="dxa"/>
              <w:left w:w="0" w:type="dxa"/>
            </w:tcMar>
          </w:tcPr>
          <w:p>
            <w:pPr>
              <w:pStyle w:val="TableContents"/>
              <w:bidi w:val="0"/>
              <w:spacing w:before="0" w:after="283"/>
              <w:ind w:left="0" w:right="0" w:hanging="0"/>
              <w:jc w:val="right"/>
              <w:rPr>
                <w:sz w:val="20"/>
                <w:szCs w:val="20"/>
              </w:rPr>
            </w:pPr>
            <w:r>
              <w:rPr>
                <w:caps w:val="false"/>
                <w:smallCaps w:val="false"/>
                <w:sz w:val="20"/>
                <w:szCs w:val="20"/>
              </w:rPr>
              <w:t>    </w:t>
            </w:r>
            <w:r>
              <w:rPr>
                <w:rFonts w:ascii="Arial" w:hAnsi="Arial"/>
                <w:sz w:val="20"/>
                <w:szCs w:val="20"/>
                <w:lang w:val="en-GB"/>
              </w:rPr>
              <w:t>90</w:t>
            </w:r>
          </w:p>
        </w:tc>
        <w:tc>
          <w:tcPr>
            <w:tcW w:w="1516" w:type="dxa"/>
            <w:tcBorders>
              <w:bottom w:val="single" w:sz="4" w:space="0" w:color="000000"/>
              <w:right w:val="single" w:sz="4" w:space="0" w:color="000000"/>
            </w:tcBorders>
            <w:tcMar>
              <w:top w:w="0" w:type="dxa"/>
              <w:left w:w="0" w:type="dxa"/>
            </w:tcMar>
          </w:tcPr>
          <w:p>
            <w:pPr>
              <w:pStyle w:val="TableContents"/>
              <w:bidi w:val="0"/>
              <w:spacing w:before="0" w:after="283"/>
              <w:ind w:left="0" w:right="0" w:hanging="0"/>
              <w:jc w:val="right"/>
              <w:rPr>
                <w:sz w:val="20"/>
                <w:szCs w:val="20"/>
              </w:rPr>
            </w:pPr>
            <w:r>
              <w:rPr>
                <w:caps w:val="false"/>
                <w:smallCaps w:val="false"/>
                <w:sz w:val="20"/>
                <w:szCs w:val="20"/>
              </w:rPr>
              <w:t>    </w:t>
            </w:r>
            <w:r>
              <w:rPr>
                <w:rFonts w:ascii="Arial" w:hAnsi="Arial"/>
                <w:sz w:val="20"/>
                <w:szCs w:val="20"/>
                <w:lang w:val="en-GB"/>
              </w:rPr>
              <w:t>138,873</w:t>
            </w:r>
          </w:p>
        </w:tc>
      </w:tr>
      <w:tr>
        <w:trPr/>
        <w:tc>
          <w:tcPr>
            <w:tcW w:w="1800" w:type="dxa"/>
            <w:tcBorders>
              <w:left w:val="single" w:sz="4" w:space="0" w:color="000000"/>
              <w:bottom w:val="single" w:sz="4" w:space="0" w:color="000000"/>
              <w:right w:val="single" w:sz="4" w:space="0" w:color="000000"/>
            </w:tcBorders>
            <w:tcMar>
              <w:top w:w="0" w:type="dxa"/>
            </w:tcMar>
          </w:tcPr>
          <w:p>
            <w:pPr>
              <w:pStyle w:val="TableContents"/>
              <w:bidi w:val="0"/>
              <w:spacing w:before="0" w:after="283"/>
              <w:ind w:left="0" w:right="0" w:hanging="0"/>
              <w:jc w:val="left"/>
              <w:rPr>
                <w:sz w:val="20"/>
                <w:szCs w:val="20"/>
              </w:rPr>
            </w:pPr>
            <w:r>
              <w:rPr>
                <w:caps w:val="false"/>
                <w:smallCaps w:val="false"/>
                <w:sz w:val="20"/>
                <w:szCs w:val="20"/>
              </w:rPr>
              <w:t>    </w:t>
            </w:r>
            <w:r>
              <w:rPr>
                <w:rFonts w:ascii="Arial" w:hAnsi="Arial"/>
                <w:sz w:val="20"/>
                <w:szCs w:val="20"/>
                <w:lang w:val="en-GB"/>
              </w:rPr>
              <w:t>1001-2000</w:t>
            </w:r>
          </w:p>
        </w:tc>
        <w:tc>
          <w:tcPr>
            <w:tcW w:w="1189" w:type="dxa"/>
            <w:tcBorders>
              <w:bottom w:val="single" w:sz="4" w:space="0" w:color="000000"/>
              <w:right w:val="single" w:sz="4" w:space="0" w:color="000000"/>
            </w:tcBorders>
            <w:tcMar>
              <w:top w:w="0" w:type="dxa"/>
              <w:left w:w="0" w:type="dxa"/>
            </w:tcMar>
          </w:tcPr>
          <w:p>
            <w:pPr>
              <w:pStyle w:val="TableContents"/>
              <w:bidi w:val="0"/>
              <w:spacing w:before="0" w:after="283"/>
              <w:ind w:left="0" w:right="0" w:hanging="0"/>
              <w:jc w:val="right"/>
              <w:rPr>
                <w:sz w:val="20"/>
                <w:szCs w:val="20"/>
              </w:rPr>
            </w:pPr>
            <w:r>
              <w:rPr>
                <w:caps w:val="false"/>
                <w:smallCaps w:val="false"/>
                <w:sz w:val="20"/>
                <w:szCs w:val="20"/>
              </w:rPr>
              <w:t>    </w:t>
            </w:r>
            <w:r>
              <w:rPr>
                <w:rFonts w:ascii="Arial" w:hAnsi="Arial"/>
                <w:sz w:val="20"/>
                <w:szCs w:val="20"/>
                <w:lang w:val="en-GB"/>
              </w:rPr>
              <w:t>3,101</w:t>
            </w:r>
          </w:p>
        </w:tc>
        <w:tc>
          <w:tcPr>
            <w:tcW w:w="1047" w:type="dxa"/>
            <w:tcBorders>
              <w:bottom w:val="single" w:sz="4" w:space="0" w:color="000000"/>
              <w:right w:val="single" w:sz="4" w:space="0" w:color="000000"/>
            </w:tcBorders>
            <w:tcMar>
              <w:top w:w="0" w:type="dxa"/>
              <w:left w:w="0" w:type="dxa"/>
            </w:tcMar>
          </w:tcPr>
          <w:p>
            <w:pPr>
              <w:pStyle w:val="TableContents"/>
              <w:bidi w:val="0"/>
              <w:spacing w:before="0" w:after="283"/>
              <w:ind w:left="0" w:right="0" w:hanging="0"/>
              <w:jc w:val="right"/>
              <w:rPr>
                <w:sz w:val="20"/>
                <w:szCs w:val="20"/>
              </w:rPr>
            </w:pPr>
            <w:r>
              <w:rPr>
                <w:caps w:val="false"/>
                <w:smallCaps w:val="false"/>
                <w:sz w:val="20"/>
                <w:szCs w:val="20"/>
              </w:rPr>
              <w:t>    </w:t>
            </w:r>
            <w:r>
              <w:rPr>
                <w:rFonts w:ascii="Arial" w:hAnsi="Arial"/>
                <w:sz w:val="20"/>
                <w:szCs w:val="20"/>
                <w:lang w:val="en-GB"/>
              </w:rPr>
              <w:t>2,838</w:t>
            </w:r>
          </w:p>
        </w:tc>
        <w:tc>
          <w:tcPr>
            <w:tcW w:w="917" w:type="dxa"/>
            <w:tcBorders>
              <w:bottom w:val="single" w:sz="4" w:space="0" w:color="000000"/>
              <w:right w:val="single" w:sz="4" w:space="0" w:color="000000"/>
            </w:tcBorders>
            <w:tcMar>
              <w:top w:w="0" w:type="dxa"/>
              <w:left w:w="0" w:type="dxa"/>
            </w:tcMar>
          </w:tcPr>
          <w:p>
            <w:pPr>
              <w:pStyle w:val="TableContents"/>
              <w:bidi w:val="0"/>
              <w:spacing w:before="0" w:after="283"/>
              <w:ind w:left="0" w:right="0" w:hanging="0"/>
              <w:jc w:val="right"/>
              <w:rPr>
                <w:sz w:val="20"/>
                <w:szCs w:val="20"/>
              </w:rPr>
            </w:pPr>
            <w:r>
              <w:rPr>
                <w:caps w:val="false"/>
                <w:smallCaps w:val="false"/>
                <w:sz w:val="20"/>
                <w:szCs w:val="20"/>
              </w:rPr>
              <w:t>    </w:t>
            </w:r>
            <w:r>
              <w:rPr>
                <w:rFonts w:ascii="Arial" w:hAnsi="Arial"/>
                <w:sz w:val="20"/>
                <w:szCs w:val="20"/>
                <w:lang w:val="en-GB"/>
              </w:rPr>
              <w:t>1,674</w:t>
            </w:r>
          </w:p>
        </w:tc>
        <w:tc>
          <w:tcPr>
            <w:tcW w:w="916" w:type="dxa"/>
            <w:tcBorders>
              <w:bottom w:val="single" w:sz="4" w:space="0" w:color="000000"/>
              <w:right w:val="single" w:sz="4" w:space="0" w:color="000000"/>
            </w:tcBorders>
            <w:tcMar>
              <w:top w:w="0" w:type="dxa"/>
              <w:left w:w="0" w:type="dxa"/>
            </w:tcMar>
          </w:tcPr>
          <w:p>
            <w:pPr>
              <w:pStyle w:val="TableContents"/>
              <w:bidi w:val="0"/>
              <w:spacing w:before="0" w:after="283"/>
              <w:ind w:left="0" w:right="0" w:hanging="0"/>
              <w:jc w:val="right"/>
              <w:rPr>
                <w:sz w:val="20"/>
                <w:szCs w:val="20"/>
              </w:rPr>
            </w:pPr>
            <w:r>
              <w:rPr>
                <w:caps w:val="false"/>
                <w:smallCaps w:val="false"/>
                <w:sz w:val="20"/>
                <w:szCs w:val="20"/>
              </w:rPr>
              <w:t>    </w:t>
            </w:r>
            <w:r>
              <w:rPr>
                <w:rFonts w:ascii="Arial" w:hAnsi="Arial"/>
                <w:sz w:val="20"/>
                <w:szCs w:val="20"/>
                <w:lang w:val="en-GB"/>
              </w:rPr>
              <w:t>1,011</w:t>
            </w:r>
          </w:p>
        </w:tc>
        <w:tc>
          <w:tcPr>
            <w:tcW w:w="927" w:type="dxa"/>
            <w:tcBorders>
              <w:bottom w:val="single" w:sz="4" w:space="0" w:color="000000"/>
              <w:right w:val="single" w:sz="4" w:space="0" w:color="000000"/>
            </w:tcBorders>
            <w:tcMar>
              <w:top w:w="0" w:type="dxa"/>
              <w:left w:w="0" w:type="dxa"/>
            </w:tcMar>
          </w:tcPr>
          <w:p>
            <w:pPr>
              <w:pStyle w:val="TableContents"/>
              <w:bidi w:val="0"/>
              <w:spacing w:before="0" w:after="283"/>
              <w:ind w:left="0" w:right="0" w:hanging="0"/>
              <w:jc w:val="right"/>
              <w:rPr>
                <w:sz w:val="20"/>
                <w:szCs w:val="20"/>
              </w:rPr>
            </w:pPr>
            <w:r>
              <w:rPr>
                <w:caps w:val="false"/>
                <w:smallCaps w:val="false"/>
                <w:sz w:val="20"/>
                <w:szCs w:val="20"/>
              </w:rPr>
              <w:t>    </w:t>
            </w:r>
            <w:r>
              <w:rPr>
                <w:rFonts w:ascii="Arial" w:hAnsi="Arial"/>
                <w:sz w:val="20"/>
                <w:szCs w:val="20"/>
                <w:lang w:val="en-GB"/>
              </w:rPr>
              <w:t>312</w:t>
            </w:r>
          </w:p>
        </w:tc>
        <w:tc>
          <w:tcPr>
            <w:tcW w:w="917" w:type="dxa"/>
            <w:tcBorders>
              <w:bottom w:val="single" w:sz="4" w:space="0" w:color="000000"/>
              <w:right w:val="single" w:sz="4" w:space="0" w:color="000000"/>
            </w:tcBorders>
            <w:tcMar>
              <w:top w:w="0" w:type="dxa"/>
              <w:left w:w="0" w:type="dxa"/>
            </w:tcMar>
          </w:tcPr>
          <w:p>
            <w:pPr>
              <w:pStyle w:val="TableContents"/>
              <w:bidi w:val="0"/>
              <w:spacing w:before="0" w:after="283"/>
              <w:ind w:left="0" w:right="0" w:hanging="0"/>
              <w:jc w:val="right"/>
              <w:rPr>
                <w:sz w:val="20"/>
                <w:szCs w:val="20"/>
              </w:rPr>
            </w:pPr>
            <w:r>
              <w:rPr>
                <w:caps w:val="false"/>
                <w:smallCaps w:val="false"/>
                <w:sz w:val="20"/>
                <w:szCs w:val="20"/>
              </w:rPr>
              <w:t>    </w:t>
            </w:r>
            <w:r>
              <w:rPr>
                <w:rFonts w:ascii="Arial" w:hAnsi="Arial"/>
                <w:sz w:val="20"/>
                <w:szCs w:val="20"/>
                <w:lang w:val="en-GB"/>
              </w:rPr>
              <w:t>255</w:t>
            </w:r>
          </w:p>
        </w:tc>
        <w:tc>
          <w:tcPr>
            <w:tcW w:w="1516" w:type="dxa"/>
            <w:tcBorders>
              <w:bottom w:val="single" w:sz="4" w:space="0" w:color="000000"/>
              <w:right w:val="single" w:sz="4" w:space="0" w:color="000000"/>
            </w:tcBorders>
            <w:tcMar>
              <w:top w:w="0" w:type="dxa"/>
              <w:left w:w="0" w:type="dxa"/>
            </w:tcMar>
          </w:tcPr>
          <w:p>
            <w:pPr>
              <w:pStyle w:val="TableContents"/>
              <w:bidi w:val="0"/>
              <w:spacing w:before="0" w:after="283"/>
              <w:ind w:left="0" w:right="0" w:hanging="0"/>
              <w:jc w:val="right"/>
              <w:rPr>
                <w:sz w:val="20"/>
                <w:szCs w:val="20"/>
              </w:rPr>
            </w:pPr>
            <w:r>
              <w:rPr>
                <w:caps w:val="false"/>
                <w:smallCaps w:val="false"/>
                <w:sz w:val="20"/>
                <w:szCs w:val="20"/>
              </w:rPr>
              <w:t>    </w:t>
            </w:r>
            <w:r>
              <w:rPr>
                <w:rFonts w:ascii="Arial" w:hAnsi="Arial"/>
                <w:sz w:val="20"/>
                <w:szCs w:val="20"/>
                <w:lang w:val="en-GB"/>
              </w:rPr>
              <w:t>9,191</w:t>
            </w:r>
          </w:p>
        </w:tc>
      </w:tr>
      <w:tr>
        <w:trPr/>
        <w:tc>
          <w:tcPr>
            <w:tcW w:w="1800" w:type="dxa"/>
            <w:tcBorders>
              <w:left w:val="single" w:sz="4" w:space="0" w:color="000000"/>
              <w:bottom w:val="single" w:sz="4" w:space="0" w:color="000000"/>
              <w:right w:val="single" w:sz="4" w:space="0" w:color="000000"/>
            </w:tcBorders>
            <w:tcMar>
              <w:top w:w="0" w:type="dxa"/>
            </w:tcMar>
          </w:tcPr>
          <w:p>
            <w:pPr>
              <w:pStyle w:val="TableContents"/>
              <w:bidi w:val="0"/>
              <w:spacing w:before="0" w:after="283"/>
              <w:ind w:left="0" w:right="0" w:hanging="0"/>
              <w:jc w:val="left"/>
              <w:rPr>
                <w:sz w:val="20"/>
                <w:szCs w:val="20"/>
              </w:rPr>
            </w:pPr>
            <w:r>
              <w:rPr>
                <w:caps w:val="false"/>
                <w:smallCaps w:val="false"/>
                <w:sz w:val="20"/>
                <w:szCs w:val="20"/>
              </w:rPr>
              <w:t>    </w:t>
            </w:r>
            <w:r>
              <w:rPr>
                <w:rFonts w:ascii="Arial" w:hAnsi="Arial"/>
                <w:sz w:val="20"/>
                <w:szCs w:val="20"/>
                <w:lang w:val="en-GB"/>
              </w:rPr>
              <w:t>2001-3000</w:t>
            </w:r>
          </w:p>
        </w:tc>
        <w:tc>
          <w:tcPr>
            <w:tcW w:w="1189" w:type="dxa"/>
            <w:tcBorders>
              <w:bottom w:val="single" w:sz="4" w:space="0" w:color="000000"/>
              <w:right w:val="single" w:sz="4" w:space="0" w:color="000000"/>
            </w:tcBorders>
            <w:tcMar>
              <w:top w:w="0" w:type="dxa"/>
              <w:left w:w="0" w:type="dxa"/>
            </w:tcMar>
          </w:tcPr>
          <w:p>
            <w:pPr>
              <w:pStyle w:val="TableContents"/>
              <w:bidi w:val="0"/>
              <w:spacing w:before="0" w:after="283"/>
              <w:ind w:left="0" w:right="0" w:hanging="0"/>
              <w:jc w:val="right"/>
              <w:rPr>
                <w:sz w:val="20"/>
                <w:szCs w:val="20"/>
              </w:rPr>
            </w:pPr>
            <w:r>
              <w:rPr>
                <w:caps w:val="false"/>
                <w:smallCaps w:val="false"/>
                <w:sz w:val="20"/>
                <w:szCs w:val="20"/>
              </w:rPr>
              <w:t>    </w:t>
            </w:r>
            <w:r>
              <w:rPr>
                <w:rFonts w:ascii="Arial" w:hAnsi="Arial"/>
                <w:sz w:val="20"/>
                <w:szCs w:val="20"/>
                <w:lang w:val="en-GB"/>
              </w:rPr>
              <w:t>861</w:t>
            </w:r>
          </w:p>
        </w:tc>
        <w:tc>
          <w:tcPr>
            <w:tcW w:w="1047" w:type="dxa"/>
            <w:tcBorders>
              <w:bottom w:val="single" w:sz="4" w:space="0" w:color="000000"/>
              <w:right w:val="single" w:sz="4" w:space="0" w:color="000000"/>
            </w:tcBorders>
            <w:tcMar>
              <w:top w:w="0" w:type="dxa"/>
              <w:left w:w="0" w:type="dxa"/>
            </w:tcMar>
          </w:tcPr>
          <w:p>
            <w:pPr>
              <w:pStyle w:val="TableContents"/>
              <w:bidi w:val="0"/>
              <w:spacing w:before="0" w:after="283"/>
              <w:ind w:left="0" w:right="0" w:hanging="0"/>
              <w:jc w:val="right"/>
              <w:rPr>
                <w:sz w:val="20"/>
                <w:szCs w:val="20"/>
              </w:rPr>
            </w:pPr>
            <w:r>
              <w:rPr>
                <w:caps w:val="false"/>
                <w:smallCaps w:val="false"/>
                <w:sz w:val="20"/>
                <w:szCs w:val="20"/>
              </w:rPr>
              <w:t>    </w:t>
            </w:r>
            <w:r>
              <w:rPr>
                <w:rFonts w:ascii="Arial" w:hAnsi="Arial"/>
                <w:sz w:val="20"/>
                <w:szCs w:val="20"/>
                <w:lang w:val="en-GB"/>
              </w:rPr>
              <w:t>409</w:t>
            </w:r>
          </w:p>
        </w:tc>
        <w:tc>
          <w:tcPr>
            <w:tcW w:w="917" w:type="dxa"/>
            <w:tcBorders>
              <w:bottom w:val="single" w:sz="4" w:space="0" w:color="000000"/>
              <w:right w:val="single" w:sz="4" w:space="0" w:color="000000"/>
            </w:tcBorders>
            <w:tcMar>
              <w:top w:w="0" w:type="dxa"/>
              <w:left w:w="0" w:type="dxa"/>
            </w:tcMar>
          </w:tcPr>
          <w:p>
            <w:pPr>
              <w:pStyle w:val="TableContents"/>
              <w:bidi w:val="0"/>
              <w:spacing w:before="0" w:after="283"/>
              <w:ind w:left="0" w:right="0" w:hanging="0"/>
              <w:jc w:val="right"/>
              <w:rPr>
                <w:sz w:val="20"/>
                <w:szCs w:val="20"/>
              </w:rPr>
            </w:pPr>
            <w:r>
              <w:rPr>
                <w:caps w:val="false"/>
                <w:smallCaps w:val="false"/>
                <w:sz w:val="20"/>
                <w:szCs w:val="20"/>
              </w:rPr>
              <w:t>    </w:t>
            </w:r>
            <w:r>
              <w:rPr>
                <w:rFonts w:ascii="Arial" w:hAnsi="Arial"/>
                <w:sz w:val="20"/>
                <w:szCs w:val="20"/>
                <w:lang w:val="en-GB"/>
              </w:rPr>
              <w:t>786</w:t>
            </w:r>
          </w:p>
        </w:tc>
        <w:tc>
          <w:tcPr>
            <w:tcW w:w="916" w:type="dxa"/>
            <w:tcBorders>
              <w:bottom w:val="single" w:sz="4" w:space="0" w:color="000000"/>
              <w:right w:val="single" w:sz="4" w:space="0" w:color="000000"/>
            </w:tcBorders>
            <w:tcMar>
              <w:top w:w="0" w:type="dxa"/>
              <w:left w:w="0" w:type="dxa"/>
            </w:tcMar>
          </w:tcPr>
          <w:p>
            <w:pPr>
              <w:pStyle w:val="TableContents"/>
              <w:bidi w:val="0"/>
              <w:spacing w:before="0" w:after="283"/>
              <w:ind w:left="0" w:right="0" w:hanging="0"/>
              <w:jc w:val="right"/>
              <w:rPr>
                <w:sz w:val="20"/>
                <w:szCs w:val="20"/>
              </w:rPr>
            </w:pPr>
            <w:r>
              <w:rPr>
                <w:caps w:val="false"/>
                <w:smallCaps w:val="false"/>
                <w:sz w:val="20"/>
                <w:szCs w:val="20"/>
              </w:rPr>
              <w:t>    </w:t>
            </w:r>
            <w:r>
              <w:rPr>
                <w:rFonts w:ascii="Arial" w:hAnsi="Arial"/>
                <w:sz w:val="20"/>
                <w:szCs w:val="20"/>
                <w:lang w:val="en-GB"/>
              </w:rPr>
              <w:t>532</w:t>
            </w:r>
          </w:p>
        </w:tc>
        <w:tc>
          <w:tcPr>
            <w:tcW w:w="927" w:type="dxa"/>
            <w:tcBorders>
              <w:bottom w:val="single" w:sz="4" w:space="0" w:color="000000"/>
              <w:right w:val="single" w:sz="4" w:space="0" w:color="000000"/>
            </w:tcBorders>
            <w:tcMar>
              <w:top w:w="0" w:type="dxa"/>
              <w:left w:w="0" w:type="dxa"/>
            </w:tcMar>
          </w:tcPr>
          <w:p>
            <w:pPr>
              <w:pStyle w:val="TableContents"/>
              <w:bidi w:val="0"/>
              <w:spacing w:before="0" w:after="283"/>
              <w:ind w:left="0" w:right="0" w:hanging="0"/>
              <w:jc w:val="right"/>
              <w:rPr>
                <w:sz w:val="20"/>
                <w:szCs w:val="20"/>
              </w:rPr>
            </w:pPr>
            <w:r>
              <w:rPr>
                <w:caps w:val="false"/>
                <w:smallCaps w:val="false"/>
                <w:sz w:val="20"/>
                <w:szCs w:val="20"/>
              </w:rPr>
              <w:t>    </w:t>
            </w:r>
            <w:r>
              <w:rPr>
                <w:rFonts w:ascii="Arial" w:hAnsi="Arial"/>
                <w:sz w:val="20"/>
                <w:szCs w:val="20"/>
                <w:lang w:val="en-GB"/>
              </w:rPr>
              <w:t>200</w:t>
            </w:r>
          </w:p>
        </w:tc>
        <w:tc>
          <w:tcPr>
            <w:tcW w:w="917" w:type="dxa"/>
            <w:tcBorders>
              <w:bottom w:val="single" w:sz="4" w:space="0" w:color="000000"/>
              <w:right w:val="single" w:sz="4" w:space="0" w:color="000000"/>
            </w:tcBorders>
            <w:tcMar>
              <w:top w:w="0" w:type="dxa"/>
              <w:left w:w="0" w:type="dxa"/>
            </w:tcMar>
          </w:tcPr>
          <w:p>
            <w:pPr>
              <w:pStyle w:val="TableContents"/>
              <w:bidi w:val="0"/>
              <w:spacing w:before="0" w:after="283"/>
              <w:ind w:left="0" w:right="0" w:hanging="0"/>
              <w:jc w:val="right"/>
              <w:rPr>
                <w:sz w:val="20"/>
                <w:szCs w:val="20"/>
              </w:rPr>
            </w:pPr>
            <w:r>
              <w:rPr>
                <w:caps w:val="false"/>
                <w:smallCaps w:val="false"/>
                <w:sz w:val="20"/>
                <w:szCs w:val="20"/>
              </w:rPr>
              <w:t>    </w:t>
            </w:r>
            <w:r>
              <w:rPr>
                <w:rFonts w:ascii="Arial" w:hAnsi="Arial"/>
                <w:sz w:val="20"/>
                <w:szCs w:val="20"/>
                <w:lang w:val="en-GB"/>
              </w:rPr>
              <w:t>187</w:t>
            </w:r>
          </w:p>
        </w:tc>
        <w:tc>
          <w:tcPr>
            <w:tcW w:w="1516" w:type="dxa"/>
            <w:tcBorders>
              <w:bottom w:val="single" w:sz="4" w:space="0" w:color="000000"/>
              <w:right w:val="single" w:sz="4" w:space="0" w:color="000000"/>
            </w:tcBorders>
            <w:tcMar>
              <w:top w:w="0" w:type="dxa"/>
              <w:left w:w="0" w:type="dxa"/>
            </w:tcMar>
          </w:tcPr>
          <w:p>
            <w:pPr>
              <w:pStyle w:val="TableContents"/>
              <w:bidi w:val="0"/>
              <w:spacing w:before="0" w:after="283"/>
              <w:ind w:left="0" w:right="0" w:hanging="0"/>
              <w:jc w:val="right"/>
              <w:rPr>
                <w:sz w:val="20"/>
                <w:szCs w:val="20"/>
              </w:rPr>
            </w:pPr>
            <w:r>
              <w:rPr>
                <w:caps w:val="false"/>
                <w:smallCaps w:val="false"/>
                <w:sz w:val="20"/>
                <w:szCs w:val="20"/>
              </w:rPr>
              <w:t>    </w:t>
            </w:r>
            <w:r>
              <w:rPr>
                <w:rFonts w:ascii="Arial" w:hAnsi="Arial"/>
                <w:sz w:val="20"/>
                <w:szCs w:val="20"/>
                <w:lang w:val="en-GB"/>
              </w:rPr>
              <w:t>2,975</w:t>
            </w:r>
          </w:p>
        </w:tc>
      </w:tr>
      <w:tr>
        <w:trPr/>
        <w:tc>
          <w:tcPr>
            <w:tcW w:w="1800" w:type="dxa"/>
            <w:tcBorders>
              <w:left w:val="single" w:sz="4" w:space="0" w:color="000000"/>
              <w:bottom w:val="single" w:sz="4" w:space="0" w:color="000000"/>
              <w:right w:val="single" w:sz="4" w:space="0" w:color="000000"/>
            </w:tcBorders>
            <w:tcMar>
              <w:top w:w="0" w:type="dxa"/>
            </w:tcMar>
          </w:tcPr>
          <w:p>
            <w:pPr>
              <w:pStyle w:val="TableContents"/>
              <w:bidi w:val="0"/>
              <w:spacing w:before="0" w:after="283"/>
              <w:ind w:left="0" w:right="0" w:hanging="0"/>
              <w:jc w:val="left"/>
              <w:rPr>
                <w:sz w:val="20"/>
                <w:szCs w:val="20"/>
              </w:rPr>
            </w:pPr>
            <w:r>
              <w:rPr>
                <w:caps w:val="false"/>
                <w:smallCaps w:val="false"/>
                <w:sz w:val="20"/>
                <w:szCs w:val="20"/>
              </w:rPr>
              <w:t>    </w:t>
            </w:r>
            <w:r>
              <w:rPr>
                <w:rFonts w:ascii="Arial" w:hAnsi="Arial"/>
                <w:sz w:val="20"/>
                <w:szCs w:val="20"/>
                <w:lang w:val="en-GB"/>
              </w:rPr>
              <w:t>3001 +</w:t>
            </w:r>
          </w:p>
        </w:tc>
        <w:tc>
          <w:tcPr>
            <w:tcW w:w="1189" w:type="dxa"/>
            <w:tcBorders>
              <w:bottom w:val="single" w:sz="4" w:space="0" w:color="000000"/>
              <w:right w:val="single" w:sz="4" w:space="0" w:color="000000"/>
            </w:tcBorders>
            <w:tcMar>
              <w:top w:w="0" w:type="dxa"/>
              <w:left w:w="0" w:type="dxa"/>
            </w:tcMar>
          </w:tcPr>
          <w:p>
            <w:pPr>
              <w:pStyle w:val="TableContents"/>
              <w:bidi w:val="0"/>
              <w:spacing w:before="0" w:after="283"/>
              <w:ind w:left="0" w:right="0" w:hanging="0"/>
              <w:jc w:val="right"/>
              <w:rPr>
                <w:sz w:val="20"/>
                <w:szCs w:val="20"/>
              </w:rPr>
            </w:pPr>
            <w:r>
              <w:rPr>
                <w:caps w:val="false"/>
                <w:smallCaps w:val="false"/>
                <w:sz w:val="20"/>
                <w:szCs w:val="20"/>
              </w:rPr>
              <w:t>    </w:t>
            </w:r>
            <w:r>
              <w:rPr>
                <w:rFonts w:ascii="Arial" w:hAnsi="Arial"/>
                <w:sz w:val="20"/>
                <w:szCs w:val="20"/>
                <w:lang w:val="en-GB"/>
              </w:rPr>
              <w:t>1,983</w:t>
            </w:r>
          </w:p>
        </w:tc>
        <w:tc>
          <w:tcPr>
            <w:tcW w:w="1047" w:type="dxa"/>
            <w:tcBorders>
              <w:bottom w:val="single" w:sz="4" w:space="0" w:color="000000"/>
              <w:right w:val="single" w:sz="4" w:space="0" w:color="000000"/>
            </w:tcBorders>
            <w:tcMar>
              <w:top w:w="0" w:type="dxa"/>
              <w:left w:w="0" w:type="dxa"/>
            </w:tcMar>
          </w:tcPr>
          <w:p>
            <w:pPr>
              <w:pStyle w:val="TableContents"/>
              <w:bidi w:val="0"/>
              <w:spacing w:before="0" w:after="283"/>
              <w:ind w:left="0" w:right="0" w:hanging="0"/>
              <w:jc w:val="right"/>
              <w:rPr>
                <w:sz w:val="20"/>
                <w:szCs w:val="20"/>
              </w:rPr>
            </w:pPr>
            <w:r>
              <w:rPr>
                <w:caps w:val="false"/>
                <w:smallCaps w:val="false"/>
                <w:sz w:val="20"/>
                <w:szCs w:val="20"/>
              </w:rPr>
              <w:t>    </w:t>
            </w:r>
            <w:r>
              <w:rPr>
                <w:rFonts w:ascii="Arial" w:hAnsi="Arial"/>
                <w:sz w:val="20"/>
                <w:szCs w:val="20"/>
                <w:lang w:val="en-GB"/>
              </w:rPr>
              <w:t>1,881</w:t>
            </w:r>
          </w:p>
        </w:tc>
        <w:tc>
          <w:tcPr>
            <w:tcW w:w="917" w:type="dxa"/>
            <w:tcBorders>
              <w:bottom w:val="single" w:sz="4" w:space="0" w:color="000000"/>
              <w:right w:val="single" w:sz="4" w:space="0" w:color="000000"/>
            </w:tcBorders>
            <w:tcMar>
              <w:top w:w="0" w:type="dxa"/>
              <w:left w:w="0" w:type="dxa"/>
            </w:tcMar>
          </w:tcPr>
          <w:p>
            <w:pPr>
              <w:pStyle w:val="TableContents"/>
              <w:bidi w:val="0"/>
              <w:spacing w:before="0" w:after="283"/>
              <w:ind w:left="0" w:right="0" w:hanging="0"/>
              <w:jc w:val="right"/>
              <w:rPr>
                <w:sz w:val="20"/>
                <w:szCs w:val="20"/>
              </w:rPr>
            </w:pPr>
            <w:r>
              <w:rPr>
                <w:caps w:val="false"/>
                <w:smallCaps w:val="false"/>
                <w:sz w:val="20"/>
                <w:szCs w:val="20"/>
              </w:rPr>
              <w:t>    </w:t>
            </w:r>
            <w:r>
              <w:rPr>
                <w:rFonts w:ascii="Arial" w:hAnsi="Arial"/>
                <w:sz w:val="20"/>
                <w:szCs w:val="20"/>
                <w:lang w:val="en-GB"/>
              </w:rPr>
              <w:t>2,134</w:t>
            </w:r>
          </w:p>
        </w:tc>
        <w:tc>
          <w:tcPr>
            <w:tcW w:w="916" w:type="dxa"/>
            <w:tcBorders>
              <w:bottom w:val="single" w:sz="4" w:space="0" w:color="000000"/>
              <w:right w:val="single" w:sz="4" w:space="0" w:color="000000"/>
            </w:tcBorders>
            <w:tcMar>
              <w:top w:w="0" w:type="dxa"/>
              <w:left w:w="0" w:type="dxa"/>
            </w:tcMar>
          </w:tcPr>
          <w:p>
            <w:pPr>
              <w:pStyle w:val="TableContents"/>
              <w:bidi w:val="0"/>
              <w:spacing w:before="0" w:after="283"/>
              <w:ind w:left="0" w:right="0" w:hanging="0"/>
              <w:jc w:val="right"/>
              <w:rPr>
                <w:sz w:val="20"/>
                <w:szCs w:val="20"/>
              </w:rPr>
            </w:pPr>
            <w:r>
              <w:rPr>
                <w:caps w:val="false"/>
                <w:smallCaps w:val="false"/>
                <w:sz w:val="20"/>
                <w:szCs w:val="20"/>
              </w:rPr>
              <w:t>    </w:t>
            </w:r>
            <w:r>
              <w:rPr>
                <w:rFonts w:ascii="Arial" w:hAnsi="Arial"/>
                <w:sz w:val="20"/>
                <w:szCs w:val="20"/>
                <w:lang w:val="en-GB"/>
              </w:rPr>
              <w:t>1,966</w:t>
            </w:r>
          </w:p>
        </w:tc>
        <w:tc>
          <w:tcPr>
            <w:tcW w:w="927" w:type="dxa"/>
            <w:tcBorders>
              <w:bottom w:val="single" w:sz="4" w:space="0" w:color="000000"/>
              <w:right w:val="single" w:sz="4" w:space="0" w:color="000000"/>
            </w:tcBorders>
            <w:tcMar>
              <w:top w:w="0" w:type="dxa"/>
              <w:left w:w="0" w:type="dxa"/>
            </w:tcMar>
          </w:tcPr>
          <w:p>
            <w:pPr>
              <w:pStyle w:val="TableContents"/>
              <w:bidi w:val="0"/>
              <w:spacing w:before="0" w:after="283"/>
              <w:ind w:left="0" w:right="0" w:hanging="0"/>
              <w:jc w:val="right"/>
              <w:rPr>
                <w:sz w:val="20"/>
                <w:szCs w:val="20"/>
              </w:rPr>
            </w:pPr>
            <w:r>
              <w:rPr>
                <w:caps w:val="false"/>
                <w:smallCaps w:val="false"/>
                <w:sz w:val="20"/>
                <w:szCs w:val="20"/>
              </w:rPr>
              <w:t>    </w:t>
            </w:r>
            <w:r>
              <w:rPr>
                <w:rFonts w:ascii="Arial" w:hAnsi="Arial"/>
                <w:sz w:val="20"/>
                <w:szCs w:val="20"/>
                <w:lang w:val="en-GB"/>
              </w:rPr>
              <w:t>1,207</w:t>
            </w:r>
          </w:p>
        </w:tc>
        <w:tc>
          <w:tcPr>
            <w:tcW w:w="917" w:type="dxa"/>
            <w:tcBorders>
              <w:bottom w:val="single" w:sz="4" w:space="0" w:color="000000"/>
              <w:right w:val="single" w:sz="4" w:space="0" w:color="000000"/>
            </w:tcBorders>
            <w:tcMar>
              <w:top w:w="0" w:type="dxa"/>
              <w:left w:w="0" w:type="dxa"/>
            </w:tcMar>
          </w:tcPr>
          <w:p>
            <w:pPr>
              <w:pStyle w:val="TableContents"/>
              <w:bidi w:val="0"/>
              <w:spacing w:before="0" w:after="283"/>
              <w:ind w:left="0" w:right="0" w:hanging="0"/>
              <w:jc w:val="right"/>
              <w:rPr>
                <w:sz w:val="20"/>
                <w:szCs w:val="20"/>
              </w:rPr>
            </w:pPr>
            <w:r>
              <w:rPr>
                <w:caps w:val="false"/>
                <w:smallCaps w:val="false"/>
                <w:sz w:val="20"/>
                <w:szCs w:val="20"/>
              </w:rPr>
              <w:t>    </w:t>
            </w:r>
            <w:r>
              <w:rPr>
                <w:rFonts w:ascii="Arial" w:hAnsi="Arial"/>
                <w:sz w:val="20"/>
                <w:szCs w:val="20"/>
                <w:lang w:val="en-GB"/>
              </w:rPr>
              <w:t>1,965</w:t>
            </w:r>
          </w:p>
        </w:tc>
        <w:tc>
          <w:tcPr>
            <w:tcW w:w="1516" w:type="dxa"/>
            <w:tcBorders>
              <w:bottom w:val="single" w:sz="4" w:space="0" w:color="000000"/>
              <w:right w:val="single" w:sz="4" w:space="0" w:color="000000"/>
            </w:tcBorders>
            <w:tcMar>
              <w:top w:w="0" w:type="dxa"/>
              <w:left w:w="0" w:type="dxa"/>
            </w:tcMar>
          </w:tcPr>
          <w:p>
            <w:pPr>
              <w:pStyle w:val="TableContents"/>
              <w:bidi w:val="0"/>
              <w:spacing w:before="0" w:after="283"/>
              <w:ind w:left="0" w:right="0" w:hanging="0"/>
              <w:jc w:val="right"/>
              <w:rPr>
                <w:sz w:val="20"/>
                <w:szCs w:val="20"/>
              </w:rPr>
            </w:pPr>
            <w:r>
              <w:rPr>
                <w:caps w:val="false"/>
                <w:smallCaps w:val="false"/>
                <w:sz w:val="20"/>
                <w:szCs w:val="20"/>
              </w:rPr>
              <w:t>    </w:t>
            </w:r>
            <w:r>
              <w:rPr>
                <w:rFonts w:ascii="Arial" w:hAnsi="Arial"/>
                <w:sz w:val="20"/>
                <w:szCs w:val="20"/>
                <w:lang w:val="en-GB"/>
              </w:rPr>
              <w:t>11,136</w:t>
            </w:r>
          </w:p>
        </w:tc>
      </w:tr>
      <w:tr>
        <w:trPr/>
        <w:tc>
          <w:tcPr>
            <w:tcW w:w="1800" w:type="dxa"/>
            <w:tcBorders>
              <w:left w:val="single" w:sz="4" w:space="0" w:color="000000"/>
              <w:bottom w:val="single" w:sz="4" w:space="0" w:color="000000"/>
              <w:right w:val="single" w:sz="4" w:space="0" w:color="000000"/>
            </w:tcBorders>
            <w:tcMar>
              <w:top w:w="0" w:type="dxa"/>
            </w:tcMar>
          </w:tcPr>
          <w:p>
            <w:pPr>
              <w:pStyle w:val="TableContents"/>
              <w:bidi w:val="0"/>
              <w:spacing w:before="0" w:after="283"/>
              <w:ind w:left="0" w:right="0" w:hanging="0"/>
              <w:jc w:val="left"/>
              <w:rPr>
                <w:sz w:val="20"/>
                <w:szCs w:val="20"/>
              </w:rPr>
            </w:pPr>
            <w:r>
              <w:rPr>
                <w:caps w:val="false"/>
                <w:smallCaps w:val="false"/>
                <w:sz w:val="20"/>
                <w:szCs w:val="20"/>
              </w:rPr>
              <w:t>    </w:t>
            </w:r>
            <w:r>
              <w:rPr>
                <w:rFonts w:ascii="Arial" w:hAnsi="Arial"/>
                <w:sz w:val="20"/>
                <w:szCs w:val="20"/>
                <w:lang w:val="en-GB"/>
              </w:rPr>
              <w:t>Total</w:t>
            </w:r>
          </w:p>
        </w:tc>
        <w:tc>
          <w:tcPr>
            <w:tcW w:w="1189" w:type="dxa"/>
            <w:tcBorders>
              <w:bottom w:val="single" w:sz="4" w:space="0" w:color="000000"/>
              <w:right w:val="single" w:sz="4" w:space="0" w:color="000000"/>
            </w:tcBorders>
            <w:tcMar>
              <w:top w:w="0" w:type="dxa"/>
              <w:left w:w="0" w:type="dxa"/>
            </w:tcMar>
          </w:tcPr>
          <w:p>
            <w:pPr>
              <w:pStyle w:val="TableContents"/>
              <w:bidi w:val="0"/>
              <w:spacing w:before="0" w:after="283"/>
              <w:ind w:left="0" w:right="0" w:hanging="0"/>
              <w:jc w:val="right"/>
              <w:rPr>
                <w:sz w:val="20"/>
                <w:szCs w:val="20"/>
              </w:rPr>
            </w:pPr>
            <w:r>
              <w:rPr>
                <w:caps w:val="false"/>
                <w:smallCaps w:val="false"/>
                <w:sz w:val="20"/>
                <w:szCs w:val="20"/>
              </w:rPr>
              <w:t>    </w:t>
            </w:r>
            <w:r>
              <w:rPr>
                <w:rFonts w:ascii="Arial" w:hAnsi="Arial"/>
                <w:sz w:val="20"/>
                <w:szCs w:val="20"/>
                <w:lang w:val="en-GB"/>
              </w:rPr>
              <w:t>134,408</w:t>
            </w:r>
          </w:p>
        </w:tc>
        <w:tc>
          <w:tcPr>
            <w:tcW w:w="1047" w:type="dxa"/>
            <w:tcBorders>
              <w:bottom w:val="single" w:sz="4" w:space="0" w:color="000000"/>
              <w:right w:val="single" w:sz="4" w:space="0" w:color="000000"/>
            </w:tcBorders>
            <w:tcMar>
              <w:top w:w="0" w:type="dxa"/>
              <w:left w:w="0" w:type="dxa"/>
            </w:tcMar>
          </w:tcPr>
          <w:p>
            <w:pPr>
              <w:pStyle w:val="TableContents"/>
              <w:bidi w:val="0"/>
              <w:spacing w:before="0" w:after="283"/>
              <w:ind w:left="0" w:right="0" w:hanging="0"/>
              <w:jc w:val="right"/>
              <w:rPr>
                <w:sz w:val="20"/>
                <w:szCs w:val="20"/>
              </w:rPr>
            </w:pPr>
            <w:r>
              <w:rPr>
                <w:caps w:val="false"/>
                <w:smallCaps w:val="false"/>
                <w:sz w:val="20"/>
                <w:szCs w:val="20"/>
              </w:rPr>
              <w:t>    </w:t>
            </w:r>
            <w:r>
              <w:rPr>
                <w:rFonts w:ascii="Arial" w:hAnsi="Arial"/>
                <w:sz w:val="20"/>
                <w:szCs w:val="20"/>
                <w:lang w:val="en-GB"/>
              </w:rPr>
              <w:t>12,403</w:t>
            </w:r>
          </w:p>
        </w:tc>
        <w:tc>
          <w:tcPr>
            <w:tcW w:w="917" w:type="dxa"/>
            <w:tcBorders>
              <w:bottom w:val="single" w:sz="4" w:space="0" w:color="000000"/>
              <w:right w:val="single" w:sz="4" w:space="0" w:color="000000"/>
            </w:tcBorders>
            <w:tcMar>
              <w:top w:w="0" w:type="dxa"/>
              <w:left w:w="0" w:type="dxa"/>
            </w:tcMar>
          </w:tcPr>
          <w:p>
            <w:pPr>
              <w:pStyle w:val="TableContents"/>
              <w:bidi w:val="0"/>
              <w:spacing w:before="0" w:after="283"/>
              <w:ind w:left="0" w:right="0" w:hanging="0"/>
              <w:jc w:val="right"/>
              <w:rPr>
                <w:sz w:val="20"/>
                <w:szCs w:val="20"/>
              </w:rPr>
            </w:pPr>
            <w:r>
              <w:rPr>
                <w:caps w:val="false"/>
                <w:smallCaps w:val="false"/>
                <w:sz w:val="20"/>
                <w:szCs w:val="20"/>
              </w:rPr>
              <w:t>    </w:t>
            </w:r>
            <w:r>
              <w:rPr>
                <w:rFonts w:ascii="Arial" w:hAnsi="Arial"/>
                <w:sz w:val="20"/>
                <w:szCs w:val="20"/>
                <w:lang w:val="en-GB"/>
              </w:rPr>
              <w:t>6,672</w:t>
            </w:r>
          </w:p>
        </w:tc>
        <w:tc>
          <w:tcPr>
            <w:tcW w:w="916" w:type="dxa"/>
            <w:tcBorders>
              <w:bottom w:val="single" w:sz="4" w:space="0" w:color="000000"/>
              <w:right w:val="single" w:sz="4" w:space="0" w:color="000000"/>
            </w:tcBorders>
            <w:tcMar>
              <w:top w:w="0" w:type="dxa"/>
              <w:left w:w="0" w:type="dxa"/>
            </w:tcMar>
          </w:tcPr>
          <w:p>
            <w:pPr>
              <w:pStyle w:val="TableContents"/>
              <w:bidi w:val="0"/>
              <w:spacing w:before="0" w:after="283"/>
              <w:ind w:left="0" w:right="0" w:hanging="0"/>
              <w:jc w:val="right"/>
              <w:rPr>
                <w:sz w:val="20"/>
                <w:szCs w:val="20"/>
              </w:rPr>
            </w:pPr>
            <w:r>
              <w:rPr>
                <w:caps w:val="false"/>
                <w:smallCaps w:val="false"/>
                <w:sz w:val="20"/>
                <w:szCs w:val="20"/>
              </w:rPr>
              <w:t>    </w:t>
            </w:r>
            <w:r>
              <w:rPr>
                <w:rFonts w:ascii="Arial" w:hAnsi="Arial"/>
                <w:sz w:val="20"/>
                <w:szCs w:val="20"/>
                <w:lang w:val="en-GB"/>
              </w:rPr>
              <w:t>4,275</w:t>
            </w:r>
          </w:p>
        </w:tc>
        <w:tc>
          <w:tcPr>
            <w:tcW w:w="927" w:type="dxa"/>
            <w:tcBorders>
              <w:bottom w:val="single" w:sz="4" w:space="0" w:color="000000"/>
              <w:right w:val="single" w:sz="4" w:space="0" w:color="000000"/>
            </w:tcBorders>
            <w:tcMar>
              <w:top w:w="0" w:type="dxa"/>
              <w:left w:w="0" w:type="dxa"/>
            </w:tcMar>
          </w:tcPr>
          <w:p>
            <w:pPr>
              <w:pStyle w:val="TableContents"/>
              <w:bidi w:val="0"/>
              <w:spacing w:before="0" w:after="283"/>
              <w:ind w:left="0" w:right="0" w:hanging="0"/>
              <w:jc w:val="right"/>
              <w:rPr>
                <w:sz w:val="20"/>
                <w:szCs w:val="20"/>
              </w:rPr>
            </w:pPr>
            <w:r>
              <w:rPr>
                <w:caps w:val="false"/>
                <w:smallCaps w:val="false"/>
                <w:sz w:val="20"/>
                <w:szCs w:val="20"/>
              </w:rPr>
              <w:t>    </w:t>
            </w:r>
            <w:r>
              <w:rPr>
                <w:rFonts w:ascii="Arial" w:hAnsi="Arial"/>
                <w:sz w:val="20"/>
                <w:szCs w:val="20"/>
                <w:lang w:val="en-GB"/>
              </w:rPr>
              <w:t>1,920</w:t>
            </w:r>
          </w:p>
        </w:tc>
        <w:tc>
          <w:tcPr>
            <w:tcW w:w="917" w:type="dxa"/>
            <w:tcBorders>
              <w:bottom w:val="single" w:sz="4" w:space="0" w:color="000000"/>
              <w:right w:val="single" w:sz="4" w:space="0" w:color="000000"/>
            </w:tcBorders>
            <w:tcMar>
              <w:top w:w="0" w:type="dxa"/>
              <w:left w:w="0" w:type="dxa"/>
            </w:tcMar>
          </w:tcPr>
          <w:p>
            <w:pPr>
              <w:pStyle w:val="TableContents"/>
              <w:bidi w:val="0"/>
              <w:spacing w:before="0" w:after="283"/>
              <w:ind w:left="0" w:right="0" w:hanging="0"/>
              <w:jc w:val="right"/>
              <w:rPr>
                <w:sz w:val="20"/>
                <w:szCs w:val="20"/>
              </w:rPr>
            </w:pPr>
            <w:r>
              <w:rPr>
                <w:caps w:val="false"/>
                <w:smallCaps w:val="false"/>
                <w:sz w:val="20"/>
                <w:szCs w:val="20"/>
              </w:rPr>
              <w:t>    </w:t>
            </w:r>
            <w:r>
              <w:rPr>
                <w:rFonts w:ascii="Arial" w:hAnsi="Arial"/>
                <w:sz w:val="20"/>
                <w:szCs w:val="20"/>
                <w:lang w:val="en-GB"/>
              </w:rPr>
              <w:t>2,479</w:t>
            </w:r>
          </w:p>
        </w:tc>
        <w:tc>
          <w:tcPr>
            <w:tcW w:w="1516" w:type="dxa"/>
            <w:tcBorders>
              <w:bottom w:val="single" w:sz="4" w:space="0" w:color="000000"/>
              <w:right w:val="single" w:sz="4" w:space="0" w:color="000000"/>
            </w:tcBorders>
            <w:tcMar>
              <w:top w:w="0" w:type="dxa"/>
              <w:left w:w="0" w:type="dxa"/>
            </w:tcMar>
          </w:tcPr>
          <w:p>
            <w:pPr>
              <w:pStyle w:val="TableContents"/>
              <w:bidi w:val="0"/>
              <w:spacing w:before="0" w:after="283"/>
              <w:ind w:left="0" w:right="0" w:hanging="0"/>
              <w:jc w:val="right"/>
              <w:rPr>
                <w:sz w:val="20"/>
                <w:szCs w:val="20"/>
              </w:rPr>
            </w:pPr>
            <w:r>
              <w:rPr>
                <w:caps w:val="false"/>
                <w:smallCaps w:val="false"/>
                <w:sz w:val="20"/>
                <w:szCs w:val="20"/>
              </w:rPr>
              <w:t>    </w:t>
            </w:r>
            <w:r>
              <w:rPr>
                <w:rFonts w:ascii="Arial" w:hAnsi="Arial"/>
                <w:sz w:val="20"/>
                <w:szCs w:val="20"/>
                <w:lang w:val="en-GB"/>
              </w:rPr>
              <w:t>162,175</w:t>
            </w:r>
          </w:p>
        </w:tc>
      </w:tr>
    </w:tbl>
    <w:p>
      <w:pPr>
        <w:pStyle w:val="TextBody"/>
        <w:widowControl/>
        <w:bidi w:val="0"/>
        <w:ind w:left="0" w:right="0" w:hanging="0"/>
        <w:jc w:val="center"/>
        <w:rPr>
          <w:rFonts w:ascii="Arial" w:hAnsi="Arial"/>
          <w:b w:val="false"/>
          <w:i/>
          <w:caps w:val="false"/>
          <w:smallCaps w:val="false"/>
          <w:color w:val="434343"/>
          <w:spacing w:val="0"/>
          <w:sz w:val="21"/>
          <w:szCs w:val="21"/>
          <w:lang w:val="en-GB"/>
        </w:rPr>
      </w:pPr>
      <w:r>
        <w:rPr>
          <w:rFonts w:ascii="Arial" w:hAnsi="Arial"/>
          <w:b w:val="false"/>
          <w:i/>
          <w:caps w:val="false"/>
          <w:smallCaps w:val="false"/>
          <w:color w:val="434343"/>
          <w:spacing w:val="0"/>
          <w:sz w:val="21"/>
          <w:szCs w:val="21"/>
          <w:lang w:val="en-GB"/>
        </w:rPr>
      </w:r>
    </w:p>
    <w:p>
      <w:pPr>
        <w:pStyle w:val="TextBody"/>
        <w:widowControl/>
        <w:bidi w:val="0"/>
        <w:ind w:left="0" w:right="0" w:hanging="0"/>
        <w:jc w:val="center"/>
        <w:rPr>
          <w:sz w:val="21"/>
          <w:szCs w:val="21"/>
        </w:rPr>
      </w:pPr>
      <w:r>
        <w:rPr>
          <w:rFonts w:ascii="Liberation Serif" w:hAnsi="Liberation Serif"/>
          <w:b w:val="false"/>
          <w:i/>
          <w:caps w:val="false"/>
          <w:smallCaps w:val="false"/>
          <w:color w:val="auto"/>
          <w:spacing w:val="0"/>
          <w:sz w:val="21"/>
          <w:szCs w:val="21"/>
          <w:lang w:val="en-GB"/>
        </w:rPr>
        <w:t>Table 5: The percentage of the total number of tokens by recurrence rate by frequency band level</w:t>
      </w:r>
    </w:p>
    <w:tbl>
      <w:tblPr>
        <w:tblW w:w="9218" w:type="dxa"/>
        <w:jc w:val="center"/>
        <w:tblInd w:w="0" w:type="dxa"/>
        <w:tblLayout w:type="fixed"/>
        <w:tblCellMar>
          <w:top w:w="28" w:type="dxa"/>
          <w:left w:w="108" w:type="dxa"/>
          <w:bottom w:w="28" w:type="dxa"/>
          <w:right w:w="108" w:type="dxa"/>
        </w:tblCellMar>
      </w:tblPr>
      <w:tblGrid>
        <w:gridCol w:w="1527"/>
        <w:gridCol w:w="1189"/>
        <w:gridCol w:w="1080"/>
        <w:gridCol w:w="1026"/>
        <w:gridCol w:w="1069"/>
        <w:gridCol w:w="1080"/>
        <w:gridCol w:w="1025"/>
        <w:gridCol w:w="1222"/>
      </w:tblGrid>
      <w:tr>
        <w:trPr/>
        <w:tc>
          <w:tcPr>
            <w:tcW w:w="1527" w:type="dxa"/>
            <w:tcBorders>
              <w:top w:val="single" w:sz="8" w:space="0" w:color="000000"/>
              <w:left w:val="single" w:sz="8" w:space="0" w:color="000000"/>
              <w:bottom w:val="single" w:sz="8" w:space="0" w:color="000000"/>
              <w:right w:val="single" w:sz="8" w:space="0" w:color="000000"/>
            </w:tcBorders>
          </w:tcPr>
          <w:p>
            <w:pPr>
              <w:pStyle w:val="TableContents"/>
              <w:bidi w:val="0"/>
              <w:spacing w:before="0" w:after="283"/>
              <w:ind w:left="0" w:right="0" w:hanging="0"/>
              <w:jc w:val="center"/>
              <w:rPr>
                <w:sz w:val="21"/>
                <w:szCs w:val="21"/>
              </w:rPr>
            </w:pPr>
            <w:r>
              <w:rPr>
                <w:caps w:val="false"/>
                <w:smallCaps w:val="false"/>
                <w:sz w:val="21"/>
                <w:szCs w:val="21"/>
              </w:rPr>
              <w:t>    </w:t>
            </w:r>
            <w:r>
              <w:rPr>
                <w:sz w:val="21"/>
                <w:szCs w:val="21"/>
              </w:rPr>
              <w:t> </w:t>
            </w:r>
          </w:p>
        </w:tc>
        <w:tc>
          <w:tcPr>
            <w:tcW w:w="1189" w:type="dxa"/>
            <w:tcBorders>
              <w:top w:val="single" w:sz="8" w:space="0" w:color="000000"/>
              <w:bottom w:val="single" w:sz="8" w:space="0" w:color="000000"/>
              <w:right w:val="single" w:sz="8" w:space="0" w:color="000000"/>
            </w:tcBorders>
            <w:tcMar>
              <w:left w:w="0" w:type="dxa"/>
            </w:tcMar>
          </w:tcPr>
          <w:p>
            <w:pPr>
              <w:pStyle w:val="TableContents"/>
              <w:bidi w:val="0"/>
              <w:spacing w:before="0" w:after="283"/>
              <w:ind w:left="0" w:right="0" w:hanging="0"/>
              <w:jc w:val="center"/>
              <w:rPr>
                <w:sz w:val="21"/>
                <w:szCs w:val="21"/>
              </w:rPr>
            </w:pPr>
            <w:r>
              <w:rPr>
                <w:caps w:val="false"/>
                <w:smallCaps w:val="false"/>
                <w:sz w:val="21"/>
                <w:szCs w:val="21"/>
              </w:rPr>
              <w:t>    </w:t>
            </w:r>
            <w:r>
              <w:rPr>
                <w:rFonts w:ascii="Arial" w:hAnsi="Arial"/>
                <w:b/>
                <w:sz w:val="21"/>
                <w:szCs w:val="21"/>
                <w:lang w:val="en-GB"/>
              </w:rPr>
              <w:t>51+</w:t>
            </w:r>
          </w:p>
        </w:tc>
        <w:tc>
          <w:tcPr>
            <w:tcW w:w="1080" w:type="dxa"/>
            <w:tcBorders>
              <w:top w:val="single" w:sz="8" w:space="0" w:color="000000"/>
              <w:bottom w:val="single" w:sz="8" w:space="0" w:color="000000"/>
              <w:right w:val="single" w:sz="8" w:space="0" w:color="000000"/>
            </w:tcBorders>
            <w:tcMar>
              <w:left w:w="0" w:type="dxa"/>
            </w:tcMar>
          </w:tcPr>
          <w:p>
            <w:pPr>
              <w:pStyle w:val="TableContents"/>
              <w:bidi w:val="0"/>
              <w:spacing w:before="0" w:after="283"/>
              <w:ind w:left="0" w:right="0" w:hanging="0"/>
              <w:jc w:val="center"/>
              <w:rPr>
                <w:sz w:val="21"/>
                <w:szCs w:val="21"/>
              </w:rPr>
            </w:pPr>
            <w:r>
              <w:rPr>
                <w:caps w:val="false"/>
                <w:smallCaps w:val="false"/>
                <w:sz w:val="21"/>
                <w:szCs w:val="21"/>
              </w:rPr>
              <w:t>    </w:t>
            </w:r>
            <w:r>
              <w:rPr>
                <w:rFonts w:ascii="Arial" w:hAnsi="Arial"/>
                <w:b/>
                <w:sz w:val="21"/>
                <w:szCs w:val="21"/>
                <w:lang w:val="en-GB"/>
              </w:rPr>
              <w:t>21-50</w:t>
            </w:r>
          </w:p>
        </w:tc>
        <w:tc>
          <w:tcPr>
            <w:tcW w:w="1026" w:type="dxa"/>
            <w:tcBorders>
              <w:top w:val="single" w:sz="8" w:space="0" w:color="000000"/>
              <w:bottom w:val="single" w:sz="8" w:space="0" w:color="000000"/>
              <w:right w:val="single" w:sz="8" w:space="0" w:color="000000"/>
            </w:tcBorders>
            <w:tcMar>
              <w:left w:w="0" w:type="dxa"/>
            </w:tcMar>
          </w:tcPr>
          <w:p>
            <w:pPr>
              <w:pStyle w:val="TableContents"/>
              <w:bidi w:val="0"/>
              <w:spacing w:before="0" w:after="283"/>
              <w:ind w:left="0" w:right="0" w:hanging="0"/>
              <w:jc w:val="center"/>
              <w:rPr>
                <w:sz w:val="21"/>
                <w:szCs w:val="21"/>
              </w:rPr>
            </w:pPr>
            <w:r>
              <w:rPr>
                <w:caps w:val="false"/>
                <w:smallCaps w:val="false"/>
                <w:sz w:val="21"/>
                <w:szCs w:val="21"/>
              </w:rPr>
              <w:t>    </w:t>
            </w:r>
            <w:r>
              <w:rPr>
                <w:rFonts w:ascii="Arial" w:hAnsi="Arial"/>
                <w:b/>
                <w:sz w:val="21"/>
                <w:szCs w:val="21"/>
                <w:lang w:val="en-GB"/>
              </w:rPr>
              <w:t>20-10</w:t>
            </w:r>
          </w:p>
        </w:tc>
        <w:tc>
          <w:tcPr>
            <w:tcW w:w="1069" w:type="dxa"/>
            <w:tcBorders>
              <w:top w:val="single" w:sz="8" w:space="0" w:color="000000"/>
              <w:bottom w:val="single" w:sz="8" w:space="0" w:color="000000"/>
              <w:right w:val="single" w:sz="8" w:space="0" w:color="000000"/>
            </w:tcBorders>
            <w:tcMar>
              <w:left w:w="0" w:type="dxa"/>
            </w:tcMar>
          </w:tcPr>
          <w:p>
            <w:pPr>
              <w:pStyle w:val="TableContents"/>
              <w:bidi w:val="0"/>
              <w:spacing w:before="0" w:after="283"/>
              <w:ind w:left="0" w:right="0" w:hanging="0"/>
              <w:jc w:val="center"/>
              <w:rPr>
                <w:sz w:val="21"/>
                <w:szCs w:val="21"/>
              </w:rPr>
            </w:pPr>
            <w:r>
              <w:rPr>
                <w:caps w:val="false"/>
                <w:smallCaps w:val="false"/>
                <w:sz w:val="21"/>
                <w:szCs w:val="21"/>
              </w:rPr>
              <w:t>    </w:t>
            </w:r>
            <w:r>
              <w:rPr>
                <w:rFonts w:ascii="Arial" w:hAnsi="Arial"/>
                <w:b/>
                <w:sz w:val="21"/>
                <w:szCs w:val="21"/>
                <w:lang w:val="en-GB"/>
              </w:rPr>
              <w:t>9-5</w:t>
            </w:r>
          </w:p>
        </w:tc>
        <w:tc>
          <w:tcPr>
            <w:tcW w:w="1080" w:type="dxa"/>
            <w:tcBorders>
              <w:top w:val="single" w:sz="8" w:space="0" w:color="000000"/>
              <w:bottom w:val="single" w:sz="8" w:space="0" w:color="000000"/>
              <w:right w:val="single" w:sz="8" w:space="0" w:color="000000"/>
            </w:tcBorders>
            <w:tcMar>
              <w:left w:w="0" w:type="dxa"/>
            </w:tcMar>
          </w:tcPr>
          <w:p>
            <w:pPr>
              <w:pStyle w:val="TableContents"/>
              <w:bidi w:val="0"/>
              <w:spacing w:before="0" w:after="283"/>
              <w:ind w:left="0" w:right="0" w:hanging="0"/>
              <w:jc w:val="center"/>
              <w:rPr>
                <w:sz w:val="21"/>
                <w:szCs w:val="21"/>
              </w:rPr>
            </w:pPr>
            <w:r>
              <w:rPr>
                <w:caps w:val="false"/>
                <w:smallCaps w:val="false"/>
                <w:sz w:val="21"/>
                <w:szCs w:val="21"/>
              </w:rPr>
              <w:t>    </w:t>
            </w:r>
            <w:r>
              <w:rPr>
                <w:rFonts w:ascii="Arial" w:hAnsi="Arial"/>
                <w:b/>
                <w:sz w:val="21"/>
                <w:szCs w:val="21"/>
                <w:lang w:val="en-GB"/>
              </w:rPr>
              <w:t>4-3</w:t>
            </w:r>
          </w:p>
        </w:tc>
        <w:tc>
          <w:tcPr>
            <w:tcW w:w="1025" w:type="dxa"/>
            <w:tcBorders>
              <w:top w:val="single" w:sz="8" w:space="0" w:color="000000"/>
              <w:bottom w:val="single" w:sz="8" w:space="0" w:color="000000"/>
              <w:right w:val="single" w:sz="8" w:space="0" w:color="000000"/>
            </w:tcBorders>
            <w:tcMar>
              <w:left w:w="0" w:type="dxa"/>
            </w:tcMar>
          </w:tcPr>
          <w:p>
            <w:pPr>
              <w:pStyle w:val="TableContents"/>
              <w:bidi w:val="0"/>
              <w:spacing w:before="0" w:after="283"/>
              <w:ind w:left="0" w:right="0" w:hanging="0"/>
              <w:jc w:val="center"/>
              <w:rPr>
                <w:sz w:val="21"/>
                <w:szCs w:val="21"/>
              </w:rPr>
            </w:pPr>
            <w:r>
              <w:rPr>
                <w:caps w:val="false"/>
                <w:smallCaps w:val="false"/>
                <w:sz w:val="21"/>
                <w:szCs w:val="21"/>
              </w:rPr>
              <w:t>    </w:t>
            </w:r>
            <w:r>
              <w:rPr>
                <w:rFonts w:ascii="Arial" w:hAnsi="Arial"/>
                <w:b/>
                <w:sz w:val="21"/>
                <w:szCs w:val="21"/>
                <w:lang w:val="en-GB"/>
              </w:rPr>
              <w:t>2-1</w:t>
            </w:r>
          </w:p>
        </w:tc>
        <w:tc>
          <w:tcPr>
            <w:tcW w:w="1222" w:type="dxa"/>
            <w:tcBorders>
              <w:top w:val="single" w:sz="8" w:space="0" w:color="000000"/>
              <w:bottom w:val="single" w:sz="8" w:space="0" w:color="000000"/>
              <w:right w:val="single" w:sz="8" w:space="0" w:color="000000"/>
            </w:tcBorders>
            <w:tcMar>
              <w:left w:w="0" w:type="dxa"/>
            </w:tcMar>
          </w:tcPr>
          <w:p>
            <w:pPr>
              <w:pStyle w:val="TableContents"/>
              <w:bidi w:val="0"/>
              <w:spacing w:before="0" w:after="283"/>
              <w:ind w:left="0" w:right="0" w:hanging="0"/>
              <w:jc w:val="center"/>
              <w:rPr>
                <w:sz w:val="21"/>
                <w:szCs w:val="21"/>
              </w:rPr>
            </w:pPr>
            <w:r>
              <w:rPr>
                <w:caps w:val="false"/>
                <w:smallCaps w:val="false"/>
                <w:sz w:val="21"/>
                <w:szCs w:val="21"/>
              </w:rPr>
              <w:t>    </w:t>
            </w:r>
            <w:r>
              <w:rPr>
                <w:rFonts w:ascii="Arial" w:hAnsi="Arial"/>
                <w:b/>
                <w:sz w:val="21"/>
                <w:szCs w:val="21"/>
                <w:lang w:val="en-GB"/>
              </w:rPr>
              <w:t>Total</w:t>
            </w:r>
          </w:p>
        </w:tc>
      </w:tr>
      <w:tr>
        <w:trPr/>
        <w:tc>
          <w:tcPr>
            <w:tcW w:w="1527" w:type="dxa"/>
            <w:tcBorders>
              <w:bottom w:val="single" w:sz="8" w:space="0" w:color="000000"/>
              <w:right w:val="single" w:sz="8" w:space="0" w:color="000000"/>
            </w:tcBorders>
            <w:tcMar>
              <w:top w:w="0" w:type="dxa"/>
              <w:left w:w="0" w:type="dxa"/>
            </w:tcMar>
          </w:tcPr>
          <w:p>
            <w:pPr>
              <w:pStyle w:val="TableContents"/>
              <w:bidi w:val="0"/>
              <w:spacing w:before="0" w:after="283"/>
              <w:ind w:left="0" w:right="0" w:hanging="0"/>
              <w:jc w:val="left"/>
              <w:rPr>
                <w:sz w:val="21"/>
                <w:szCs w:val="21"/>
              </w:rPr>
            </w:pPr>
            <w:r>
              <w:rPr>
                <w:caps w:val="false"/>
                <w:smallCaps w:val="false"/>
                <w:sz w:val="21"/>
                <w:szCs w:val="21"/>
              </w:rPr>
              <w:t>    </w:t>
            </w:r>
            <w:r>
              <w:rPr>
                <w:rFonts w:ascii="Arial" w:hAnsi="Arial"/>
                <w:sz w:val="21"/>
                <w:szCs w:val="21"/>
                <w:lang w:val="en-GB"/>
              </w:rPr>
              <w:t>1-1000</w:t>
            </w:r>
          </w:p>
        </w:tc>
        <w:tc>
          <w:tcPr>
            <w:tcW w:w="1189" w:type="dxa"/>
            <w:tcBorders>
              <w:bottom w:val="single" w:sz="8" w:space="0" w:color="000000"/>
              <w:right w:val="single" w:sz="8" w:space="0" w:color="000000"/>
            </w:tcBorders>
            <w:tcMar>
              <w:top w:w="0" w:type="dxa"/>
              <w:left w:w="0" w:type="dxa"/>
            </w:tcMar>
          </w:tcPr>
          <w:p>
            <w:pPr>
              <w:pStyle w:val="TableContents"/>
              <w:bidi w:val="0"/>
              <w:spacing w:before="0" w:after="283"/>
              <w:ind w:left="0" w:right="0" w:hanging="0"/>
              <w:jc w:val="right"/>
              <w:rPr>
                <w:rFonts w:ascii="Arial" w:hAnsi="Arial"/>
                <w:sz w:val="21"/>
                <w:szCs w:val="21"/>
                <w:lang w:val="en-GB"/>
              </w:rPr>
            </w:pPr>
            <w:r>
              <w:rPr>
                <w:rFonts w:ascii="Arial" w:hAnsi="Arial"/>
                <w:sz w:val="21"/>
                <w:szCs w:val="21"/>
                <w:lang w:val="en-GB"/>
              </w:rPr>
              <w:t>79.21%</w:t>
            </w:r>
          </w:p>
        </w:tc>
        <w:tc>
          <w:tcPr>
            <w:tcW w:w="1080" w:type="dxa"/>
            <w:tcBorders>
              <w:bottom w:val="single" w:sz="8" w:space="0" w:color="000000"/>
              <w:right w:val="single" w:sz="8" w:space="0" w:color="000000"/>
            </w:tcBorders>
            <w:tcMar>
              <w:top w:w="0" w:type="dxa"/>
              <w:left w:w="0" w:type="dxa"/>
            </w:tcMar>
          </w:tcPr>
          <w:p>
            <w:pPr>
              <w:pStyle w:val="TableContents"/>
              <w:bidi w:val="0"/>
              <w:spacing w:before="0" w:after="283"/>
              <w:ind w:left="0" w:right="0" w:hanging="0"/>
              <w:jc w:val="right"/>
              <w:rPr>
                <w:sz w:val="21"/>
                <w:szCs w:val="21"/>
              </w:rPr>
            </w:pPr>
            <w:r>
              <w:rPr>
                <w:caps w:val="false"/>
                <w:smallCaps w:val="false"/>
                <w:sz w:val="21"/>
                <w:szCs w:val="21"/>
              </w:rPr>
              <w:t>    </w:t>
            </w:r>
            <w:r>
              <w:rPr>
                <w:rFonts w:ascii="Arial" w:hAnsi="Arial"/>
                <w:sz w:val="21"/>
                <w:szCs w:val="21"/>
                <w:lang w:val="en-GB"/>
              </w:rPr>
              <w:t>4.49%</w:t>
            </w:r>
          </w:p>
        </w:tc>
        <w:tc>
          <w:tcPr>
            <w:tcW w:w="1026" w:type="dxa"/>
            <w:tcBorders>
              <w:bottom w:val="single" w:sz="8" w:space="0" w:color="000000"/>
              <w:right w:val="single" w:sz="8" w:space="0" w:color="000000"/>
            </w:tcBorders>
            <w:tcMar>
              <w:top w:w="0" w:type="dxa"/>
              <w:left w:w="0" w:type="dxa"/>
            </w:tcMar>
          </w:tcPr>
          <w:p>
            <w:pPr>
              <w:pStyle w:val="TableContents"/>
              <w:bidi w:val="0"/>
              <w:spacing w:before="0" w:after="283"/>
              <w:ind w:left="0" w:right="0" w:hanging="0"/>
              <w:jc w:val="right"/>
              <w:rPr>
                <w:sz w:val="21"/>
                <w:szCs w:val="21"/>
              </w:rPr>
            </w:pPr>
            <w:r>
              <w:rPr>
                <w:caps w:val="false"/>
                <w:smallCaps w:val="false"/>
                <w:sz w:val="21"/>
                <w:szCs w:val="21"/>
              </w:rPr>
              <w:t>    </w:t>
            </w:r>
            <w:r>
              <w:rPr>
                <w:rFonts w:ascii="Arial" w:hAnsi="Arial"/>
                <w:sz w:val="21"/>
                <w:szCs w:val="21"/>
                <w:lang w:val="en-GB"/>
              </w:rPr>
              <w:t>1.28%</w:t>
            </w:r>
          </w:p>
        </w:tc>
        <w:tc>
          <w:tcPr>
            <w:tcW w:w="1069" w:type="dxa"/>
            <w:tcBorders>
              <w:bottom w:val="single" w:sz="8" w:space="0" w:color="000000"/>
              <w:right w:val="single" w:sz="8" w:space="0" w:color="000000"/>
            </w:tcBorders>
            <w:tcMar>
              <w:top w:w="0" w:type="dxa"/>
              <w:left w:w="0" w:type="dxa"/>
            </w:tcMar>
          </w:tcPr>
          <w:p>
            <w:pPr>
              <w:pStyle w:val="TableContents"/>
              <w:bidi w:val="0"/>
              <w:spacing w:before="0" w:after="283"/>
              <w:ind w:left="0" w:right="0" w:hanging="0"/>
              <w:jc w:val="right"/>
              <w:rPr>
                <w:sz w:val="21"/>
                <w:szCs w:val="21"/>
              </w:rPr>
            </w:pPr>
            <w:r>
              <w:rPr>
                <w:caps w:val="false"/>
                <w:smallCaps w:val="false"/>
                <w:sz w:val="21"/>
                <w:szCs w:val="21"/>
              </w:rPr>
              <w:t>    </w:t>
            </w:r>
            <w:r>
              <w:rPr>
                <w:rFonts w:ascii="Arial" w:hAnsi="Arial"/>
                <w:sz w:val="21"/>
                <w:szCs w:val="21"/>
                <w:lang w:val="en-GB"/>
              </w:rPr>
              <w:t>0.47%</w:t>
            </w:r>
          </w:p>
        </w:tc>
        <w:tc>
          <w:tcPr>
            <w:tcW w:w="1080" w:type="dxa"/>
            <w:tcBorders>
              <w:bottom w:val="single" w:sz="8" w:space="0" w:color="000000"/>
              <w:right w:val="single" w:sz="8" w:space="0" w:color="000000"/>
            </w:tcBorders>
            <w:tcMar>
              <w:top w:w="0" w:type="dxa"/>
              <w:left w:w="0" w:type="dxa"/>
            </w:tcMar>
          </w:tcPr>
          <w:p>
            <w:pPr>
              <w:pStyle w:val="TableContents"/>
              <w:bidi w:val="0"/>
              <w:spacing w:before="0" w:after="283"/>
              <w:ind w:left="0" w:right="0" w:hanging="0"/>
              <w:jc w:val="right"/>
              <w:rPr>
                <w:rFonts w:ascii="Arial" w:hAnsi="Arial"/>
                <w:sz w:val="21"/>
                <w:szCs w:val="21"/>
                <w:lang w:val="en-GB"/>
              </w:rPr>
            </w:pPr>
            <w:r>
              <w:rPr>
                <w:rFonts w:ascii="Arial" w:hAnsi="Arial"/>
                <w:sz w:val="21"/>
                <w:szCs w:val="21"/>
                <w:lang w:val="en-GB"/>
              </w:rPr>
              <w:t>0.12%</w:t>
            </w:r>
          </w:p>
        </w:tc>
        <w:tc>
          <w:tcPr>
            <w:tcW w:w="1025" w:type="dxa"/>
            <w:tcBorders>
              <w:bottom w:val="single" w:sz="8" w:space="0" w:color="000000"/>
              <w:right w:val="single" w:sz="8" w:space="0" w:color="000000"/>
            </w:tcBorders>
            <w:tcMar>
              <w:top w:w="0" w:type="dxa"/>
              <w:left w:w="0" w:type="dxa"/>
            </w:tcMar>
          </w:tcPr>
          <w:p>
            <w:pPr>
              <w:pStyle w:val="TableContents"/>
              <w:bidi w:val="0"/>
              <w:spacing w:before="0" w:after="283"/>
              <w:ind w:left="0" w:right="0" w:hanging="0"/>
              <w:jc w:val="right"/>
              <w:rPr>
                <w:rFonts w:ascii="Arial" w:hAnsi="Arial"/>
                <w:sz w:val="21"/>
                <w:szCs w:val="21"/>
                <w:lang w:val="en-GB"/>
              </w:rPr>
            </w:pPr>
            <w:r>
              <w:rPr>
                <w:rFonts w:ascii="Arial" w:hAnsi="Arial"/>
                <w:sz w:val="21"/>
                <w:szCs w:val="21"/>
                <w:lang w:val="en-GB"/>
              </w:rPr>
              <w:t>0.06%</w:t>
            </w:r>
          </w:p>
        </w:tc>
        <w:tc>
          <w:tcPr>
            <w:tcW w:w="1222" w:type="dxa"/>
            <w:tcBorders>
              <w:bottom w:val="single" w:sz="8" w:space="0" w:color="000000"/>
              <w:right w:val="single" w:sz="8" w:space="0" w:color="000000"/>
            </w:tcBorders>
            <w:tcMar>
              <w:top w:w="0" w:type="dxa"/>
              <w:left w:w="0" w:type="dxa"/>
            </w:tcMar>
          </w:tcPr>
          <w:p>
            <w:pPr>
              <w:pStyle w:val="TableContents"/>
              <w:bidi w:val="0"/>
              <w:spacing w:before="0" w:after="283"/>
              <w:ind w:left="0" w:right="0" w:hanging="0"/>
              <w:jc w:val="right"/>
              <w:rPr>
                <w:rFonts w:ascii="Arial" w:hAnsi="Arial"/>
                <w:sz w:val="21"/>
                <w:szCs w:val="21"/>
                <w:lang w:val="en-GB"/>
              </w:rPr>
            </w:pPr>
            <w:r>
              <w:rPr>
                <w:rFonts w:ascii="Arial" w:hAnsi="Arial"/>
                <w:sz w:val="21"/>
                <w:szCs w:val="21"/>
                <w:lang w:val="en-GB"/>
              </w:rPr>
              <w:t>85.63%</w:t>
            </w:r>
          </w:p>
        </w:tc>
      </w:tr>
      <w:tr>
        <w:trPr/>
        <w:tc>
          <w:tcPr>
            <w:tcW w:w="1527" w:type="dxa"/>
            <w:tcBorders>
              <w:bottom w:val="single" w:sz="8" w:space="0" w:color="000000"/>
              <w:right w:val="single" w:sz="8" w:space="0" w:color="000000"/>
            </w:tcBorders>
            <w:tcMar>
              <w:top w:w="0" w:type="dxa"/>
              <w:left w:w="0" w:type="dxa"/>
            </w:tcMar>
          </w:tcPr>
          <w:p>
            <w:pPr>
              <w:pStyle w:val="TableContents"/>
              <w:bidi w:val="0"/>
              <w:spacing w:before="0" w:after="283"/>
              <w:ind w:left="0" w:right="0" w:hanging="0"/>
              <w:jc w:val="left"/>
              <w:rPr>
                <w:sz w:val="21"/>
                <w:szCs w:val="21"/>
              </w:rPr>
            </w:pPr>
            <w:r>
              <w:rPr>
                <w:caps w:val="false"/>
                <w:smallCaps w:val="false"/>
                <w:sz w:val="21"/>
                <w:szCs w:val="21"/>
              </w:rPr>
              <w:t>    </w:t>
            </w:r>
            <w:r>
              <w:rPr>
                <w:rFonts w:ascii="Arial" w:hAnsi="Arial"/>
                <w:sz w:val="21"/>
                <w:szCs w:val="21"/>
                <w:lang w:val="en-GB"/>
              </w:rPr>
              <w:t>1001-2000</w:t>
            </w:r>
          </w:p>
        </w:tc>
        <w:tc>
          <w:tcPr>
            <w:tcW w:w="1189" w:type="dxa"/>
            <w:tcBorders>
              <w:bottom w:val="single" w:sz="8" w:space="0" w:color="000000"/>
              <w:right w:val="single" w:sz="8" w:space="0" w:color="000000"/>
            </w:tcBorders>
            <w:tcMar>
              <w:top w:w="0" w:type="dxa"/>
              <w:left w:w="0" w:type="dxa"/>
            </w:tcMar>
          </w:tcPr>
          <w:p>
            <w:pPr>
              <w:pStyle w:val="TableContents"/>
              <w:bidi w:val="0"/>
              <w:spacing w:before="0" w:after="283"/>
              <w:ind w:left="0" w:right="0" w:hanging="0"/>
              <w:jc w:val="right"/>
              <w:rPr>
                <w:rFonts w:ascii="Arial" w:hAnsi="Arial"/>
                <w:sz w:val="21"/>
                <w:szCs w:val="21"/>
                <w:lang w:val="en-GB"/>
              </w:rPr>
            </w:pPr>
            <w:r>
              <w:rPr>
                <w:rFonts w:ascii="Arial" w:hAnsi="Arial"/>
                <w:sz w:val="21"/>
                <w:szCs w:val="21"/>
                <w:lang w:val="en-GB"/>
              </w:rPr>
              <w:t>1.91%</w:t>
            </w:r>
          </w:p>
        </w:tc>
        <w:tc>
          <w:tcPr>
            <w:tcW w:w="1080" w:type="dxa"/>
            <w:tcBorders>
              <w:bottom w:val="single" w:sz="8" w:space="0" w:color="000000"/>
              <w:right w:val="single" w:sz="8" w:space="0" w:color="000000"/>
            </w:tcBorders>
            <w:tcMar>
              <w:top w:w="0" w:type="dxa"/>
              <w:left w:w="0" w:type="dxa"/>
            </w:tcMar>
          </w:tcPr>
          <w:p>
            <w:pPr>
              <w:pStyle w:val="TableContents"/>
              <w:bidi w:val="0"/>
              <w:spacing w:before="0" w:after="283"/>
              <w:ind w:left="0" w:right="0" w:hanging="0"/>
              <w:jc w:val="right"/>
              <w:rPr>
                <w:sz w:val="21"/>
                <w:szCs w:val="21"/>
              </w:rPr>
            </w:pPr>
            <w:r>
              <w:rPr>
                <w:caps w:val="false"/>
                <w:smallCaps w:val="false"/>
                <w:sz w:val="21"/>
                <w:szCs w:val="21"/>
              </w:rPr>
              <w:t>   </w:t>
            </w:r>
            <w:r>
              <w:rPr>
                <w:rFonts w:ascii="Arial" w:hAnsi="Arial"/>
                <w:sz w:val="21"/>
                <w:szCs w:val="21"/>
                <w:lang w:val="en-GB"/>
              </w:rPr>
              <w:t>1.75%</w:t>
            </w:r>
          </w:p>
        </w:tc>
        <w:tc>
          <w:tcPr>
            <w:tcW w:w="1026" w:type="dxa"/>
            <w:tcBorders>
              <w:bottom w:val="single" w:sz="8" w:space="0" w:color="000000"/>
              <w:right w:val="single" w:sz="8" w:space="0" w:color="000000"/>
            </w:tcBorders>
            <w:tcMar>
              <w:top w:w="0" w:type="dxa"/>
              <w:left w:w="0" w:type="dxa"/>
            </w:tcMar>
          </w:tcPr>
          <w:p>
            <w:pPr>
              <w:pStyle w:val="TableContents"/>
              <w:bidi w:val="0"/>
              <w:spacing w:before="0" w:after="283"/>
              <w:ind w:left="0" w:right="0" w:hanging="0"/>
              <w:jc w:val="right"/>
              <w:rPr>
                <w:sz w:val="21"/>
                <w:szCs w:val="21"/>
              </w:rPr>
            </w:pPr>
            <w:r>
              <w:rPr>
                <w:caps w:val="false"/>
                <w:smallCaps w:val="false"/>
                <w:sz w:val="21"/>
                <w:szCs w:val="21"/>
              </w:rPr>
              <w:t>    </w:t>
            </w:r>
            <w:r>
              <w:rPr>
                <w:rFonts w:ascii="Arial" w:hAnsi="Arial"/>
                <w:sz w:val="21"/>
                <w:szCs w:val="21"/>
                <w:lang w:val="en-GB"/>
              </w:rPr>
              <w:t>1.03%</w:t>
            </w:r>
          </w:p>
        </w:tc>
        <w:tc>
          <w:tcPr>
            <w:tcW w:w="1069" w:type="dxa"/>
            <w:tcBorders>
              <w:bottom w:val="single" w:sz="8" w:space="0" w:color="000000"/>
              <w:right w:val="single" w:sz="8" w:space="0" w:color="000000"/>
            </w:tcBorders>
            <w:tcMar>
              <w:top w:w="0" w:type="dxa"/>
              <w:left w:w="0" w:type="dxa"/>
            </w:tcMar>
          </w:tcPr>
          <w:p>
            <w:pPr>
              <w:pStyle w:val="TableContents"/>
              <w:bidi w:val="0"/>
              <w:spacing w:before="0" w:after="283"/>
              <w:ind w:left="0" w:right="0" w:hanging="0"/>
              <w:jc w:val="right"/>
              <w:rPr>
                <w:sz w:val="21"/>
                <w:szCs w:val="21"/>
              </w:rPr>
            </w:pPr>
            <w:r>
              <w:rPr>
                <w:caps w:val="false"/>
                <w:smallCaps w:val="false"/>
                <w:sz w:val="21"/>
                <w:szCs w:val="21"/>
              </w:rPr>
              <w:t>    </w:t>
            </w:r>
            <w:r>
              <w:rPr>
                <w:rFonts w:ascii="Arial" w:hAnsi="Arial"/>
                <w:sz w:val="21"/>
                <w:szCs w:val="21"/>
                <w:lang w:val="en-GB"/>
              </w:rPr>
              <w:t>0.62%</w:t>
            </w:r>
          </w:p>
        </w:tc>
        <w:tc>
          <w:tcPr>
            <w:tcW w:w="1080" w:type="dxa"/>
            <w:tcBorders>
              <w:bottom w:val="single" w:sz="8" w:space="0" w:color="000000"/>
              <w:right w:val="single" w:sz="8" w:space="0" w:color="000000"/>
            </w:tcBorders>
            <w:tcMar>
              <w:top w:w="0" w:type="dxa"/>
              <w:left w:w="0" w:type="dxa"/>
            </w:tcMar>
          </w:tcPr>
          <w:p>
            <w:pPr>
              <w:pStyle w:val="TableContents"/>
              <w:bidi w:val="0"/>
              <w:spacing w:before="0" w:after="283"/>
              <w:ind w:left="0" w:right="0" w:hanging="0"/>
              <w:jc w:val="right"/>
              <w:rPr>
                <w:rFonts w:ascii="Arial" w:hAnsi="Arial"/>
                <w:sz w:val="21"/>
                <w:szCs w:val="21"/>
                <w:lang w:val="en-GB"/>
              </w:rPr>
            </w:pPr>
            <w:r>
              <w:rPr>
                <w:rFonts w:ascii="Arial" w:hAnsi="Arial"/>
                <w:sz w:val="21"/>
                <w:szCs w:val="21"/>
                <w:lang w:val="en-GB"/>
              </w:rPr>
              <w:t>0.19%</w:t>
            </w:r>
          </w:p>
        </w:tc>
        <w:tc>
          <w:tcPr>
            <w:tcW w:w="1025" w:type="dxa"/>
            <w:tcBorders>
              <w:bottom w:val="single" w:sz="8" w:space="0" w:color="000000"/>
              <w:right w:val="single" w:sz="8" w:space="0" w:color="000000"/>
            </w:tcBorders>
            <w:tcMar>
              <w:top w:w="0" w:type="dxa"/>
              <w:left w:w="0" w:type="dxa"/>
            </w:tcMar>
          </w:tcPr>
          <w:p>
            <w:pPr>
              <w:pStyle w:val="TableContents"/>
              <w:bidi w:val="0"/>
              <w:spacing w:before="0" w:after="283"/>
              <w:ind w:left="0" w:right="0" w:hanging="0"/>
              <w:jc w:val="right"/>
              <w:rPr>
                <w:rFonts w:ascii="Arial" w:hAnsi="Arial"/>
                <w:sz w:val="21"/>
                <w:szCs w:val="21"/>
                <w:lang w:val="en-GB"/>
              </w:rPr>
            </w:pPr>
            <w:r>
              <w:rPr>
                <w:rFonts w:ascii="Arial" w:hAnsi="Arial"/>
                <w:sz w:val="21"/>
                <w:szCs w:val="21"/>
                <w:lang w:val="en-GB"/>
              </w:rPr>
              <w:t>0.16%</w:t>
            </w:r>
          </w:p>
        </w:tc>
        <w:tc>
          <w:tcPr>
            <w:tcW w:w="1222" w:type="dxa"/>
            <w:tcBorders>
              <w:bottom w:val="single" w:sz="8" w:space="0" w:color="000000"/>
              <w:right w:val="single" w:sz="8" w:space="0" w:color="000000"/>
            </w:tcBorders>
            <w:tcMar>
              <w:top w:w="0" w:type="dxa"/>
              <w:left w:w="0" w:type="dxa"/>
            </w:tcMar>
          </w:tcPr>
          <w:p>
            <w:pPr>
              <w:pStyle w:val="TableContents"/>
              <w:bidi w:val="0"/>
              <w:spacing w:before="0" w:after="283"/>
              <w:ind w:left="0" w:right="0" w:hanging="0"/>
              <w:jc w:val="right"/>
              <w:rPr>
                <w:sz w:val="21"/>
                <w:szCs w:val="21"/>
              </w:rPr>
            </w:pPr>
            <w:r>
              <w:rPr>
                <w:caps w:val="false"/>
                <w:smallCaps w:val="false"/>
                <w:sz w:val="21"/>
                <w:szCs w:val="21"/>
              </w:rPr>
              <w:t>    </w:t>
            </w:r>
            <w:r>
              <w:rPr>
                <w:rFonts w:ascii="Arial" w:hAnsi="Arial"/>
                <w:sz w:val="21"/>
                <w:szCs w:val="21"/>
                <w:lang w:val="en-GB"/>
              </w:rPr>
              <w:t>5.67%</w:t>
            </w:r>
          </w:p>
        </w:tc>
      </w:tr>
      <w:tr>
        <w:trPr/>
        <w:tc>
          <w:tcPr>
            <w:tcW w:w="1527" w:type="dxa"/>
            <w:tcBorders>
              <w:bottom w:val="single" w:sz="8" w:space="0" w:color="000000"/>
              <w:right w:val="single" w:sz="8" w:space="0" w:color="000000"/>
            </w:tcBorders>
            <w:tcMar>
              <w:top w:w="0" w:type="dxa"/>
              <w:left w:w="0" w:type="dxa"/>
            </w:tcMar>
          </w:tcPr>
          <w:p>
            <w:pPr>
              <w:pStyle w:val="TableContents"/>
              <w:bidi w:val="0"/>
              <w:spacing w:before="0" w:after="283"/>
              <w:ind w:left="0" w:right="0" w:hanging="0"/>
              <w:jc w:val="left"/>
              <w:rPr>
                <w:sz w:val="21"/>
                <w:szCs w:val="21"/>
              </w:rPr>
            </w:pPr>
            <w:r>
              <w:rPr>
                <w:caps w:val="false"/>
                <w:smallCaps w:val="false"/>
                <w:sz w:val="21"/>
                <w:szCs w:val="21"/>
              </w:rPr>
              <w:t>    </w:t>
            </w:r>
            <w:r>
              <w:rPr>
                <w:rFonts w:ascii="Arial" w:hAnsi="Arial"/>
                <w:sz w:val="21"/>
                <w:szCs w:val="21"/>
                <w:lang w:val="en-GB"/>
              </w:rPr>
              <w:t>2001-3000</w:t>
            </w:r>
          </w:p>
        </w:tc>
        <w:tc>
          <w:tcPr>
            <w:tcW w:w="1189" w:type="dxa"/>
            <w:tcBorders>
              <w:bottom w:val="single" w:sz="8" w:space="0" w:color="000000"/>
              <w:right w:val="single" w:sz="8" w:space="0" w:color="000000"/>
            </w:tcBorders>
            <w:tcMar>
              <w:top w:w="0" w:type="dxa"/>
              <w:left w:w="0" w:type="dxa"/>
            </w:tcMar>
          </w:tcPr>
          <w:p>
            <w:pPr>
              <w:pStyle w:val="TableContents"/>
              <w:bidi w:val="0"/>
              <w:spacing w:before="0" w:after="283"/>
              <w:ind w:left="0" w:right="0" w:hanging="0"/>
              <w:jc w:val="right"/>
              <w:rPr>
                <w:rFonts w:ascii="Arial" w:hAnsi="Arial"/>
                <w:sz w:val="21"/>
                <w:szCs w:val="21"/>
                <w:lang w:val="en-GB"/>
              </w:rPr>
            </w:pPr>
            <w:r>
              <w:rPr>
                <w:rFonts w:ascii="Arial" w:hAnsi="Arial"/>
                <w:sz w:val="21"/>
                <w:szCs w:val="21"/>
                <w:lang w:val="en-GB"/>
              </w:rPr>
              <w:t>0.53%</w:t>
            </w:r>
          </w:p>
        </w:tc>
        <w:tc>
          <w:tcPr>
            <w:tcW w:w="1080" w:type="dxa"/>
            <w:tcBorders>
              <w:bottom w:val="single" w:sz="8" w:space="0" w:color="000000"/>
              <w:right w:val="single" w:sz="8" w:space="0" w:color="000000"/>
            </w:tcBorders>
            <w:tcMar>
              <w:top w:w="0" w:type="dxa"/>
              <w:left w:w="0" w:type="dxa"/>
            </w:tcMar>
          </w:tcPr>
          <w:p>
            <w:pPr>
              <w:pStyle w:val="TableContents"/>
              <w:bidi w:val="0"/>
              <w:spacing w:before="0" w:after="283"/>
              <w:ind w:left="0" w:right="0" w:hanging="0"/>
              <w:jc w:val="right"/>
              <w:rPr>
                <w:sz w:val="21"/>
                <w:szCs w:val="21"/>
              </w:rPr>
            </w:pPr>
            <w:r>
              <w:rPr>
                <w:caps w:val="false"/>
                <w:smallCaps w:val="false"/>
                <w:sz w:val="21"/>
                <w:szCs w:val="21"/>
              </w:rPr>
              <w:t>    </w:t>
            </w:r>
            <w:r>
              <w:rPr>
                <w:rFonts w:ascii="Arial" w:hAnsi="Arial"/>
                <w:sz w:val="21"/>
                <w:szCs w:val="21"/>
                <w:lang w:val="en-GB"/>
              </w:rPr>
              <w:t>0.25%</w:t>
            </w:r>
          </w:p>
        </w:tc>
        <w:tc>
          <w:tcPr>
            <w:tcW w:w="1026" w:type="dxa"/>
            <w:tcBorders>
              <w:bottom w:val="single" w:sz="8" w:space="0" w:color="000000"/>
              <w:right w:val="single" w:sz="8" w:space="0" w:color="000000"/>
            </w:tcBorders>
            <w:tcMar>
              <w:top w:w="0" w:type="dxa"/>
              <w:left w:w="0" w:type="dxa"/>
            </w:tcMar>
          </w:tcPr>
          <w:p>
            <w:pPr>
              <w:pStyle w:val="TableContents"/>
              <w:bidi w:val="0"/>
              <w:spacing w:before="0" w:after="283"/>
              <w:ind w:left="0" w:right="0" w:hanging="0"/>
              <w:jc w:val="right"/>
              <w:rPr>
                <w:sz w:val="21"/>
                <w:szCs w:val="21"/>
              </w:rPr>
            </w:pPr>
            <w:r>
              <w:rPr>
                <w:caps w:val="false"/>
                <w:smallCaps w:val="false"/>
                <w:sz w:val="21"/>
                <w:szCs w:val="21"/>
              </w:rPr>
              <w:t>    </w:t>
            </w:r>
            <w:r>
              <w:rPr>
                <w:rFonts w:ascii="Arial" w:hAnsi="Arial"/>
                <w:sz w:val="21"/>
                <w:szCs w:val="21"/>
                <w:lang w:val="en-GB"/>
              </w:rPr>
              <w:t>0.48%</w:t>
            </w:r>
          </w:p>
        </w:tc>
        <w:tc>
          <w:tcPr>
            <w:tcW w:w="1069" w:type="dxa"/>
            <w:tcBorders>
              <w:bottom w:val="single" w:sz="8" w:space="0" w:color="000000"/>
              <w:right w:val="single" w:sz="8" w:space="0" w:color="000000"/>
            </w:tcBorders>
            <w:tcMar>
              <w:top w:w="0" w:type="dxa"/>
              <w:left w:w="0" w:type="dxa"/>
            </w:tcMar>
          </w:tcPr>
          <w:p>
            <w:pPr>
              <w:pStyle w:val="TableContents"/>
              <w:bidi w:val="0"/>
              <w:spacing w:before="0" w:after="283"/>
              <w:ind w:left="0" w:right="0" w:hanging="0"/>
              <w:jc w:val="right"/>
              <w:rPr>
                <w:sz w:val="21"/>
                <w:szCs w:val="21"/>
              </w:rPr>
            </w:pPr>
            <w:r>
              <w:rPr>
                <w:caps w:val="false"/>
                <w:smallCaps w:val="false"/>
                <w:sz w:val="21"/>
                <w:szCs w:val="21"/>
              </w:rPr>
              <w:t>    </w:t>
            </w:r>
            <w:r>
              <w:rPr>
                <w:rFonts w:ascii="Arial" w:hAnsi="Arial"/>
                <w:sz w:val="21"/>
                <w:szCs w:val="21"/>
                <w:lang w:val="en-GB"/>
              </w:rPr>
              <w:t>0.33%</w:t>
            </w:r>
          </w:p>
        </w:tc>
        <w:tc>
          <w:tcPr>
            <w:tcW w:w="1080" w:type="dxa"/>
            <w:tcBorders>
              <w:bottom w:val="single" w:sz="8" w:space="0" w:color="000000"/>
              <w:right w:val="single" w:sz="8" w:space="0" w:color="000000"/>
            </w:tcBorders>
            <w:tcMar>
              <w:top w:w="0" w:type="dxa"/>
              <w:left w:w="0" w:type="dxa"/>
            </w:tcMar>
          </w:tcPr>
          <w:p>
            <w:pPr>
              <w:pStyle w:val="TableContents"/>
              <w:bidi w:val="0"/>
              <w:spacing w:before="0" w:after="283"/>
              <w:ind w:left="0" w:right="0" w:hanging="0"/>
              <w:jc w:val="right"/>
              <w:rPr>
                <w:rFonts w:ascii="Arial" w:hAnsi="Arial"/>
                <w:sz w:val="21"/>
                <w:szCs w:val="21"/>
                <w:lang w:val="en-GB"/>
              </w:rPr>
            </w:pPr>
            <w:r>
              <w:rPr>
                <w:rFonts w:ascii="Arial" w:hAnsi="Arial"/>
                <w:sz w:val="21"/>
                <w:szCs w:val="21"/>
                <w:lang w:val="en-GB"/>
              </w:rPr>
              <w:t>0.12%</w:t>
            </w:r>
          </w:p>
        </w:tc>
        <w:tc>
          <w:tcPr>
            <w:tcW w:w="1025" w:type="dxa"/>
            <w:tcBorders>
              <w:bottom w:val="single" w:sz="8" w:space="0" w:color="000000"/>
              <w:right w:val="single" w:sz="8" w:space="0" w:color="000000"/>
            </w:tcBorders>
            <w:tcMar>
              <w:top w:w="0" w:type="dxa"/>
              <w:left w:w="0" w:type="dxa"/>
            </w:tcMar>
          </w:tcPr>
          <w:p>
            <w:pPr>
              <w:pStyle w:val="TableContents"/>
              <w:bidi w:val="0"/>
              <w:spacing w:before="0" w:after="283"/>
              <w:ind w:left="0" w:right="0" w:hanging="0"/>
              <w:jc w:val="right"/>
              <w:rPr>
                <w:rFonts w:ascii="Arial" w:hAnsi="Arial"/>
                <w:sz w:val="21"/>
                <w:szCs w:val="21"/>
                <w:lang w:val="en-GB"/>
              </w:rPr>
            </w:pPr>
            <w:r>
              <w:rPr>
                <w:rFonts w:ascii="Arial" w:hAnsi="Arial"/>
                <w:sz w:val="21"/>
                <w:szCs w:val="21"/>
                <w:lang w:val="en-GB"/>
              </w:rPr>
              <w:t>0.12%</w:t>
            </w:r>
          </w:p>
        </w:tc>
        <w:tc>
          <w:tcPr>
            <w:tcW w:w="1222" w:type="dxa"/>
            <w:tcBorders>
              <w:bottom w:val="single" w:sz="8" w:space="0" w:color="000000"/>
              <w:right w:val="single" w:sz="8" w:space="0" w:color="000000"/>
            </w:tcBorders>
            <w:tcMar>
              <w:top w:w="0" w:type="dxa"/>
              <w:left w:w="0" w:type="dxa"/>
            </w:tcMar>
          </w:tcPr>
          <w:p>
            <w:pPr>
              <w:pStyle w:val="TableContents"/>
              <w:bidi w:val="0"/>
              <w:spacing w:before="0" w:after="283"/>
              <w:ind w:left="0" w:right="0" w:hanging="0"/>
              <w:jc w:val="right"/>
              <w:rPr>
                <w:sz w:val="21"/>
                <w:szCs w:val="21"/>
              </w:rPr>
            </w:pPr>
            <w:r>
              <w:rPr>
                <w:caps w:val="false"/>
                <w:smallCaps w:val="false"/>
                <w:sz w:val="21"/>
                <w:szCs w:val="21"/>
              </w:rPr>
              <w:t>    </w:t>
            </w:r>
            <w:r>
              <w:rPr>
                <w:rFonts w:ascii="Arial" w:hAnsi="Arial"/>
                <w:sz w:val="21"/>
                <w:szCs w:val="21"/>
                <w:lang w:val="en-GB"/>
              </w:rPr>
              <w:t>1.83%</w:t>
            </w:r>
          </w:p>
        </w:tc>
      </w:tr>
      <w:tr>
        <w:trPr/>
        <w:tc>
          <w:tcPr>
            <w:tcW w:w="1527" w:type="dxa"/>
            <w:tcBorders>
              <w:left w:val="single" w:sz="4" w:space="0" w:color="000000"/>
              <w:bottom w:val="single" w:sz="4" w:space="0" w:color="000000"/>
              <w:right w:val="single" w:sz="4" w:space="0" w:color="000000"/>
            </w:tcBorders>
            <w:tcMar>
              <w:top w:w="0" w:type="dxa"/>
            </w:tcMar>
          </w:tcPr>
          <w:p>
            <w:pPr>
              <w:pStyle w:val="TableContents"/>
              <w:bidi w:val="0"/>
              <w:spacing w:before="0" w:after="283"/>
              <w:ind w:left="0" w:right="0" w:hanging="0"/>
              <w:jc w:val="left"/>
              <w:rPr>
                <w:sz w:val="21"/>
                <w:szCs w:val="21"/>
              </w:rPr>
            </w:pPr>
            <w:r>
              <w:rPr>
                <w:caps w:val="false"/>
                <w:smallCaps w:val="false"/>
                <w:sz w:val="21"/>
                <w:szCs w:val="21"/>
              </w:rPr>
              <w:t>    </w:t>
            </w:r>
            <w:r>
              <w:rPr>
                <w:rFonts w:ascii="Arial" w:hAnsi="Arial"/>
                <w:sz w:val="21"/>
                <w:szCs w:val="21"/>
                <w:lang w:val="en-GB"/>
              </w:rPr>
              <w:t>3001 +</w:t>
            </w:r>
          </w:p>
        </w:tc>
        <w:tc>
          <w:tcPr>
            <w:tcW w:w="1189" w:type="dxa"/>
            <w:tcBorders>
              <w:bottom w:val="single" w:sz="4" w:space="0" w:color="000000"/>
              <w:right w:val="single" w:sz="4" w:space="0" w:color="000000"/>
            </w:tcBorders>
            <w:tcMar>
              <w:top w:w="0" w:type="dxa"/>
              <w:left w:w="0" w:type="dxa"/>
            </w:tcMar>
          </w:tcPr>
          <w:p>
            <w:pPr>
              <w:pStyle w:val="TableContents"/>
              <w:bidi w:val="0"/>
              <w:spacing w:before="0" w:after="283"/>
              <w:ind w:left="0" w:right="0" w:hanging="0"/>
              <w:jc w:val="left"/>
              <w:rPr>
                <w:sz w:val="21"/>
                <w:szCs w:val="21"/>
              </w:rPr>
            </w:pPr>
            <w:r>
              <w:rPr>
                <w:caps w:val="false"/>
                <w:smallCaps w:val="false"/>
                <w:sz w:val="21"/>
                <w:szCs w:val="21"/>
              </w:rPr>
              <w:t>  </w:t>
            </w:r>
            <w:r>
              <w:rPr>
                <w:rFonts w:ascii="Arial" w:hAnsi="Arial"/>
                <w:sz w:val="21"/>
                <w:szCs w:val="21"/>
                <w:lang w:val="en-GB"/>
              </w:rPr>
              <w:t>1.22%</w:t>
            </w:r>
          </w:p>
        </w:tc>
        <w:tc>
          <w:tcPr>
            <w:tcW w:w="1080" w:type="dxa"/>
            <w:tcBorders>
              <w:bottom w:val="single" w:sz="4" w:space="0" w:color="000000"/>
              <w:right w:val="single" w:sz="4" w:space="0" w:color="000000"/>
            </w:tcBorders>
            <w:tcMar>
              <w:top w:w="0" w:type="dxa"/>
              <w:left w:w="0" w:type="dxa"/>
            </w:tcMar>
          </w:tcPr>
          <w:p>
            <w:pPr>
              <w:pStyle w:val="TableContents"/>
              <w:bidi w:val="0"/>
              <w:spacing w:before="0" w:after="283"/>
              <w:ind w:left="0" w:right="0" w:hanging="0"/>
              <w:jc w:val="left"/>
              <w:rPr>
                <w:sz w:val="21"/>
                <w:szCs w:val="21"/>
              </w:rPr>
            </w:pPr>
            <w:r>
              <w:rPr>
                <w:caps w:val="false"/>
                <w:smallCaps w:val="false"/>
                <w:sz w:val="21"/>
                <w:szCs w:val="21"/>
              </w:rPr>
              <w:t>   </w:t>
            </w:r>
            <w:r>
              <w:rPr>
                <w:rFonts w:ascii="Arial" w:hAnsi="Arial"/>
                <w:sz w:val="21"/>
                <w:szCs w:val="21"/>
                <w:lang w:val="en-GB"/>
              </w:rPr>
              <w:t>1.16%</w:t>
            </w:r>
          </w:p>
        </w:tc>
        <w:tc>
          <w:tcPr>
            <w:tcW w:w="1026" w:type="dxa"/>
            <w:tcBorders>
              <w:bottom w:val="single" w:sz="4" w:space="0" w:color="000000"/>
              <w:right w:val="single" w:sz="4" w:space="0" w:color="000000"/>
            </w:tcBorders>
            <w:tcMar>
              <w:top w:w="0" w:type="dxa"/>
              <w:left w:w="0" w:type="dxa"/>
            </w:tcMar>
          </w:tcPr>
          <w:p>
            <w:pPr>
              <w:pStyle w:val="TableContents"/>
              <w:bidi w:val="0"/>
              <w:spacing w:before="0" w:after="283"/>
              <w:ind w:left="0" w:right="0" w:hanging="0"/>
              <w:jc w:val="left"/>
              <w:rPr>
                <w:sz w:val="21"/>
                <w:szCs w:val="21"/>
              </w:rPr>
            </w:pPr>
            <w:r>
              <w:rPr>
                <w:caps w:val="false"/>
                <w:smallCaps w:val="false"/>
                <w:sz w:val="21"/>
                <w:szCs w:val="21"/>
              </w:rPr>
              <w:t>   </w:t>
            </w:r>
            <w:r>
              <w:rPr>
                <w:rFonts w:ascii="Arial" w:hAnsi="Arial"/>
                <w:sz w:val="21"/>
                <w:szCs w:val="21"/>
                <w:lang w:val="en-GB"/>
              </w:rPr>
              <w:t>1.32%</w:t>
            </w:r>
          </w:p>
        </w:tc>
        <w:tc>
          <w:tcPr>
            <w:tcW w:w="1069" w:type="dxa"/>
            <w:tcBorders>
              <w:bottom w:val="single" w:sz="4" w:space="0" w:color="000000"/>
              <w:right w:val="single" w:sz="4" w:space="0" w:color="000000"/>
            </w:tcBorders>
            <w:tcMar>
              <w:top w:w="0" w:type="dxa"/>
              <w:left w:w="0" w:type="dxa"/>
            </w:tcMar>
          </w:tcPr>
          <w:p>
            <w:pPr>
              <w:pStyle w:val="TableContents"/>
              <w:bidi w:val="0"/>
              <w:spacing w:before="0" w:after="283"/>
              <w:ind w:left="0" w:right="0" w:hanging="0"/>
              <w:jc w:val="left"/>
              <w:rPr>
                <w:sz w:val="21"/>
                <w:szCs w:val="21"/>
              </w:rPr>
            </w:pPr>
            <w:r>
              <w:rPr>
                <w:caps w:val="false"/>
                <w:smallCaps w:val="false"/>
                <w:sz w:val="21"/>
                <w:szCs w:val="21"/>
              </w:rPr>
              <w:t>   </w:t>
            </w:r>
            <w:r>
              <w:rPr>
                <w:rFonts w:ascii="Arial" w:hAnsi="Arial"/>
                <w:sz w:val="21"/>
                <w:szCs w:val="21"/>
                <w:lang w:val="en-GB"/>
              </w:rPr>
              <w:t>1.21%</w:t>
            </w:r>
          </w:p>
        </w:tc>
        <w:tc>
          <w:tcPr>
            <w:tcW w:w="1080" w:type="dxa"/>
            <w:tcBorders>
              <w:bottom w:val="single" w:sz="4" w:space="0" w:color="000000"/>
              <w:right w:val="single" w:sz="4" w:space="0" w:color="000000"/>
            </w:tcBorders>
            <w:tcMar>
              <w:top w:w="0" w:type="dxa"/>
              <w:left w:w="0" w:type="dxa"/>
            </w:tcMar>
          </w:tcPr>
          <w:p>
            <w:pPr>
              <w:pStyle w:val="TableContents"/>
              <w:bidi w:val="0"/>
              <w:spacing w:before="0" w:after="283"/>
              <w:ind w:left="0" w:right="0" w:hanging="0"/>
              <w:jc w:val="left"/>
              <w:rPr>
                <w:sz w:val="21"/>
                <w:szCs w:val="21"/>
              </w:rPr>
            </w:pPr>
            <w:r>
              <w:rPr>
                <w:caps w:val="false"/>
                <w:smallCaps w:val="false"/>
                <w:sz w:val="21"/>
                <w:szCs w:val="21"/>
              </w:rPr>
              <w:t>  </w:t>
            </w:r>
            <w:r>
              <w:rPr>
                <w:rFonts w:ascii="Arial" w:hAnsi="Arial"/>
                <w:sz w:val="21"/>
                <w:szCs w:val="21"/>
                <w:lang w:val="en-GB"/>
              </w:rPr>
              <w:t>0.74%</w:t>
            </w:r>
          </w:p>
        </w:tc>
        <w:tc>
          <w:tcPr>
            <w:tcW w:w="1025" w:type="dxa"/>
            <w:tcBorders>
              <w:bottom w:val="single" w:sz="4" w:space="0" w:color="000000"/>
              <w:right w:val="single" w:sz="4" w:space="0" w:color="000000"/>
            </w:tcBorders>
            <w:tcMar>
              <w:top w:w="0" w:type="dxa"/>
              <w:left w:w="0" w:type="dxa"/>
            </w:tcMar>
          </w:tcPr>
          <w:p>
            <w:pPr>
              <w:pStyle w:val="TableContents"/>
              <w:bidi w:val="0"/>
              <w:spacing w:before="0" w:after="283"/>
              <w:ind w:left="0" w:right="0" w:hanging="0"/>
              <w:jc w:val="left"/>
              <w:rPr>
                <w:rFonts w:ascii="Arial" w:hAnsi="Arial"/>
                <w:sz w:val="21"/>
                <w:szCs w:val="21"/>
                <w:lang w:val="en-GB"/>
              </w:rPr>
            </w:pPr>
            <w:r>
              <w:rPr>
                <w:rFonts w:ascii="Arial" w:hAnsi="Arial"/>
                <w:sz w:val="21"/>
                <w:szCs w:val="21"/>
                <w:lang w:val="en-GB"/>
              </w:rPr>
              <w:t>1.21%</w:t>
            </w:r>
          </w:p>
        </w:tc>
        <w:tc>
          <w:tcPr>
            <w:tcW w:w="1222" w:type="dxa"/>
            <w:tcBorders>
              <w:bottom w:val="single" w:sz="4" w:space="0" w:color="000000"/>
              <w:right w:val="single" w:sz="4" w:space="0" w:color="000000"/>
            </w:tcBorders>
            <w:tcMar>
              <w:top w:w="0" w:type="dxa"/>
              <w:left w:w="0" w:type="dxa"/>
            </w:tcMar>
          </w:tcPr>
          <w:p>
            <w:pPr>
              <w:pStyle w:val="TableContents"/>
              <w:bidi w:val="0"/>
              <w:spacing w:before="0" w:after="283"/>
              <w:ind w:left="0" w:right="0" w:hanging="0"/>
              <w:jc w:val="left"/>
              <w:rPr>
                <w:sz w:val="21"/>
                <w:szCs w:val="21"/>
              </w:rPr>
            </w:pPr>
            <w:r>
              <w:rPr>
                <w:caps w:val="false"/>
                <w:smallCaps w:val="false"/>
                <w:sz w:val="21"/>
                <w:szCs w:val="21"/>
              </w:rPr>
              <w:t>    </w:t>
            </w:r>
            <w:r>
              <w:rPr>
                <w:rFonts w:ascii="Arial" w:hAnsi="Arial"/>
                <w:sz w:val="21"/>
                <w:szCs w:val="21"/>
                <w:lang w:val="en-GB"/>
              </w:rPr>
              <w:t>6.87%</w:t>
            </w:r>
          </w:p>
        </w:tc>
      </w:tr>
      <w:tr>
        <w:trPr/>
        <w:tc>
          <w:tcPr>
            <w:tcW w:w="1527" w:type="dxa"/>
            <w:tcBorders>
              <w:left w:val="single" w:sz="4" w:space="0" w:color="000000"/>
              <w:bottom w:val="single" w:sz="4" w:space="0" w:color="000000"/>
              <w:right w:val="single" w:sz="4" w:space="0" w:color="000000"/>
            </w:tcBorders>
            <w:tcMar>
              <w:top w:w="0" w:type="dxa"/>
            </w:tcMar>
          </w:tcPr>
          <w:p>
            <w:pPr>
              <w:pStyle w:val="TableContents"/>
              <w:bidi w:val="0"/>
              <w:spacing w:before="0" w:after="283"/>
              <w:ind w:left="0" w:right="0" w:hanging="0"/>
              <w:jc w:val="left"/>
              <w:rPr>
                <w:sz w:val="21"/>
                <w:szCs w:val="21"/>
              </w:rPr>
            </w:pPr>
            <w:r>
              <w:rPr>
                <w:caps w:val="false"/>
                <w:smallCaps w:val="false"/>
                <w:sz w:val="21"/>
                <w:szCs w:val="21"/>
              </w:rPr>
              <w:t>    </w:t>
            </w:r>
            <w:r>
              <w:rPr>
                <w:rFonts w:ascii="Arial" w:hAnsi="Arial"/>
                <w:sz w:val="21"/>
                <w:szCs w:val="21"/>
                <w:lang w:val="en-GB"/>
              </w:rPr>
              <w:t>Total</w:t>
            </w:r>
          </w:p>
        </w:tc>
        <w:tc>
          <w:tcPr>
            <w:tcW w:w="1189" w:type="dxa"/>
            <w:tcBorders>
              <w:bottom w:val="single" w:sz="4" w:space="0" w:color="000000"/>
              <w:right w:val="single" w:sz="4" w:space="0" w:color="000000"/>
            </w:tcBorders>
            <w:tcMar>
              <w:top w:w="0" w:type="dxa"/>
              <w:left w:w="0" w:type="dxa"/>
            </w:tcMar>
          </w:tcPr>
          <w:p>
            <w:pPr>
              <w:pStyle w:val="TableContents"/>
              <w:bidi w:val="0"/>
              <w:spacing w:before="0" w:after="283"/>
              <w:ind w:left="0" w:right="0" w:hanging="0"/>
              <w:jc w:val="left"/>
              <w:rPr>
                <w:rFonts w:ascii="Arial" w:hAnsi="Arial"/>
                <w:sz w:val="21"/>
                <w:szCs w:val="21"/>
                <w:lang w:val="en-GB"/>
              </w:rPr>
            </w:pPr>
            <w:r>
              <w:rPr>
                <w:rFonts w:ascii="Arial" w:hAnsi="Arial"/>
                <w:sz w:val="21"/>
                <w:szCs w:val="21"/>
                <w:lang w:val="en-GB"/>
              </w:rPr>
              <w:t>82.88%</w:t>
            </w:r>
          </w:p>
        </w:tc>
        <w:tc>
          <w:tcPr>
            <w:tcW w:w="1080" w:type="dxa"/>
            <w:tcBorders>
              <w:bottom w:val="single" w:sz="4" w:space="0" w:color="000000"/>
              <w:right w:val="single" w:sz="4" w:space="0" w:color="000000"/>
            </w:tcBorders>
            <w:tcMar>
              <w:top w:w="0" w:type="dxa"/>
              <w:left w:w="0" w:type="dxa"/>
            </w:tcMar>
          </w:tcPr>
          <w:p>
            <w:pPr>
              <w:pStyle w:val="TableContents"/>
              <w:bidi w:val="0"/>
              <w:spacing w:before="0" w:after="283"/>
              <w:ind w:left="0" w:right="0" w:hanging="0"/>
              <w:jc w:val="left"/>
              <w:rPr>
                <w:sz w:val="21"/>
                <w:szCs w:val="21"/>
              </w:rPr>
            </w:pPr>
            <w:r>
              <w:rPr>
                <w:caps w:val="false"/>
                <w:smallCaps w:val="false"/>
                <w:sz w:val="21"/>
                <w:szCs w:val="21"/>
              </w:rPr>
              <w:t> </w:t>
            </w:r>
            <w:r>
              <w:rPr>
                <w:rFonts w:ascii="Arial" w:hAnsi="Arial"/>
                <w:sz w:val="21"/>
                <w:szCs w:val="21"/>
                <w:lang w:val="en-GB"/>
              </w:rPr>
              <w:t>7.65%</w:t>
            </w:r>
          </w:p>
        </w:tc>
        <w:tc>
          <w:tcPr>
            <w:tcW w:w="1026" w:type="dxa"/>
            <w:tcBorders>
              <w:bottom w:val="single" w:sz="4" w:space="0" w:color="000000"/>
              <w:right w:val="single" w:sz="4" w:space="0" w:color="000000"/>
            </w:tcBorders>
            <w:tcMar>
              <w:top w:w="0" w:type="dxa"/>
              <w:left w:w="0" w:type="dxa"/>
            </w:tcMar>
          </w:tcPr>
          <w:p>
            <w:pPr>
              <w:pStyle w:val="TableContents"/>
              <w:bidi w:val="0"/>
              <w:spacing w:before="0" w:after="283"/>
              <w:ind w:left="0" w:right="0" w:hanging="0"/>
              <w:jc w:val="left"/>
              <w:rPr>
                <w:sz w:val="21"/>
                <w:szCs w:val="21"/>
              </w:rPr>
            </w:pPr>
            <w:r>
              <w:rPr>
                <w:caps w:val="false"/>
                <w:smallCaps w:val="false"/>
                <w:sz w:val="21"/>
                <w:szCs w:val="21"/>
              </w:rPr>
              <w:t>   </w:t>
            </w:r>
            <w:r>
              <w:rPr>
                <w:rFonts w:ascii="Arial" w:hAnsi="Arial"/>
                <w:sz w:val="21"/>
                <w:szCs w:val="21"/>
                <w:lang w:val="en-GB"/>
              </w:rPr>
              <w:t>4.11%</w:t>
            </w:r>
          </w:p>
        </w:tc>
        <w:tc>
          <w:tcPr>
            <w:tcW w:w="1069" w:type="dxa"/>
            <w:tcBorders>
              <w:bottom w:val="single" w:sz="4" w:space="0" w:color="000000"/>
              <w:right w:val="single" w:sz="4" w:space="0" w:color="000000"/>
            </w:tcBorders>
            <w:tcMar>
              <w:top w:w="0" w:type="dxa"/>
              <w:left w:w="0" w:type="dxa"/>
            </w:tcMar>
          </w:tcPr>
          <w:p>
            <w:pPr>
              <w:pStyle w:val="TableContents"/>
              <w:bidi w:val="0"/>
              <w:spacing w:before="0" w:after="283"/>
              <w:ind w:left="0" w:right="0" w:hanging="0"/>
              <w:jc w:val="left"/>
              <w:rPr>
                <w:sz w:val="21"/>
                <w:szCs w:val="21"/>
              </w:rPr>
            </w:pPr>
            <w:r>
              <w:rPr>
                <w:caps w:val="false"/>
                <w:smallCaps w:val="false"/>
                <w:sz w:val="21"/>
                <w:szCs w:val="21"/>
              </w:rPr>
              <w:t>   </w:t>
            </w:r>
            <w:r>
              <w:rPr>
                <w:rFonts w:ascii="Arial" w:hAnsi="Arial"/>
                <w:sz w:val="21"/>
                <w:szCs w:val="21"/>
                <w:lang w:val="en-GB"/>
              </w:rPr>
              <w:t>2.64%</w:t>
            </w:r>
          </w:p>
        </w:tc>
        <w:tc>
          <w:tcPr>
            <w:tcW w:w="1080" w:type="dxa"/>
            <w:tcBorders>
              <w:bottom w:val="single" w:sz="4" w:space="0" w:color="000000"/>
              <w:right w:val="single" w:sz="4" w:space="0" w:color="000000"/>
            </w:tcBorders>
            <w:tcMar>
              <w:top w:w="0" w:type="dxa"/>
              <w:left w:w="0" w:type="dxa"/>
            </w:tcMar>
          </w:tcPr>
          <w:p>
            <w:pPr>
              <w:pStyle w:val="TableContents"/>
              <w:bidi w:val="0"/>
              <w:spacing w:before="0" w:after="283"/>
              <w:ind w:left="0" w:right="0" w:hanging="0"/>
              <w:jc w:val="left"/>
              <w:rPr>
                <w:sz w:val="21"/>
                <w:szCs w:val="21"/>
              </w:rPr>
            </w:pPr>
            <w:r>
              <w:rPr>
                <w:caps w:val="false"/>
                <w:smallCaps w:val="false"/>
                <w:sz w:val="21"/>
                <w:szCs w:val="21"/>
              </w:rPr>
              <w:t>  </w:t>
            </w:r>
            <w:r>
              <w:rPr>
                <w:rFonts w:ascii="Arial" w:hAnsi="Arial"/>
                <w:sz w:val="21"/>
                <w:szCs w:val="21"/>
                <w:lang w:val="en-GB"/>
              </w:rPr>
              <w:t>1.18%</w:t>
            </w:r>
          </w:p>
        </w:tc>
        <w:tc>
          <w:tcPr>
            <w:tcW w:w="1025" w:type="dxa"/>
            <w:tcBorders>
              <w:bottom w:val="single" w:sz="4" w:space="0" w:color="000000"/>
              <w:right w:val="single" w:sz="4" w:space="0" w:color="000000"/>
            </w:tcBorders>
            <w:tcMar>
              <w:top w:w="0" w:type="dxa"/>
              <w:left w:w="0" w:type="dxa"/>
            </w:tcMar>
          </w:tcPr>
          <w:p>
            <w:pPr>
              <w:pStyle w:val="TableContents"/>
              <w:bidi w:val="0"/>
              <w:spacing w:before="0" w:after="283"/>
              <w:ind w:left="0" w:right="0" w:hanging="0"/>
              <w:jc w:val="left"/>
              <w:rPr>
                <w:sz w:val="21"/>
                <w:szCs w:val="21"/>
              </w:rPr>
            </w:pPr>
            <w:r>
              <w:rPr>
                <w:caps w:val="false"/>
                <w:smallCaps w:val="false"/>
                <w:sz w:val="21"/>
                <w:szCs w:val="21"/>
              </w:rPr>
              <w:t>  </w:t>
            </w:r>
            <w:r>
              <w:rPr>
                <w:rFonts w:ascii="Arial" w:hAnsi="Arial"/>
                <w:sz w:val="21"/>
                <w:szCs w:val="21"/>
                <w:lang w:val="en-GB"/>
              </w:rPr>
              <w:t>1.54%</w:t>
            </w:r>
          </w:p>
        </w:tc>
        <w:tc>
          <w:tcPr>
            <w:tcW w:w="1222" w:type="dxa"/>
            <w:tcBorders>
              <w:bottom w:val="single" w:sz="4" w:space="0" w:color="000000"/>
              <w:right w:val="single" w:sz="4" w:space="0" w:color="000000"/>
            </w:tcBorders>
            <w:tcMar>
              <w:top w:w="0" w:type="dxa"/>
              <w:left w:w="0" w:type="dxa"/>
            </w:tcMar>
          </w:tcPr>
          <w:p>
            <w:pPr>
              <w:pStyle w:val="TableContents"/>
              <w:bidi w:val="0"/>
              <w:spacing w:before="0" w:after="283"/>
              <w:ind w:left="0" w:right="0" w:hanging="0"/>
              <w:jc w:val="left"/>
              <w:rPr>
                <w:sz w:val="21"/>
                <w:szCs w:val="21"/>
              </w:rPr>
            </w:pPr>
            <w:r>
              <w:rPr>
                <w:caps w:val="false"/>
                <w:smallCaps w:val="false"/>
                <w:sz w:val="21"/>
                <w:szCs w:val="21"/>
              </w:rPr>
              <w:t>    </w:t>
            </w:r>
            <w:r>
              <w:rPr>
                <w:rFonts w:ascii="Arial" w:hAnsi="Arial"/>
                <w:sz w:val="21"/>
                <w:szCs w:val="21"/>
                <w:lang w:val="en-GB"/>
              </w:rPr>
              <w:t>100%</w:t>
            </w:r>
          </w:p>
        </w:tc>
      </w:tr>
    </w:tbl>
    <w:p>
      <w:pPr>
        <w:pStyle w:val="TextBody"/>
        <w:widowControl/>
        <w:bidi w:val="0"/>
        <w:spacing w:lineRule="atLeast" w:line="262"/>
        <w:ind w:left="0" w:right="0" w:hanging="0"/>
        <w:jc w:val="left"/>
        <w:rPr>
          <w:caps w:val="false"/>
          <w:smallCaps w:val="false"/>
          <w:color w:val="434343"/>
          <w:spacing w:val="0"/>
        </w:rPr>
      </w:pPr>
      <w:r>
        <w:rPr>
          <w:caps w:val="false"/>
          <w:smallCaps w:val="false"/>
          <w:color w:val="434343"/>
          <w:spacing w:val="0"/>
        </w:rPr>
        <w:t> </w:t>
      </w:r>
    </w:p>
    <w:p>
      <w:pPr>
        <w:pStyle w:val="TextBody"/>
        <w:widowControl/>
        <w:bidi w:val="0"/>
        <w:spacing w:lineRule="auto" w:line="360" w:before="57" w:after="197"/>
        <w:jc w:val="left"/>
        <w:rPr>
          <w:rFonts w:ascii="Liberation Serif" w:hAnsi="Liberation Serif"/>
          <w:b w:val="false"/>
          <w:i w:val="false"/>
          <w:caps w:val="false"/>
          <w:smallCaps w:val="false"/>
          <w:color w:val="auto"/>
          <w:spacing w:val="0"/>
          <w:sz w:val="24"/>
          <w:szCs w:val="24"/>
          <w:lang w:val="en-GB"/>
        </w:rPr>
      </w:pPr>
      <w:r>
        <w:rPr>
          <w:rFonts w:ascii="Liberation Serif" w:hAnsi="Liberation Serif"/>
          <w:b w:val="false"/>
          <w:i w:val="false"/>
          <w:caps w:val="false"/>
          <w:smallCaps w:val="false"/>
          <w:color w:val="auto"/>
          <w:spacing w:val="0"/>
          <w:sz w:val="24"/>
          <w:szCs w:val="24"/>
          <w:lang w:val="en-GB"/>
        </w:rPr>
        <w:t>As one might expect, given that more than 60% of the English language is made up of function words and high frequency delexical verbs (</w:t>
      </w:r>
      <w:r>
        <w:rPr>
          <w:rFonts w:ascii="Liberation Serif" w:hAnsi="Liberation Serif"/>
          <w:b w:val="false"/>
          <w:i/>
          <w:caps w:val="false"/>
          <w:smallCaps w:val="false"/>
          <w:color w:val="auto"/>
          <w:spacing w:val="0"/>
          <w:sz w:val="24"/>
          <w:szCs w:val="24"/>
          <w:lang w:val="en-GB"/>
        </w:rPr>
        <w:t>be</w:t>
      </w:r>
      <w:r>
        <w:rPr>
          <w:rFonts w:ascii="Liberation Serif" w:hAnsi="Liberation Serif"/>
          <w:b w:val="false"/>
          <w:i w:val="false"/>
          <w:caps w:val="false"/>
          <w:smallCaps w:val="false"/>
          <w:color w:val="auto"/>
          <w:spacing w:val="0"/>
          <w:sz w:val="24"/>
          <w:szCs w:val="24"/>
          <w:lang w:val="en-GB"/>
        </w:rPr>
        <w:t>, </w:t>
      </w:r>
      <w:r>
        <w:rPr>
          <w:rFonts w:ascii="Liberation Serif" w:hAnsi="Liberation Serif"/>
          <w:b w:val="false"/>
          <w:i/>
          <w:caps w:val="false"/>
          <w:smallCaps w:val="false"/>
          <w:color w:val="auto"/>
          <w:spacing w:val="0"/>
          <w:sz w:val="24"/>
          <w:szCs w:val="24"/>
          <w:lang w:val="en-GB"/>
        </w:rPr>
        <w:t>go</w:t>
      </w:r>
      <w:r>
        <w:rPr>
          <w:rFonts w:ascii="Liberation Serif" w:hAnsi="Liberation Serif"/>
          <w:b w:val="false"/>
          <w:i w:val="false"/>
          <w:caps w:val="false"/>
          <w:smallCaps w:val="false"/>
          <w:color w:val="auto"/>
          <w:spacing w:val="0"/>
          <w:sz w:val="24"/>
          <w:szCs w:val="24"/>
          <w:lang w:val="en-GB"/>
        </w:rPr>
        <w:t>, </w:t>
      </w:r>
      <w:r>
        <w:rPr>
          <w:rFonts w:ascii="Liberation Serif" w:hAnsi="Liberation Serif"/>
          <w:b w:val="false"/>
          <w:i/>
          <w:caps w:val="false"/>
          <w:smallCaps w:val="false"/>
          <w:color w:val="auto"/>
          <w:spacing w:val="0"/>
          <w:sz w:val="24"/>
          <w:szCs w:val="24"/>
          <w:lang w:val="en-GB"/>
        </w:rPr>
        <w:t>do</w:t>
      </w:r>
      <w:r>
        <w:rPr>
          <w:rFonts w:ascii="Liberation Serif" w:hAnsi="Liberation Serif"/>
          <w:b w:val="false"/>
          <w:i w:val="false"/>
          <w:caps w:val="false"/>
          <w:smallCaps w:val="false"/>
          <w:color w:val="auto"/>
          <w:spacing w:val="0"/>
          <w:sz w:val="24"/>
          <w:szCs w:val="24"/>
          <w:lang w:val="en-GB"/>
        </w:rPr>
        <w:t>, </w:t>
      </w:r>
      <w:r>
        <w:rPr>
          <w:rFonts w:ascii="Liberation Serif" w:hAnsi="Liberation Serif"/>
          <w:b w:val="false"/>
          <w:i/>
          <w:caps w:val="false"/>
          <w:smallCaps w:val="false"/>
          <w:color w:val="auto"/>
          <w:spacing w:val="0"/>
          <w:sz w:val="24"/>
          <w:szCs w:val="24"/>
          <w:lang w:val="en-GB"/>
        </w:rPr>
        <w:t>have</w:t>
      </w:r>
      <w:r>
        <w:rPr>
          <w:rFonts w:ascii="Liberation Serif" w:hAnsi="Liberation Serif"/>
          <w:b w:val="false"/>
          <w:i w:val="false"/>
          <w:caps w:val="false"/>
          <w:smallCaps w:val="false"/>
          <w:color w:val="auto"/>
          <w:spacing w:val="0"/>
          <w:sz w:val="24"/>
          <w:szCs w:val="24"/>
          <w:lang w:val="en-GB"/>
        </w:rPr>
        <w:t> etc.), 82.88% (Table 5) of the volume of the series are words which occur more than 51 times, but these actually only account for 400 of the total of 4358 types (Table 2) occurring in the series. More interestingly, the data in Tables 2 and 3 show that there is a small set of words which occur frequently. 400 types occur more than 51 times in the series with 795 (400+395) occurring more than 20 times but account for only 18.25% of the total types met in the books.  There are also a very high number of singletons (one occurrence words) and doublets. 43.08% of the types are in this category, which are very unlikely to be learnt due to their infrequency.</w:t>
      </w:r>
    </w:p>
    <w:p>
      <w:pPr>
        <w:pStyle w:val="TextBody"/>
        <w:widowControl/>
        <w:bidi w:val="0"/>
        <w:spacing w:lineRule="auto" w:line="360" w:before="57" w:after="197"/>
        <w:ind w:left="0" w:right="0" w:hanging="0"/>
        <w:jc w:val="left"/>
        <w:rPr>
          <w:rFonts w:ascii="Liberation Serif" w:hAnsi="Liberation Serif"/>
          <w:b w:val="false"/>
          <w:i w:val="false"/>
          <w:caps w:val="false"/>
          <w:smallCaps w:val="false"/>
          <w:color w:val="auto"/>
          <w:spacing w:val="0"/>
          <w:sz w:val="24"/>
          <w:szCs w:val="24"/>
        </w:rPr>
      </w:pPr>
      <w:r>
        <w:rPr>
          <w:rFonts w:ascii="Liberation Serif" w:hAnsi="Liberation Serif"/>
          <w:b w:val="false"/>
          <w:i w:val="false"/>
          <w:caps w:val="false"/>
          <w:smallCaps w:val="false"/>
          <w:color w:val="auto"/>
          <w:spacing w:val="0"/>
          <w:sz w:val="24"/>
          <w:szCs w:val="24"/>
          <w:lang w:val="en-GB"/>
        </w:rPr>
        <w:t>We should now ask how many of these can we reasonably expect to be “learnt” by the end of the course. If we assume that over 20 recurrences is the threshold for “learning”, the remaining 81.75% of words occurring fewer than 21 times (higher if we exclude the proper nouns from this) in the books are not met enough to be “learnt” but could be considered “partially learnt”, or in fact, never learnt. In other words after finishing four levels of a typical four-skills course the best we can expect is that the learners will have learnt about 800 (400+395) words receptively. As productive vocabulary is often a quarter of the receptive, the learners will likely have a productive vocabulary of about 200 words by the end of the course. This is also assuming that all the words in the family will be learnt – a highly unlikely situation.</w:t>
      </w:r>
      <w:r>
        <w:rPr>
          <w:rFonts w:ascii="Liberation Serif" w:hAnsi="Liberation Serif"/>
          <w:b w:val="false"/>
          <w:i w:val="false"/>
          <w:caps w:val="false"/>
          <w:smallCaps w:val="false"/>
          <w:color w:val="auto"/>
          <w:spacing w:val="0"/>
          <w:sz w:val="24"/>
          <w:szCs w:val="24"/>
        </w:rPr>
        <w:t> It probably means very few collocations, lexical phrases and so forth have also been learnt either.</w:t>
      </w:r>
    </w:p>
    <w:p>
      <w:pPr>
        <w:pStyle w:val="TextBody"/>
        <w:widowControl/>
        <w:bidi w:val="0"/>
        <w:spacing w:lineRule="auto" w:line="360" w:before="57" w:after="197"/>
        <w:ind w:left="0" w:right="0" w:hanging="0"/>
        <w:jc w:val="left"/>
        <w:rPr>
          <w:rFonts w:ascii="Liberation Serif" w:hAnsi="Liberation Serif"/>
          <w:b w:val="false"/>
          <w:i w:val="false"/>
          <w:caps w:val="false"/>
          <w:smallCaps w:val="false"/>
          <w:color w:val="auto"/>
          <w:spacing w:val="0"/>
          <w:sz w:val="24"/>
          <w:szCs w:val="24"/>
          <w:lang w:val="en-GB"/>
        </w:rPr>
      </w:pPr>
      <w:r>
        <w:rPr>
          <w:rFonts w:ascii="Liberation Serif" w:hAnsi="Liberation Serif"/>
          <w:b w:val="false"/>
          <w:i w:val="false"/>
          <w:caps w:val="false"/>
          <w:smallCaps w:val="false"/>
          <w:color w:val="auto"/>
          <w:spacing w:val="0"/>
          <w:sz w:val="24"/>
          <w:szCs w:val="24"/>
          <w:lang w:val="en-GB"/>
        </w:rPr>
        <w:t>These data suggest that course books do not, and cannot by their very design provide the recycling of vocabulary needed for acquisition. This should not in any way be seen as an attack on course books. Course books are very useful and powerful but because of their design, they can only do half the job. They are good at introducing new language features in a linear way, but are not good, because of their design, at recycling this language and are poor at building </w:t>
      </w:r>
      <w:r>
        <w:rPr>
          <w:rFonts w:ascii="Liberation Serif" w:hAnsi="Liberation Serif"/>
          <w:b w:val="false"/>
          <w:i/>
          <w:caps w:val="false"/>
          <w:smallCaps w:val="false"/>
          <w:color w:val="auto"/>
          <w:spacing w:val="0"/>
          <w:sz w:val="24"/>
          <w:szCs w:val="24"/>
          <w:lang w:val="en-GB"/>
        </w:rPr>
        <w:t>depth</w:t>
      </w:r>
      <w:r>
        <w:rPr>
          <w:rFonts w:ascii="Liberation Serif" w:hAnsi="Liberation Serif"/>
          <w:b w:val="false"/>
          <w:i w:val="false"/>
          <w:caps w:val="false"/>
          <w:smallCaps w:val="false"/>
          <w:color w:val="auto"/>
          <w:spacing w:val="0"/>
          <w:sz w:val="24"/>
          <w:szCs w:val="24"/>
          <w:lang w:val="en-GB"/>
        </w:rPr>
        <w:t> of knowledge. If learners only use course books, and endless intensive reading books, they will not be able to pick up their </w:t>
      </w:r>
      <w:r>
        <w:rPr>
          <w:rFonts w:ascii="Liberation Serif" w:hAnsi="Liberation Serif"/>
          <w:b w:val="false"/>
          <w:i/>
          <w:caps w:val="false"/>
          <w:smallCaps w:val="false"/>
          <w:color w:val="auto"/>
          <w:spacing w:val="0"/>
          <w:sz w:val="24"/>
          <w:szCs w:val="24"/>
          <w:lang w:val="en-GB"/>
        </w:rPr>
        <w:t>own</w:t>
      </w:r>
      <w:r>
        <w:rPr>
          <w:rFonts w:ascii="Liberation Serif" w:hAnsi="Liberation Serif"/>
          <w:b w:val="false"/>
          <w:i w:val="false"/>
          <w:caps w:val="false"/>
          <w:smallCaps w:val="false"/>
          <w:color w:val="auto"/>
          <w:spacing w:val="0"/>
          <w:sz w:val="24"/>
          <w:szCs w:val="24"/>
          <w:lang w:val="en-GB"/>
        </w:rPr>
        <w:t> sense of how the language works until very late in their careers (i.e. until they have met the language enough times).</w:t>
      </w:r>
    </w:p>
    <w:p>
      <w:pPr>
        <w:pStyle w:val="TextBody"/>
        <w:widowControl/>
        <w:bidi w:val="0"/>
        <w:spacing w:lineRule="auto" w:line="360" w:before="57" w:after="197"/>
        <w:ind w:left="0" w:right="0" w:hanging="0"/>
        <w:jc w:val="left"/>
        <w:rPr>
          <w:rFonts w:ascii="Liberation Serif" w:hAnsi="Liberation Serif"/>
          <w:b w:val="false"/>
          <w:i w:val="false"/>
          <w:caps w:val="false"/>
          <w:smallCaps w:val="false"/>
          <w:color w:val="auto"/>
          <w:spacing w:val="0"/>
          <w:sz w:val="24"/>
          <w:szCs w:val="24"/>
        </w:rPr>
      </w:pPr>
      <w:r>
        <w:rPr>
          <w:rFonts w:ascii="Liberation Serif" w:hAnsi="Liberation Serif"/>
          <w:b w:val="false"/>
          <w:i w:val="false"/>
          <w:caps w:val="false"/>
          <w:smallCaps w:val="false"/>
          <w:color w:val="auto"/>
          <w:spacing w:val="0"/>
          <w:sz w:val="24"/>
          <w:szCs w:val="24"/>
          <w:lang w:val="en-GB"/>
        </w:rPr>
        <w:t>This, we can suspect, is one of the reasons teachers and learners alike complain that even after several years of English education, many learners cannot make even simple sentences even though they can get 100% on grammar and reading tests but can hardly say a word in anything other than faltering English. The reason for this should now be clear. Simply put, they did not meet enough language to fully learn what they were been taught. Their knowledge is abstract, and stays abstract, because it was taught abstractly because the course books and courses tend to break down the language into teachable units. This atomistic knowledge is useful for tests of discrete knowledge (e.g. selecting a tense from choices or completing gap fills) because this knowledge was learn</w:t>
      </w:r>
      <w:r>
        <w:rPr>
          <w:rFonts w:ascii="Liberation Serif" w:hAnsi="Liberation Serif"/>
          <w:b w:val="false"/>
          <w:i w:val="false"/>
          <w:caps w:val="false"/>
          <w:smallCaps w:val="false"/>
          <w:color w:val="auto"/>
          <w:spacing w:val="0"/>
          <w:sz w:val="24"/>
          <w:szCs w:val="24"/>
        </w:rPr>
        <w:t>t </w:t>
      </w:r>
      <w:r>
        <w:rPr>
          <w:rFonts w:ascii="Liberation Serif" w:hAnsi="Liberation Serif"/>
          <w:b w:val="false"/>
          <w:i w:val="false"/>
          <w:caps w:val="false"/>
          <w:smallCaps w:val="false"/>
          <w:color w:val="auto"/>
          <w:spacing w:val="0"/>
          <w:sz w:val="24"/>
          <w:szCs w:val="24"/>
          <w:lang w:val="en-GB"/>
        </w:rPr>
        <w:t>discretely, which allows them to do well on discrete point tests. However, because their knowledge is held discretely, it is no wonder when the learners are called upon to use it in speaking or writing they don’t know how to put their discrete knowledge together fluently. The endless drudgery emphasizing only abstract knowledge for tests, at the expense of language use, compounds this problem.</w:t>
      </w:r>
    </w:p>
    <w:p>
      <w:pPr>
        <w:pStyle w:val="Heading3"/>
        <w:bidi w:val="0"/>
        <w:spacing w:lineRule="auto" w:line="360"/>
        <w:jc w:val="left"/>
        <w:rPr>
          <w:rFonts w:ascii="Liberation Serif" w:hAnsi="Liberation Serif"/>
        </w:rPr>
      </w:pPr>
      <w:r>
        <w:rPr>
          <w:rFonts w:ascii="Liberation Serif" w:hAnsi="Liberation Serif"/>
        </w:rPr>
        <w:t>4. The NEED for extensive reading and listening</w:t>
      </w:r>
    </w:p>
    <w:p>
      <w:pPr>
        <w:pStyle w:val="TextBody"/>
        <w:widowControl/>
        <w:bidi w:val="0"/>
        <w:spacing w:lineRule="auto" w:line="360"/>
        <w:ind w:left="0" w:right="0" w:hanging="0"/>
        <w:jc w:val="left"/>
        <w:rPr>
          <w:rFonts w:ascii="Liberation Serif" w:hAnsi="Liberation Serif"/>
          <w:b w:val="false"/>
          <w:i w:val="false"/>
          <w:caps w:val="false"/>
          <w:smallCaps w:val="false"/>
          <w:color w:val="auto"/>
          <w:spacing w:val="0"/>
          <w:sz w:val="24"/>
          <w:szCs w:val="24"/>
        </w:rPr>
      </w:pPr>
      <w:r>
        <w:rPr>
          <w:rFonts w:ascii="Liberation Serif" w:hAnsi="Liberation Serif"/>
          <w:b w:val="false"/>
          <w:i w:val="false"/>
          <w:caps w:val="false"/>
          <w:smallCaps w:val="false"/>
          <w:color w:val="auto"/>
          <w:spacing w:val="0"/>
          <w:sz w:val="24"/>
          <w:szCs w:val="24"/>
          <w:lang w:val="en-GB"/>
        </w:rPr>
        <w:t>So, how are the learners going to deepen their knowledge if they do not have time to learn these things </w:t>
      </w:r>
      <w:r>
        <w:rPr>
          <w:rFonts w:ascii="Liberation Serif" w:hAnsi="Liberation Serif"/>
          <w:b w:val="false"/>
          <w:i w:val="false"/>
          <w:caps w:val="false"/>
          <w:smallCaps w:val="false"/>
          <w:color w:val="auto"/>
          <w:spacing w:val="0"/>
          <w:sz w:val="24"/>
          <w:szCs w:val="24"/>
        </w:rPr>
        <w:t>intentionally</w:t>
      </w:r>
      <w:r>
        <w:rPr>
          <w:rFonts w:ascii="Liberation Serif" w:hAnsi="Liberation Serif"/>
          <w:b w:val="false"/>
          <w:i w:val="false"/>
          <w:caps w:val="false"/>
          <w:smallCaps w:val="false"/>
          <w:color w:val="auto"/>
          <w:spacing w:val="0"/>
          <w:sz w:val="24"/>
          <w:szCs w:val="24"/>
          <w:lang w:val="en-GB"/>
        </w:rPr>
        <w:t>, and our course books do not re-visit the features / words they teach? Where is the recycling of language we need for </w:t>
      </w:r>
      <w:r>
        <w:rPr>
          <w:rFonts w:ascii="Liberation Serif" w:hAnsi="Liberation Serif"/>
          <w:b w:val="false"/>
          <w:i/>
          <w:caps w:val="false"/>
          <w:smallCaps w:val="false"/>
          <w:color w:val="auto"/>
          <w:spacing w:val="0"/>
          <w:sz w:val="24"/>
          <w:szCs w:val="24"/>
          <w:lang w:val="en-GB"/>
        </w:rPr>
        <w:t>real</w:t>
      </w:r>
      <w:r>
        <w:rPr>
          <w:rFonts w:ascii="Liberation Serif" w:hAnsi="Liberation Serif"/>
          <w:b w:val="false"/>
          <w:i w:val="false"/>
          <w:caps w:val="false"/>
          <w:smallCaps w:val="false"/>
          <w:color w:val="auto"/>
          <w:spacing w:val="0"/>
          <w:sz w:val="24"/>
          <w:szCs w:val="24"/>
          <w:lang w:val="en-GB"/>
        </w:rPr>
        <w:t> learning? The answer lies with graded or extensive reading used </w:t>
      </w:r>
      <w:r>
        <w:rPr>
          <w:rFonts w:ascii="Liberation Serif" w:hAnsi="Liberation Serif"/>
          <w:b w:val="false"/>
          <w:i/>
          <w:caps w:val="false"/>
          <w:smallCaps w:val="false"/>
          <w:color w:val="auto"/>
          <w:spacing w:val="0"/>
          <w:sz w:val="24"/>
          <w:szCs w:val="24"/>
          <w:lang w:val="en-GB"/>
        </w:rPr>
        <w:t>in tandem with</w:t>
      </w:r>
      <w:r>
        <w:rPr>
          <w:rFonts w:ascii="Liberation Serif" w:hAnsi="Liberation Serif"/>
          <w:b w:val="false"/>
          <w:i w:val="false"/>
          <w:caps w:val="false"/>
          <w:smallCaps w:val="false"/>
          <w:color w:val="auto"/>
          <w:spacing w:val="0"/>
          <w:sz w:val="24"/>
          <w:szCs w:val="24"/>
          <w:lang w:val="en-GB"/>
        </w:rPr>
        <w:t> a taught course such as the course book shown above. The two must work together. The course book would introduce and give minimal practice in the language features and vocabulary while the </w:t>
      </w:r>
      <w:r>
        <w:rPr>
          <w:rFonts w:ascii="Liberation Serif" w:hAnsi="Liberation Serif"/>
          <w:b w:val="false"/>
          <w:i w:val="false"/>
          <w:caps w:val="false"/>
          <w:smallCaps w:val="false"/>
          <w:color w:val="auto"/>
          <w:spacing w:val="0"/>
          <w:sz w:val="24"/>
          <w:szCs w:val="24"/>
        </w:rPr>
        <w:t>reading of </w:t>
      </w:r>
      <w:r>
        <w:rPr>
          <w:rFonts w:ascii="Liberation Serif" w:hAnsi="Liberation Serif"/>
          <w:b w:val="false"/>
          <w:i w:val="false"/>
          <w:caps w:val="false"/>
          <w:smallCaps w:val="false"/>
          <w:color w:val="auto"/>
          <w:spacing w:val="0"/>
          <w:sz w:val="24"/>
          <w:szCs w:val="24"/>
          <w:lang w:val="en-GB"/>
        </w:rPr>
        <w:t>graded readers consolidate, strengthen and deepen that knowledge.</w:t>
      </w:r>
    </w:p>
    <w:p>
      <w:pPr>
        <w:pStyle w:val="TextBody"/>
        <w:widowControl/>
        <w:bidi w:val="0"/>
        <w:spacing w:lineRule="auto" w:line="360"/>
        <w:ind w:left="0" w:right="0" w:hanging="0"/>
        <w:jc w:val="left"/>
        <w:rPr>
          <w:rFonts w:ascii="Liberation Serif" w:hAnsi="Liberation Serif"/>
          <w:b w:val="false"/>
          <w:i w:val="false"/>
          <w:caps w:val="false"/>
          <w:smallCaps w:val="false"/>
          <w:color w:val="auto"/>
          <w:spacing w:val="0"/>
          <w:sz w:val="24"/>
          <w:szCs w:val="24"/>
        </w:rPr>
      </w:pPr>
      <w:r>
        <w:rPr>
          <w:rFonts w:ascii="Liberation Serif" w:hAnsi="Liberation Serif"/>
          <w:b w:val="false"/>
          <w:i w:val="false"/>
          <w:caps w:val="false"/>
          <w:smallCaps w:val="false"/>
          <w:color w:val="auto"/>
          <w:spacing w:val="0"/>
          <w:sz w:val="24"/>
          <w:szCs w:val="24"/>
          <w:lang w:val="en-GB"/>
        </w:rPr>
        <w:t>Graded reading, extensive reading and listening focus on several things. Most importantly, extensive reading (and listening) are primarily about </w:t>
      </w:r>
      <w:r>
        <w:rPr>
          <w:rFonts w:ascii="Liberation Serif" w:hAnsi="Liberation Serif"/>
          <w:b w:val="false"/>
          <w:i/>
          <w:caps w:val="false"/>
          <w:smallCaps w:val="false"/>
          <w:color w:val="auto"/>
          <w:spacing w:val="0"/>
          <w:sz w:val="24"/>
          <w:szCs w:val="24"/>
          <w:lang w:val="en-GB"/>
        </w:rPr>
        <w:t>meaning</w:t>
      </w:r>
      <w:r>
        <w:rPr>
          <w:rFonts w:ascii="Liberation Serif" w:hAnsi="Liberation Serif"/>
          <w:b w:val="false"/>
          <w:i w:val="false"/>
          <w:caps w:val="false"/>
          <w:smallCaps w:val="false"/>
          <w:color w:val="auto"/>
          <w:spacing w:val="0"/>
          <w:sz w:val="24"/>
          <w:szCs w:val="24"/>
          <w:lang w:val="en-GB"/>
        </w:rPr>
        <w:t>. The aim is to </w:t>
      </w:r>
      <w:r>
        <w:rPr>
          <w:rFonts w:ascii="Liberation Serif" w:hAnsi="Liberation Serif"/>
          <w:b w:val="false"/>
          <w:i/>
          <w:caps w:val="false"/>
          <w:smallCaps w:val="false"/>
          <w:color w:val="auto"/>
          <w:spacing w:val="0"/>
          <w:sz w:val="24"/>
          <w:szCs w:val="24"/>
          <w:lang w:val="en-GB"/>
        </w:rPr>
        <w:t>fluently </w:t>
      </w:r>
      <w:r>
        <w:rPr>
          <w:rFonts w:ascii="Liberation Serif" w:hAnsi="Liberation Serif"/>
          <w:b w:val="false"/>
          <w:i w:val="false"/>
          <w:caps w:val="false"/>
          <w:smallCaps w:val="false"/>
          <w:color w:val="auto"/>
          <w:spacing w:val="0"/>
          <w:sz w:val="24"/>
          <w:szCs w:val="24"/>
          <w:lang w:val="en-GB"/>
        </w:rPr>
        <w:t>read, or listen to, massive amounts of comprehensible language within one’s comfort zone with an aim being to build fluency while consolidating language knowledge. Reading fluently means reading quickly for meaning and provides opportunities to notice and pick up more depth of knowledge about language features that the course books can only introduce. Importantly, if the reading text is too hard (less than about 98% knowledge of the surrounding unknown words), then their fluent reading will be interrupted and their chance for meeting a lot of language will be reduced as they have to return to more intensive language study to work on the unknown language. It’s only by reading fast can they meet a lot of language. Reading 200-300 </w:t>
      </w:r>
      <w:r>
        <w:rPr>
          <w:rFonts w:ascii="Liberation Serif" w:hAnsi="Liberation Serif"/>
          <w:b w:val="false"/>
          <w:i w:val="false"/>
          <w:caps w:val="false"/>
          <w:smallCaps w:val="false"/>
          <w:color w:val="auto"/>
          <w:spacing w:val="0"/>
          <w:sz w:val="24"/>
          <w:szCs w:val="24"/>
        </w:rPr>
        <w:t>running </w:t>
      </w:r>
      <w:r>
        <w:rPr>
          <w:rFonts w:ascii="Liberation Serif" w:hAnsi="Liberation Serif"/>
          <w:b w:val="false"/>
          <w:i w:val="false"/>
          <w:caps w:val="false"/>
          <w:smallCaps w:val="false"/>
          <w:color w:val="auto"/>
          <w:spacing w:val="0"/>
          <w:sz w:val="24"/>
          <w:szCs w:val="24"/>
          <w:lang w:val="en-GB"/>
        </w:rPr>
        <w:t>words slowly and intensively </w:t>
      </w:r>
      <w:r>
        <w:rPr>
          <w:rFonts w:ascii="Liberation Serif" w:hAnsi="Liberation Serif"/>
          <w:b w:val="false"/>
          <w:i w:val="false"/>
          <w:caps w:val="false"/>
          <w:smallCaps w:val="false"/>
          <w:color w:val="auto"/>
          <w:spacing w:val="0"/>
          <w:sz w:val="24"/>
          <w:szCs w:val="24"/>
        </w:rPr>
        <w:t>from </w:t>
      </w:r>
      <w:r>
        <w:rPr>
          <w:rFonts w:ascii="Liberation Serif" w:hAnsi="Liberation Serif"/>
          <w:b w:val="false"/>
          <w:i w:val="false"/>
          <w:caps w:val="false"/>
          <w:smallCaps w:val="false"/>
          <w:color w:val="auto"/>
          <w:spacing w:val="0"/>
          <w:sz w:val="24"/>
          <w:szCs w:val="24"/>
          <w:lang w:val="en-GB"/>
        </w:rPr>
        <w:t>a reading text in one 90 minute class is not going to build reading speed. Thus the</w:t>
      </w:r>
      <w:r>
        <w:rPr>
          <w:rFonts w:ascii="Liberation Serif" w:hAnsi="Liberation Serif"/>
          <w:b w:val="false"/>
          <w:i w:val="false"/>
          <w:caps w:val="false"/>
          <w:smallCaps w:val="false"/>
          <w:color w:val="auto"/>
          <w:spacing w:val="0"/>
          <w:sz w:val="24"/>
          <w:szCs w:val="24"/>
        </w:rPr>
        <w:t> learners </w:t>
      </w:r>
      <w:r>
        <w:rPr>
          <w:rFonts w:ascii="Liberation Serif" w:hAnsi="Liberation Serif"/>
          <w:b w:val="false"/>
          <w:i w:val="false"/>
          <w:caps w:val="false"/>
          <w:smallCaps w:val="false"/>
          <w:color w:val="auto"/>
          <w:spacing w:val="0"/>
          <w:sz w:val="24"/>
          <w:szCs w:val="24"/>
          <w:lang w:val="en-GB"/>
        </w:rPr>
        <w:t>will not be able to meet enough language input to meet and pick up new words or collocations from context.</w:t>
      </w:r>
    </w:p>
    <w:p>
      <w:pPr>
        <w:pStyle w:val="TextBody"/>
        <w:widowControl/>
        <w:bidi w:val="0"/>
        <w:spacing w:lineRule="auto" w:line="360"/>
        <w:ind w:left="0" w:right="0" w:hanging="0"/>
        <w:jc w:val="left"/>
        <w:rPr>
          <w:rFonts w:ascii="Liberation Serif" w:hAnsi="Liberation Serif"/>
          <w:b w:val="false"/>
          <w:i w:val="false"/>
          <w:caps w:val="false"/>
          <w:smallCaps w:val="false"/>
          <w:color w:val="auto"/>
          <w:spacing w:val="0"/>
          <w:sz w:val="24"/>
          <w:szCs w:val="24"/>
          <w:lang w:val="en-GB"/>
        </w:rPr>
      </w:pPr>
      <w:r>
        <w:rPr>
          <w:rFonts w:ascii="Liberation Serif" w:hAnsi="Liberation Serif"/>
          <w:b w:val="false"/>
          <w:i w:val="false"/>
          <w:caps w:val="false"/>
          <w:smallCaps w:val="false"/>
          <w:color w:val="auto"/>
          <w:spacing w:val="0"/>
          <w:sz w:val="24"/>
          <w:szCs w:val="24"/>
          <w:lang w:val="en-GB"/>
        </w:rPr>
        <w:t>Therefore, it is </w:t>
      </w:r>
      <w:r>
        <w:rPr>
          <w:rFonts w:ascii="Liberation Serif" w:hAnsi="Liberation Serif"/>
          <w:b w:val="false"/>
          <w:i/>
          <w:caps w:val="false"/>
          <w:smallCaps w:val="false"/>
          <w:color w:val="auto"/>
          <w:spacing w:val="0"/>
          <w:sz w:val="24"/>
          <w:szCs w:val="24"/>
          <w:lang w:val="en-GB"/>
        </w:rPr>
        <w:t>vital</w:t>
      </w:r>
      <w:r>
        <w:rPr>
          <w:rFonts w:ascii="Liberation Serif" w:hAnsi="Liberation Serif"/>
          <w:b w:val="false"/>
          <w:i w:val="false"/>
          <w:caps w:val="false"/>
          <w:smallCaps w:val="false"/>
          <w:color w:val="auto"/>
          <w:spacing w:val="0"/>
          <w:sz w:val="24"/>
          <w:szCs w:val="24"/>
          <w:lang w:val="en-GB"/>
        </w:rPr>
        <w:t> that when they are learning to </w:t>
      </w:r>
      <w:r>
        <w:rPr>
          <w:rFonts w:ascii="Liberation Serif" w:hAnsi="Liberation Serif"/>
          <w:b w:val="false"/>
          <w:i/>
          <w:caps w:val="false"/>
          <w:smallCaps w:val="false"/>
          <w:color w:val="auto"/>
          <w:spacing w:val="0"/>
          <w:sz w:val="24"/>
          <w:szCs w:val="24"/>
          <w:lang w:val="en-GB"/>
        </w:rPr>
        <w:t>use</w:t>
      </w:r>
      <w:r>
        <w:rPr>
          <w:rFonts w:ascii="Liberation Serif" w:hAnsi="Liberation Serif"/>
          <w:b w:val="false"/>
          <w:i w:val="false"/>
          <w:caps w:val="false"/>
          <w:smallCaps w:val="false"/>
          <w:color w:val="auto"/>
          <w:spacing w:val="0"/>
          <w:sz w:val="24"/>
          <w:szCs w:val="24"/>
          <w:lang w:val="en-GB"/>
        </w:rPr>
        <w:t> language fluently that they read fluently and smoothly with minimal interruption and at the </w:t>
      </w:r>
      <w:r>
        <w:rPr>
          <w:rFonts w:ascii="Liberation Serif" w:hAnsi="Liberation Serif"/>
          <w:b w:val="false"/>
          <w:i/>
          <w:caps w:val="false"/>
          <w:smallCaps w:val="false"/>
          <w:color w:val="auto"/>
          <w:spacing w:val="0"/>
          <w:sz w:val="24"/>
          <w:szCs w:val="24"/>
          <w:lang w:val="en-GB"/>
        </w:rPr>
        <w:t>right level</w:t>
      </w:r>
      <w:r>
        <w:rPr>
          <w:rFonts w:ascii="Liberation Serif" w:hAnsi="Liberation Serif"/>
          <w:b w:val="false"/>
          <w:i w:val="false"/>
          <w:caps w:val="false"/>
          <w:smallCaps w:val="false"/>
          <w:color w:val="auto"/>
          <w:spacing w:val="0"/>
          <w:sz w:val="24"/>
          <w:szCs w:val="24"/>
          <w:lang w:val="en-GB"/>
        </w:rPr>
        <w:t>. When they are </w:t>
      </w:r>
      <w:r>
        <w:rPr>
          <w:rFonts w:ascii="Liberation Serif" w:hAnsi="Liberation Serif"/>
          <w:b w:val="false"/>
          <w:i/>
          <w:caps w:val="false"/>
          <w:smallCaps w:val="false"/>
          <w:color w:val="auto"/>
          <w:spacing w:val="0"/>
          <w:sz w:val="24"/>
          <w:szCs w:val="24"/>
          <w:lang w:val="en-GB"/>
        </w:rPr>
        <w:t>studying</w:t>
      </w:r>
      <w:r>
        <w:rPr>
          <w:rFonts w:ascii="Liberation Serif" w:hAnsi="Liberation Serif"/>
          <w:b w:val="false"/>
          <w:i w:val="false"/>
          <w:caps w:val="false"/>
          <w:smallCaps w:val="false"/>
          <w:color w:val="auto"/>
          <w:spacing w:val="0"/>
          <w:sz w:val="24"/>
          <w:szCs w:val="24"/>
          <w:lang w:val="en-GB"/>
        </w:rPr>
        <w:t> language (such as that done in course books and grammar books) the text can be more difficult in order that they learn or re-visit previously taught language.  Very often in language programs teachers mistakenly use native materials with the intention of exposing the learner to “authentic” texts. This is fine if, and this is a </w:t>
      </w:r>
      <w:r>
        <w:rPr>
          <w:rFonts w:ascii="Liberation Serif" w:hAnsi="Liberation Serif"/>
          <w:b w:val="false"/>
          <w:i/>
          <w:caps w:val="false"/>
          <w:smallCaps w:val="false"/>
          <w:color w:val="auto"/>
          <w:spacing w:val="0"/>
          <w:sz w:val="24"/>
          <w:szCs w:val="24"/>
          <w:lang w:val="en-GB"/>
        </w:rPr>
        <w:t>huge</w:t>
      </w:r>
      <w:r>
        <w:rPr>
          <w:rFonts w:ascii="Liberation Serif" w:hAnsi="Liberation Serif"/>
          <w:b w:val="false"/>
          <w:i w:val="false"/>
          <w:caps w:val="false"/>
          <w:smallCaps w:val="false"/>
          <w:color w:val="auto"/>
          <w:spacing w:val="0"/>
          <w:sz w:val="24"/>
          <w:szCs w:val="24"/>
          <w:lang w:val="en-GB"/>
        </w:rPr>
        <w:t> if, </w:t>
      </w:r>
      <w:r>
        <w:rPr>
          <w:rFonts w:ascii="Liberation Serif" w:hAnsi="Liberation Serif"/>
          <w:b w:val="false"/>
          <w:i/>
          <w:caps w:val="false"/>
          <w:smallCaps w:val="false"/>
          <w:color w:val="auto"/>
          <w:spacing w:val="0"/>
          <w:sz w:val="24"/>
          <w:szCs w:val="24"/>
          <w:lang w:val="en-GB"/>
        </w:rPr>
        <w:t>if the learner can deal with it</w:t>
      </w:r>
      <w:r>
        <w:rPr>
          <w:rFonts w:ascii="Liberation Serif" w:hAnsi="Liberation Serif"/>
          <w:b w:val="false"/>
          <w:i w:val="false"/>
          <w:caps w:val="false"/>
          <w:smallCaps w:val="false"/>
          <w:color w:val="auto"/>
          <w:spacing w:val="0"/>
          <w:sz w:val="24"/>
          <w:szCs w:val="24"/>
          <w:lang w:val="en-GB"/>
        </w:rPr>
        <w:t>. If not, then the text is noise and frustrational (for the teacher and learner) and not is not instructional (from a linguistic point of view) but will be interfering with instruction and is unlikely to help build reading speed.</w:t>
      </w:r>
    </w:p>
    <w:p>
      <w:pPr>
        <w:pStyle w:val="TextBody"/>
        <w:widowControl/>
        <w:bidi w:val="0"/>
        <w:spacing w:lineRule="auto" w:line="360"/>
        <w:ind w:left="0" w:right="0" w:hanging="0"/>
        <w:jc w:val="left"/>
        <w:rPr>
          <w:rFonts w:ascii="Liberation Serif" w:hAnsi="Liberation Serif"/>
          <w:b w:val="false"/>
          <w:i w:val="false"/>
          <w:caps w:val="false"/>
          <w:smallCaps w:val="false"/>
          <w:color w:val="auto"/>
          <w:spacing w:val="0"/>
          <w:sz w:val="24"/>
          <w:szCs w:val="24"/>
        </w:rPr>
      </w:pPr>
      <w:r>
        <w:rPr>
          <w:rFonts w:ascii="Liberation Serif" w:hAnsi="Liberation Serif"/>
          <w:b w:val="false"/>
          <w:i w:val="false"/>
          <w:caps w:val="false"/>
          <w:smallCaps w:val="false"/>
          <w:color w:val="auto"/>
          <w:spacing w:val="0"/>
          <w:sz w:val="24"/>
          <w:szCs w:val="24"/>
          <w:lang w:val="en-GB"/>
        </w:rPr>
        <w:t>Probably most important benefit of being exposed to massive amounts of text is the opportunity it gives the learner to </w:t>
      </w:r>
      <w:r>
        <w:rPr>
          <w:rFonts w:ascii="Liberation Serif" w:hAnsi="Liberation Serif"/>
          <w:b w:val="false"/>
          <w:i/>
          <w:caps w:val="false"/>
          <w:smallCaps w:val="false"/>
          <w:color w:val="auto"/>
          <w:spacing w:val="0"/>
          <w:sz w:val="24"/>
          <w:szCs w:val="24"/>
          <w:lang w:val="en-GB"/>
        </w:rPr>
        <w:t>consolidate</w:t>
      </w:r>
      <w:r>
        <w:rPr>
          <w:rFonts w:ascii="Liberation Serif" w:hAnsi="Liberation Serif"/>
          <w:b w:val="false"/>
          <w:i w:val="false"/>
          <w:caps w:val="false"/>
          <w:smallCaps w:val="false"/>
          <w:color w:val="auto"/>
          <w:spacing w:val="0"/>
          <w:sz w:val="24"/>
          <w:szCs w:val="24"/>
          <w:lang w:val="en-GB"/>
        </w:rPr>
        <w:t> the language that was learnt discretely and abstractly in the “studying about” phases. Our course books and studying language in general, </w:t>
      </w:r>
      <w:r>
        <w:rPr>
          <w:rFonts w:ascii="Liberation Serif" w:hAnsi="Liberation Serif"/>
          <w:b w:val="false"/>
          <w:i/>
          <w:caps w:val="false"/>
          <w:smallCaps w:val="false"/>
          <w:color w:val="auto"/>
          <w:spacing w:val="0"/>
          <w:sz w:val="24"/>
          <w:szCs w:val="24"/>
          <w:lang w:val="en-GB"/>
        </w:rPr>
        <w:t>necessarily</w:t>
      </w:r>
      <w:r>
        <w:rPr>
          <w:rFonts w:ascii="Liberation Serif" w:hAnsi="Liberation Serif"/>
          <w:b w:val="false"/>
          <w:i w:val="false"/>
          <w:caps w:val="false"/>
          <w:smallCaps w:val="false"/>
          <w:color w:val="auto"/>
          <w:spacing w:val="0"/>
          <w:sz w:val="24"/>
          <w:szCs w:val="24"/>
          <w:lang w:val="en-GB"/>
        </w:rPr>
        <w:t> remove the item being studied from its context so the learners can examine it. The aim of this type of work is most often to control the language features to make them “teachable”. In other words, course books tend to be structured to present language, not to work with </w:t>
      </w:r>
      <w:r>
        <w:rPr>
          <w:rFonts w:ascii="Liberation Serif" w:hAnsi="Liberation Serif"/>
          <w:b w:val="false"/>
          <w:i/>
          <w:caps w:val="false"/>
          <w:smallCaps w:val="false"/>
          <w:color w:val="auto"/>
          <w:spacing w:val="0"/>
          <w:sz w:val="24"/>
          <w:szCs w:val="24"/>
          <w:lang w:val="en-GB"/>
        </w:rPr>
        <w:t>communicative meaning</w:t>
      </w:r>
      <w:r>
        <w:rPr>
          <w:rFonts w:ascii="Liberation Serif" w:hAnsi="Liberation Serif"/>
          <w:b w:val="false"/>
          <w:i w:val="false"/>
          <w:caps w:val="false"/>
          <w:smallCaps w:val="false"/>
          <w:color w:val="auto"/>
          <w:spacing w:val="0"/>
          <w:sz w:val="24"/>
          <w:szCs w:val="24"/>
          <w:lang w:val="en-GB"/>
        </w:rPr>
        <w:t>, but to help learners </w:t>
      </w:r>
      <w:r>
        <w:rPr>
          <w:rFonts w:ascii="Liberation Serif" w:hAnsi="Liberation Serif"/>
          <w:b w:val="false"/>
          <w:i/>
          <w:caps w:val="false"/>
          <w:smallCaps w:val="false"/>
          <w:color w:val="auto"/>
          <w:spacing w:val="0"/>
          <w:sz w:val="24"/>
          <w:szCs w:val="24"/>
          <w:lang w:val="en-GB"/>
        </w:rPr>
        <w:t>understand </w:t>
      </w:r>
      <w:r>
        <w:rPr>
          <w:rFonts w:ascii="Liberation Serif" w:hAnsi="Liberation Serif"/>
          <w:b w:val="false"/>
          <w:i w:val="false"/>
          <w:caps w:val="false"/>
          <w:smallCaps w:val="false"/>
          <w:color w:val="auto"/>
          <w:spacing w:val="0"/>
          <w:sz w:val="24"/>
          <w:szCs w:val="24"/>
          <w:lang w:val="en-GB"/>
        </w:rPr>
        <w:t>and get </w:t>
      </w:r>
      <w:r>
        <w:rPr>
          <w:rFonts w:ascii="Liberation Serif" w:hAnsi="Liberation Serif"/>
          <w:b w:val="false"/>
          <w:i/>
          <w:caps w:val="false"/>
          <w:smallCaps w:val="false"/>
          <w:color w:val="auto"/>
          <w:spacing w:val="0"/>
          <w:sz w:val="24"/>
          <w:szCs w:val="24"/>
          <w:lang w:val="en-GB"/>
        </w:rPr>
        <w:t>control </w:t>
      </w:r>
      <w:r>
        <w:rPr>
          <w:rFonts w:ascii="Liberation Serif" w:hAnsi="Liberation Serif"/>
          <w:b w:val="false"/>
          <w:i w:val="false"/>
          <w:caps w:val="false"/>
          <w:smallCaps w:val="false"/>
          <w:color w:val="auto"/>
          <w:spacing w:val="0"/>
          <w:sz w:val="24"/>
          <w:szCs w:val="24"/>
          <w:lang w:val="en-GB"/>
        </w:rPr>
        <w:t>over language form and use in an abstract sense. But this knowledge is </w:t>
      </w:r>
      <w:r>
        <w:rPr>
          <w:rFonts w:ascii="Liberation Serif" w:hAnsi="Liberation Serif"/>
          <w:b w:val="false"/>
          <w:i/>
          <w:caps w:val="false"/>
          <w:smallCaps w:val="false"/>
          <w:color w:val="auto"/>
          <w:spacing w:val="0"/>
          <w:sz w:val="24"/>
          <w:szCs w:val="24"/>
          <w:lang w:val="en-GB"/>
        </w:rPr>
        <w:t>about </w:t>
      </w:r>
      <w:r>
        <w:rPr>
          <w:rFonts w:ascii="Liberation Serif" w:hAnsi="Liberation Serif"/>
          <w:b w:val="false"/>
          <w:i w:val="false"/>
          <w:caps w:val="false"/>
          <w:smallCaps w:val="false"/>
          <w:color w:val="auto"/>
          <w:spacing w:val="0"/>
          <w:sz w:val="24"/>
          <w:szCs w:val="24"/>
          <w:lang w:val="en-GB"/>
        </w:rPr>
        <w:t>that item and is studied apart from other language items and any knowledge gained exists in a vacuum of knowledge. Therefore, it is largely unavailable for production in anything but a limited way</w:t>
      </w:r>
      <w:r>
        <w:rPr>
          <w:rFonts w:ascii="Liberation Serif" w:hAnsi="Liberation Serif"/>
          <w:b w:val="false"/>
          <w:i w:val="false"/>
          <w:caps w:val="false"/>
          <w:smallCaps w:val="false"/>
          <w:color w:val="auto"/>
          <w:spacing w:val="0"/>
          <w:sz w:val="24"/>
          <w:szCs w:val="24"/>
        </w:rPr>
        <w:t>, </w:t>
      </w:r>
      <w:r>
        <w:rPr>
          <w:rFonts w:ascii="Liberation Serif" w:hAnsi="Liberation Serif"/>
          <w:b w:val="false"/>
          <w:i w:val="false"/>
          <w:caps w:val="false"/>
          <w:smallCaps w:val="false"/>
          <w:color w:val="auto"/>
          <w:spacing w:val="0"/>
          <w:sz w:val="24"/>
          <w:szCs w:val="24"/>
          <w:lang w:val="en-GB"/>
        </w:rPr>
        <w:t>as we have seen.</w:t>
      </w:r>
    </w:p>
    <w:p>
      <w:pPr>
        <w:pStyle w:val="TextBody"/>
        <w:widowControl/>
        <w:bidi w:val="0"/>
        <w:spacing w:lineRule="auto" w:line="360"/>
        <w:ind w:left="0" w:right="0" w:hanging="0"/>
        <w:jc w:val="left"/>
        <w:rPr>
          <w:rFonts w:ascii="Liberation Serif" w:hAnsi="Liberation Serif"/>
          <w:b w:val="false"/>
          <w:i w:val="false"/>
          <w:caps w:val="false"/>
          <w:smallCaps w:val="false"/>
          <w:color w:val="auto"/>
          <w:spacing w:val="0"/>
          <w:sz w:val="24"/>
          <w:szCs w:val="24"/>
          <w:lang w:val="en-GB"/>
        </w:rPr>
      </w:pPr>
      <w:r>
        <w:rPr>
          <w:rFonts w:ascii="Liberation Serif" w:hAnsi="Liberation Serif"/>
          <w:b w:val="false"/>
          <w:i w:val="false"/>
          <w:caps w:val="false"/>
          <w:smallCaps w:val="false"/>
          <w:color w:val="auto"/>
          <w:spacing w:val="0"/>
          <w:sz w:val="24"/>
          <w:szCs w:val="24"/>
          <w:lang w:val="en-GB"/>
        </w:rPr>
        <w:t>Therefore to gain fluent control over the language, the learners also must meet these items in real contexts to see how they work </w:t>
      </w:r>
      <w:r>
        <w:rPr>
          <w:rFonts w:ascii="Liberation Serif" w:hAnsi="Liberation Serif"/>
          <w:b w:val="false"/>
          <w:i/>
          <w:caps w:val="false"/>
          <w:smallCaps w:val="false"/>
          <w:color w:val="auto"/>
          <w:spacing w:val="0"/>
          <w:sz w:val="24"/>
          <w:szCs w:val="24"/>
          <w:lang w:val="en-GB"/>
        </w:rPr>
        <w:t>together</w:t>
      </w:r>
      <w:r>
        <w:rPr>
          <w:rFonts w:ascii="Liberation Serif" w:hAnsi="Liberation Serif"/>
          <w:b w:val="false"/>
          <w:i w:val="false"/>
          <w:caps w:val="false"/>
          <w:smallCaps w:val="false"/>
          <w:color w:val="auto"/>
          <w:spacing w:val="0"/>
          <w:sz w:val="24"/>
          <w:szCs w:val="24"/>
          <w:lang w:val="en-GB"/>
        </w:rPr>
        <w:t>, to see how they fit </w:t>
      </w:r>
      <w:r>
        <w:rPr>
          <w:rFonts w:ascii="Liberation Serif" w:hAnsi="Liberation Serif"/>
          <w:b w:val="false"/>
          <w:i/>
          <w:caps w:val="false"/>
          <w:smallCaps w:val="false"/>
          <w:color w:val="auto"/>
          <w:spacing w:val="0"/>
          <w:sz w:val="24"/>
          <w:szCs w:val="24"/>
          <w:lang w:val="en-GB"/>
        </w:rPr>
        <w:t>together</w:t>
      </w:r>
      <w:r>
        <w:rPr>
          <w:rFonts w:ascii="Liberation Serif" w:hAnsi="Liberation Serif"/>
          <w:b w:val="false"/>
          <w:i w:val="false"/>
          <w:caps w:val="false"/>
          <w:smallCaps w:val="false"/>
          <w:color w:val="auto"/>
          <w:spacing w:val="0"/>
          <w:sz w:val="24"/>
          <w:szCs w:val="24"/>
          <w:lang w:val="en-GB"/>
        </w:rPr>
        <w:t>. In other words learners must get a “sense” or “feeling” for how the language works. This sense of language can only come from meeting the language very often and by seeing it work in actual language use (i.e. from their reading or listening). This depth of knowledge gives learners the depth of language awareness and confidence to feel comfortable with the language that will enable them to speak or write. And this exposure comes from graded readers and extensive reading and extensive listening.</w:t>
      </w:r>
    </w:p>
    <w:p>
      <w:pPr>
        <w:pStyle w:val="TextBody"/>
        <w:widowControl/>
        <w:bidi w:val="0"/>
        <w:spacing w:lineRule="auto" w:line="360"/>
        <w:ind w:left="0" w:right="0" w:hanging="0"/>
        <w:jc w:val="left"/>
        <w:rPr>
          <w:rFonts w:ascii="Liberation Serif" w:hAnsi="Liberation Serif"/>
          <w:b w:val="false"/>
          <w:i w:val="false"/>
          <w:caps w:val="false"/>
          <w:smallCaps w:val="false"/>
          <w:color w:val="auto"/>
          <w:spacing w:val="0"/>
          <w:sz w:val="24"/>
          <w:szCs w:val="24"/>
          <w:lang w:val="en-GB"/>
        </w:rPr>
      </w:pPr>
      <w:r>
        <w:rPr>
          <w:rFonts w:ascii="Liberation Serif" w:hAnsi="Liberation Serif"/>
          <w:b w:val="false"/>
          <w:i w:val="false"/>
          <w:caps w:val="false"/>
          <w:smallCaps w:val="false"/>
          <w:color w:val="auto"/>
          <w:spacing w:val="0"/>
          <w:sz w:val="24"/>
          <w:szCs w:val="24"/>
          <w:lang w:val="en-GB"/>
        </w:rPr>
        <w:t>An oft-asked question is “Why can’t my learners speak? They’ve been learning English for years now. I teach them things, but they just don’t use them. It’s so frustrating.”  Learners will only speak when they are ready to. That is, they will speak once they feel comfortable enough using the language feature or word. If they do not know how to say something, they simply will stay silent or resort to doing their best by holophrasing or speaking in single words often ungrammatically (</w:t>
      </w:r>
      <w:r>
        <w:rPr>
          <w:rFonts w:ascii="Liberation Serif" w:hAnsi="Liberation Serif"/>
          <w:b w:val="false"/>
          <w:i/>
          <w:caps w:val="false"/>
          <w:smallCaps w:val="false"/>
          <w:color w:val="auto"/>
          <w:spacing w:val="0"/>
          <w:sz w:val="24"/>
          <w:szCs w:val="24"/>
          <w:lang w:val="en-GB"/>
        </w:rPr>
        <w:t>I went shopping. New dress, very nice</w:t>
      </w:r>
      <w:r>
        <w:rPr>
          <w:rFonts w:ascii="Liberation Serif" w:hAnsi="Liberation Serif"/>
          <w:b w:val="false"/>
          <w:i w:val="false"/>
          <w:caps w:val="false"/>
          <w:smallCaps w:val="false"/>
          <w:color w:val="auto"/>
          <w:spacing w:val="0"/>
          <w:sz w:val="24"/>
          <w:szCs w:val="24"/>
          <w:lang w:val="en-GB"/>
        </w:rPr>
        <w:t>). Fluent speaking only happens once an item enters a learner’s “comfort zone”, where they feel confident of using it without looking like a fool. But where does this comfort come from? It comes from experience with the language. The more times they meet a word, a phrase, a grammatical feature, the more chance it has to enter their comfort zone and the greater chance there is for it to become available for production. It is no wonder then that research into extensive reading that show gains for speaking only from extensive reading (e.g. Mason – Krashen 1997).</w:t>
      </w:r>
    </w:p>
    <w:p>
      <w:pPr>
        <w:pStyle w:val="TextBody"/>
        <w:widowControl/>
        <w:bidi w:val="0"/>
        <w:spacing w:lineRule="auto" w:line="360"/>
        <w:ind w:left="0" w:right="0" w:hanging="0"/>
        <w:jc w:val="left"/>
        <w:rPr>
          <w:rFonts w:ascii="Liberation Serif" w:hAnsi="Liberation Serif"/>
          <w:b w:val="false"/>
          <w:i w:val="false"/>
          <w:caps w:val="false"/>
          <w:smallCaps w:val="false"/>
          <w:color w:val="auto"/>
          <w:spacing w:val="0"/>
          <w:sz w:val="24"/>
          <w:szCs w:val="24"/>
          <w:lang w:val="en-GB"/>
        </w:rPr>
      </w:pPr>
      <w:r>
        <w:rPr>
          <w:rFonts w:ascii="Liberation Serif" w:hAnsi="Liberation Serif"/>
          <w:b w:val="false"/>
          <w:i w:val="false"/>
          <w:caps w:val="false"/>
          <w:smallCaps w:val="false"/>
          <w:color w:val="auto"/>
          <w:spacing w:val="0"/>
          <w:sz w:val="24"/>
          <w:szCs w:val="24"/>
          <w:lang w:val="en-GB"/>
        </w:rPr>
        <w:t>Bluntly stated, language programs that do not have an extensive reading or graded reading component of massive comprehensible sustained silent individualized language practice will hold back their learners. Any program that does not allow learners to develop their comfort zone of language is denying them the chance to progress to productive language use.</w:t>
      </w:r>
    </w:p>
    <w:p>
      <w:pPr>
        <w:pStyle w:val="Heading3"/>
        <w:bidi w:val="0"/>
        <w:spacing w:lineRule="auto" w:line="360"/>
        <w:jc w:val="left"/>
        <w:rPr>
          <w:rFonts w:ascii="Liberation Serif" w:hAnsi="Liberation Serif"/>
        </w:rPr>
      </w:pPr>
      <w:r>
        <w:rPr>
          <w:rFonts w:ascii="Liberation Serif" w:hAnsi="Liberation Serif"/>
        </w:rPr>
        <w:t>5. The price of opting out of extensive reading</w:t>
      </w:r>
    </w:p>
    <w:p>
      <w:pPr>
        <w:pStyle w:val="TextBody"/>
        <w:widowControl/>
        <w:bidi w:val="0"/>
        <w:spacing w:lineRule="auto" w:line="360"/>
        <w:ind w:left="0" w:right="0" w:hanging="0"/>
        <w:jc w:val="left"/>
        <w:rPr>
          <w:rFonts w:ascii="Liberation Serif" w:hAnsi="Liberation Serif"/>
          <w:b w:val="false"/>
          <w:i w:val="false"/>
          <w:caps w:val="false"/>
          <w:smallCaps w:val="false"/>
          <w:color w:val="434343"/>
          <w:spacing w:val="0"/>
          <w:sz w:val="24"/>
          <w:szCs w:val="24"/>
          <w:lang w:val="en-GB"/>
        </w:rPr>
      </w:pPr>
      <w:r>
        <w:rPr>
          <w:rFonts w:ascii="Liberation Serif" w:hAnsi="Liberation Serif"/>
          <w:b w:val="false"/>
          <w:i w:val="false"/>
          <w:caps w:val="false"/>
          <w:smallCaps w:val="false"/>
          <w:color w:val="434343"/>
          <w:spacing w:val="0"/>
          <w:sz w:val="24"/>
          <w:szCs w:val="24"/>
          <w:lang w:val="en-GB"/>
        </w:rPr>
        <w:t>Most language teachers do not require their learners to read much. Instead, they consider extensive reading as somehow supportive, or supplemental and rarely they set fluent reading for homework. This chapter has argued that it is </w:t>
      </w:r>
      <w:r>
        <w:rPr>
          <w:rFonts w:ascii="Liberation Serif" w:hAnsi="Liberation Serif"/>
          <w:b w:val="false"/>
          <w:i/>
          <w:caps w:val="false"/>
          <w:smallCaps w:val="false"/>
          <w:color w:val="434343"/>
          <w:spacing w:val="0"/>
          <w:sz w:val="24"/>
          <w:szCs w:val="24"/>
          <w:lang w:val="en-GB"/>
        </w:rPr>
        <w:t>fundamental mistake</w:t>
      </w:r>
      <w:r>
        <w:rPr>
          <w:rFonts w:ascii="Liberation Serif" w:hAnsi="Liberation Serif"/>
          <w:b w:val="false"/>
          <w:i w:val="false"/>
          <w:caps w:val="false"/>
          <w:smallCaps w:val="false"/>
          <w:color w:val="434343"/>
          <w:spacing w:val="0"/>
          <w:sz w:val="24"/>
          <w:szCs w:val="24"/>
          <w:lang w:val="en-GB"/>
        </w:rPr>
        <w:t> to consider sustained silent reading as supplemental, or optional. Extensive reading (or listening) is the </w:t>
      </w:r>
      <w:r>
        <w:rPr>
          <w:rFonts w:ascii="Liberation Serif" w:hAnsi="Liberation Serif"/>
          <w:b w:val="false"/>
          <w:i/>
          <w:caps w:val="false"/>
          <w:smallCaps w:val="false"/>
          <w:color w:val="434343"/>
          <w:spacing w:val="0"/>
          <w:sz w:val="24"/>
          <w:szCs w:val="24"/>
          <w:lang w:val="en-GB"/>
        </w:rPr>
        <w:t>only</w:t>
      </w:r>
      <w:r>
        <w:rPr>
          <w:rFonts w:ascii="Liberation Serif" w:hAnsi="Liberation Serif"/>
          <w:b w:val="false"/>
          <w:i w:val="false"/>
          <w:caps w:val="false"/>
          <w:smallCaps w:val="false"/>
          <w:color w:val="434343"/>
          <w:spacing w:val="0"/>
          <w:sz w:val="24"/>
          <w:szCs w:val="24"/>
          <w:lang w:val="en-GB"/>
        </w:rPr>
        <w:t> way in which learners can get access to language at their own comfort level, read something they want to read, at the pace they feel comfortable with, which will allow them to meet the language enough times to pick up a </w:t>
      </w:r>
      <w:r>
        <w:rPr>
          <w:rFonts w:ascii="Liberation Serif" w:hAnsi="Liberation Serif"/>
          <w:b w:val="false"/>
          <w:i/>
          <w:caps w:val="false"/>
          <w:smallCaps w:val="false"/>
          <w:color w:val="434343"/>
          <w:spacing w:val="0"/>
          <w:sz w:val="24"/>
          <w:szCs w:val="24"/>
          <w:lang w:val="en-GB"/>
        </w:rPr>
        <w:t>sense</w:t>
      </w:r>
      <w:r>
        <w:rPr>
          <w:rFonts w:ascii="Liberation Serif" w:hAnsi="Liberation Serif"/>
          <w:b w:val="false"/>
          <w:i w:val="false"/>
          <w:caps w:val="false"/>
          <w:smallCaps w:val="false"/>
          <w:color w:val="434343"/>
          <w:spacing w:val="0"/>
          <w:sz w:val="24"/>
          <w:szCs w:val="24"/>
          <w:lang w:val="en-GB"/>
        </w:rPr>
        <w:t> of how the language fits together and to consolidate what they know. It is impossible for teachers to teach a “sense” of language. We do not have time, and it is not our job. It is the learners’ job to get that sense for themselves. This </w:t>
      </w:r>
      <w:r>
        <w:rPr>
          <w:rFonts w:ascii="Liberation Serif" w:hAnsi="Liberation Serif"/>
          <w:b w:val="false"/>
          <w:i/>
          <w:caps w:val="false"/>
          <w:smallCaps w:val="false"/>
          <w:color w:val="434343"/>
          <w:spacing w:val="0"/>
          <w:sz w:val="24"/>
          <w:szCs w:val="24"/>
          <w:lang w:val="en-GB"/>
        </w:rPr>
        <w:t>depth</w:t>
      </w:r>
      <w:r>
        <w:rPr>
          <w:rFonts w:ascii="Liberation Serif" w:hAnsi="Liberation Serif"/>
          <w:b w:val="false"/>
          <w:i w:val="false"/>
          <w:caps w:val="false"/>
          <w:smallCaps w:val="false"/>
          <w:color w:val="434343"/>
          <w:spacing w:val="0"/>
          <w:sz w:val="24"/>
          <w:szCs w:val="24"/>
          <w:lang w:val="en-GB"/>
        </w:rPr>
        <w:t> of knowledge of language must, and can only, be acquired through constant massive exposure. It is a massive task that requires massive amounts of reading and listening on top of our normal course book work.</w:t>
      </w:r>
    </w:p>
    <w:p>
      <w:pPr>
        <w:pStyle w:val="TextBody"/>
        <w:widowControl/>
        <w:bidi w:val="0"/>
        <w:spacing w:lineRule="auto" w:line="360"/>
        <w:ind w:left="0" w:right="0" w:hanging="0"/>
        <w:jc w:val="left"/>
        <w:rPr>
          <w:rFonts w:ascii="Liberation Serif" w:hAnsi="Liberation Serif"/>
          <w:b w:val="false"/>
          <w:i w:val="false"/>
          <w:caps w:val="false"/>
          <w:smallCaps w:val="false"/>
          <w:color w:val="434343"/>
          <w:spacing w:val="0"/>
          <w:sz w:val="24"/>
          <w:szCs w:val="24"/>
        </w:rPr>
      </w:pPr>
      <w:r>
        <w:rPr>
          <w:rFonts w:ascii="Liberation Serif" w:hAnsi="Liberation Serif"/>
          <w:b w:val="false"/>
          <w:i w:val="false"/>
          <w:caps w:val="false"/>
          <w:smallCaps w:val="false"/>
          <w:color w:val="434343"/>
          <w:spacing w:val="0"/>
          <w:sz w:val="24"/>
          <w:szCs w:val="24"/>
          <w:lang w:val="en-GB"/>
        </w:rPr>
        <w:t>Teachers and learners can opt out and avoid extensive reading (or listening) if they wish, but no matter what happens, it will still take a certain amount of time to get that “sense of English”. This applies just as much for general English classes as it does to special purposes classes. Learners studying a specialist area (say nursing or engineering) also need constant exposure to massive amounts of text in their discipline to master and consolidate their knowledge of the specialist language, too. Thus the principle that extensive reading is indispensable for all language programs is maintained. Similarly, learners focused on oral skills need to listen to massive amounts of comprehensible text at their fluent understanding level so they can get a sense of how the spoken language works. Where else are they going to pick up the collocations, the colligations and the thousands of lexical phrases</w:t>
      </w:r>
      <w:r>
        <w:rPr>
          <w:rFonts w:ascii="Liberation Serif" w:hAnsi="Liberation Serif"/>
          <w:b w:val="false"/>
          <w:i w:val="false"/>
          <w:caps w:val="false"/>
          <w:smallCaps w:val="false"/>
          <w:color w:val="434343"/>
          <w:spacing w:val="0"/>
          <w:sz w:val="24"/>
          <w:szCs w:val="24"/>
        </w:rPr>
        <w:t>, sentence heads and other multi=word combinations </w:t>
      </w:r>
      <w:r>
        <w:rPr>
          <w:rFonts w:ascii="Liberation Serif" w:hAnsi="Liberation Serif"/>
          <w:b w:val="false"/>
          <w:i w:val="false"/>
          <w:caps w:val="false"/>
          <w:smallCaps w:val="false"/>
          <w:color w:val="434343"/>
          <w:spacing w:val="0"/>
          <w:sz w:val="24"/>
          <w:szCs w:val="24"/>
          <w:lang w:val="en-GB"/>
        </w:rPr>
        <w:t>they need to approach native-like or even advanced use? Where does their sense of language come from? Certainly not, as we have seen, from only working with their course books or </w:t>
      </w:r>
      <w:r>
        <w:rPr>
          <w:rFonts w:ascii="Liberation Serif" w:hAnsi="Liberation Serif"/>
          <w:b w:val="false"/>
          <w:i w:val="false"/>
          <w:caps w:val="false"/>
          <w:smallCaps w:val="false"/>
          <w:color w:val="434343"/>
          <w:spacing w:val="0"/>
          <w:sz w:val="24"/>
          <w:szCs w:val="24"/>
        </w:rPr>
        <w:t>with </w:t>
      </w:r>
      <w:r>
        <w:rPr>
          <w:rFonts w:ascii="Liberation Serif" w:hAnsi="Liberation Serif"/>
          <w:b w:val="false"/>
          <w:i w:val="false"/>
          <w:caps w:val="false"/>
          <w:smallCaps w:val="false"/>
          <w:color w:val="434343"/>
          <w:spacing w:val="0"/>
          <w:sz w:val="24"/>
          <w:szCs w:val="24"/>
          <w:lang w:val="en-GB"/>
        </w:rPr>
        <w:t>any other linear-based course.</w:t>
      </w:r>
    </w:p>
    <w:p>
      <w:pPr>
        <w:pStyle w:val="TextBody"/>
        <w:widowControl/>
        <w:bidi w:val="0"/>
        <w:spacing w:lineRule="auto" w:line="360"/>
        <w:ind w:left="0" w:right="0" w:hanging="0"/>
        <w:jc w:val="left"/>
        <w:rPr>
          <w:rFonts w:ascii="Liberation Serif" w:hAnsi="Liberation Serif"/>
          <w:b w:val="false"/>
          <w:i w:val="false"/>
          <w:caps w:val="false"/>
          <w:smallCaps w:val="false"/>
          <w:color w:val="434343"/>
          <w:spacing w:val="0"/>
          <w:sz w:val="24"/>
          <w:szCs w:val="24"/>
          <w:lang w:val="en-GB"/>
        </w:rPr>
      </w:pPr>
      <w:r>
        <w:rPr>
          <w:rFonts w:ascii="Liberation Serif" w:hAnsi="Liberation Serif"/>
          <w:b w:val="false"/>
          <w:i w:val="false"/>
          <w:caps w:val="false"/>
          <w:smallCaps w:val="false"/>
          <w:color w:val="434343"/>
          <w:spacing w:val="0"/>
          <w:sz w:val="24"/>
          <w:szCs w:val="24"/>
          <w:lang w:val="en-GB"/>
        </w:rPr>
        <w:t>Unless learners read and listen extensively, they will be tied to classes and teachers, dictionaries and course books until they have met the required volume of language that will build the depth they need that allows the item to enter their comfort zone. There is no way round this. Thus, there is no excuse for not having an integral extensive reading program in </w:t>
      </w:r>
      <w:r>
        <w:rPr>
          <w:rFonts w:ascii="Liberation Serif" w:hAnsi="Liberation Serif"/>
          <w:b w:val="false"/>
          <w:i/>
          <w:caps w:val="false"/>
          <w:smallCaps w:val="false"/>
          <w:color w:val="434343"/>
          <w:spacing w:val="0"/>
          <w:sz w:val="24"/>
          <w:szCs w:val="24"/>
          <w:lang w:val="en-GB"/>
        </w:rPr>
        <w:t>every</w:t>
      </w:r>
      <w:r>
        <w:rPr>
          <w:rFonts w:ascii="Liberation Serif" w:hAnsi="Liberation Serif"/>
          <w:b w:val="false"/>
          <w:i w:val="false"/>
          <w:caps w:val="false"/>
          <w:smallCaps w:val="false"/>
          <w:color w:val="434343"/>
          <w:spacing w:val="0"/>
          <w:sz w:val="24"/>
          <w:szCs w:val="24"/>
          <w:lang w:val="en-GB"/>
        </w:rPr>
        <w:t> language program. It would, quite rightly, be a scandal if the learners were denied access to graded reading and listening materials given as we have seen that course books and linear courses alone are insufficient.</w:t>
      </w:r>
    </w:p>
    <w:p>
      <w:pPr>
        <w:pStyle w:val="TextBody"/>
        <w:widowControl/>
        <w:bidi w:val="0"/>
        <w:spacing w:lineRule="auto" w:line="360"/>
        <w:ind w:left="0" w:right="0" w:hanging="0"/>
        <w:jc w:val="left"/>
        <w:rPr>
          <w:rFonts w:ascii="Liberation Serif" w:hAnsi="Liberation Serif"/>
          <w:b w:val="false"/>
          <w:i w:val="false"/>
          <w:caps w:val="false"/>
          <w:smallCaps w:val="false"/>
          <w:color w:val="434343"/>
          <w:spacing w:val="0"/>
          <w:sz w:val="24"/>
          <w:szCs w:val="24"/>
          <w:lang w:val="en-GB"/>
        </w:rPr>
      </w:pPr>
      <w:r>
        <w:rPr>
          <w:rFonts w:ascii="Liberation Serif" w:hAnsi="Liberation Serif"/>
          <w:b w:val="false"/>
          <w:i w:val="false"/>
          <w:caps w:val="false"/>
          <w:smallCaps w:val="false"/>
          <w:color w:val="434343"/>
          <w:spacing w:val="0"/>
          <w:sz w:val="24"/>
          <w:szCs w:val="24"/>
          <w:lang w:val="en-GB"/>
        </w:rPr>
        <w:t>Teachers who say we do not have time to add extensive reading to our courses are missing the point. The point of this chapter is to show that our classes need a </w:t>
      </w:r>
      <w:r>
        <w:rPr>
          <w:rFonts w:ascii="Liberation Serif" w:hAnsi="Liberation Serif"/>
          <w:b w:val="false"/>
          <w:i/>
          <w:caps w:val="false"/>
          <w:smallCaps w:val="false"/>
          <w:color w:val="434343"/>
          <w:spacing w:val="0"/>
          <w:sz w:val="24"/>
          <w:szCs w:val="24"/>
          <w:lang w:val="en-GB"/>
        </w:rPr>
        <w:t>balance</w:t>
      </w:r>
      <w:r>
        <w:rPr>
          <w:rFonts w:ascii="Liberation Serif" w:hAnsi="Liberation Serif"/>
          <w:b w:val="false"/>
          <w:i w:val="false"/>
          <w:caps w:val="false"/>
          <w:smallCaps w:val="false"/>
          <w:color w:val="434343"/>
          <w:spacing w:val="0"/>
          <w:sz w:val="24"/>
          <w:szCs w:val="24"/>
          <w:lang w:val="en-GB"/>
        </w:rPr>
        <w:t> of course work and extensive language work with whatever time is available. If we have only one class a week, some of that should be course work and some extensive work. If we have ten classes a week, the same applies. If we can add extensive work to our classes by asking learners to read out of class on top of their course work, then all the better. If not, we should still maintain the need for an appropriate balance of coursework and fluency work.</w:t>
      </w:r>
    </w:p>
    <w:p>
      <w:pPr>
        <w:pStyle w:val="TextBody"/>
        <w:widowControl/>
        <w:bidi w:val="0"/>
        <w:spacing w:lineRule="auto" w:line="360"/>
        <w:ind w:left="0" w:right="0" w:hanging="0"/>
        <w:jc w:val="left"/>
        <w:rPr>
          <w:rFonts w:ascii="Liberation Serif" w:hAnsi="Liberation Serif"/>
          <w:b w:val="false"/>
          <w:i w:val="false"/>
          <w:caps w:val="false"/>
          <w:smallCaps w:val="false"/>
          <w:color w:val="434343"/>
          <w:spacing w:val="0"/>
          <w:sz w:val="24"/>
          <w:szCs w:val="24"/>
          <w:lang w:val="en-GB"/>
        </w:rPr>
      </w:pPr>
      <w:r>
        <w:rPr>
          <w:rFonts w:ascii="Liberation Serif" w:hAnsi="Liberation Serif"/>
          <w:b w:val="false"/>
          <w:i w:val="false"/>
          <w:caps w:val="false"/>
          <w:smallCaps w:val="false"/>
          <w:color w:val="434343"/>
          <w:spacing w:val="0"/>
          <w:sz w:val="24"/>
          <w:szCs w:val="24"/>
          <w:lang w:val="en-GB"/>
        </w:rPr>
        <w:t>There is also no excuse to delay starting. Recently, the graded reader publishers have graded readers which start at very low levels. For example, the </w:t>
      </w:r>
      <w:r>
        <w:rPr>
          <w:rFonts w:ascii="Liberation Serif" w:hAnsi="Liberation Serif"/>
          <w:b w:val="false"/>
          <w:i/>
          <w:caps w:val="false"/>
          <w:smallCaps w:val="false"/>
          <w:color w:val="434343"/>
          <w:spacing w:val="0"/>
          <w:sz w:val="24"/>
          <w:szCs w:val="24"/>
          <w:lang w:val="en-GB"/>
        </w:rPr>
        <w:t>Foundations Reading Library</w:t>
      </w:r>
      <w:r>
        <w:rPr>
          <w:rFonts w:ascii="Liberation Serif" w:hAnsi="Liberation Serif"/>
          <w:b w:val="false"/>
          <w:i w:val="false"/>
          <w:caps w:val="false"/>
          <w:smallCaps w:val="false"/>
          <w:color w:val="434343"/>
          <w:spacing w:val="0"/>
          <w:sz w:val="24"/>
          <w:szCs w:val="24"/>
          <w:lang w:val="en-GB"/>
        </w:rPr>
        <w:t> (Heinle Cengage) starts with only 75 headwords which are readable after only a few months or weeks of language work. There are now over 2000 graded readers available from the major publishers with books going up to the 5000 headword level and include non-fiction as well as fiction. There is something for everybody.</w:t>
      </w:r>
    </w:p>
    <w:p>
      <w:pPr>
        <w:pStyle w:val="TextBody"/>
        <w:widowControl/>
        <w:bidi w:val="0"/>
        <w:spacing w:lineRule="auto" w:line="360"/>
        <w:ind w:left="0" w:right="0" w:hanging="0"/>
        <w:jc w:val="left"/>
        <w:rPr>
          <w:rFonts w:ascii="Liberation Serif" w:hAnsi="Liberation Serif"/>
          <w:b w:val="false"/>
          <w:i w:val="false"/>
          <w:caps w:val="false"/>
          <w:smallCaps w:val="false"/>
          <w:color w:val="434343"/>
          <w:spacing w:val="0"/>
          <w:sz w:val="24"/>
          <w:szCs w:val="24"/>
          <w:lang w:val="en-GB"/>
        </w:rPr>
      </w:pPr>
      <w:r>
        <w:rPr>
          <w:rFonts w:ascii="Liberation Serif" w:hAnsi="Liberation Serif"/>
          <w:b w:val="false"/>
          <w:i w:val="false"/>
          <w:caps w:val="false"/>
          <w:smallCaps w:val="false"/>
          <w:color w:val="434343"/>
          <w:spacing w:val="0"/>
          <w:sz w:val="24"/>
          <w:szCs w:val="24"/>
          <w:lang w:val="en-GB"/>
        </w:rPr>
        <w:t>Teachers may say, “but we do not have a budget, time or resources to do this”. This chapter’s answer is, speak to the people who make decisions, tell them why it is </w:t>
      </w:r>
      <w:r>
        <w:rPr>
          <w:rFonts w:ascii="Liberation Serif" w:hAnsi="Liberation Serif"/>
          <w:b w:val="false"/>
          <w:i/>
          <w:caps w:val="false"/>
          <w:smallCaps w:val="false"/>
          <w:color w:val="434343"/>
          <w:spacing w:val="0"/>
          <w:sz w:val="24"/>
          <w:szCs w:val="24"/>
          <w:lang w:val="en-GB"/>
        </w:rPr>
        <w:t>vital</w:t>
      </w:r>
      <w:r>
        <w:rPr>
          <w:rFonts w:ascii="Liberation Serif" w:hAnsi="Liberation Serif"/>
          <w:b w:val="false"/>
          <w:i w:val="false"/>
          <w:caps w:val="false"/>
          <w:smallCaps w:val="false"/>
          <w:color w:val="434343"/>
          <w:spacing w:val="0"/>
          <w:sz w:val="24"/>
          <w:szCs w:val="24"/>
          <w:lang w:val="en-GB"/>
        </w:rPr>
        <w:t> (not just a good idea) that the learners have chances (and are </w:t>
      </w:r>
      <w:r>
        <w:rPr>
          <w:rFonts w:ascii="Liberation Serif" w:hAnsi="Liberation Serif"/>
          <w:b w:val="false"/>
          <w:i/>
          <w:caps w:val="false"/>
          <w:smallCaps w:val="false"/>
          <w:color w:val="434343"/>
          <w:spacing w:val="0"/>
          <w:sz w:val="24"/>
          <w:szCs w:val="24"/>
          <w:lang w:val="en-GB"/>
        </w:rPr>
        <w:t>required</w:t>
      </w:r>
      <w:r>
        <w:rPr>
          <w:rFonts w:ascii="Liberation Serif" w:hAnsi="Liberation Serif"/>
          <w:b w:val="false"/>
          <w:i w:val="false"/>
          <w:caps w:val="false"/>
          <w:smallCaps w:val="false"/>
          <w:color w:val="434343"/>
          <w:spacing w:val="0"/>
          <w:sz w:val="24"/>
          <w:szCs w:val="24"/>
          <w:lang w:val="en-GB"/>
        </w:rPr>
        <w:t> if necessary) to read and listen to massive amounts of comprehensible texts within their comfort zone. If necessary, re-allocate budgets and resources, and re-draw curriculums to give the learners a chance to read and listen fluently. Course work and extensive language exposure </w:t>
      </w:r>
      <w:r>
        <w:rPr>
          <w:rFonts w:ascii="Liberation Serif" w:hAnsi="Liberation Serif"/>
          <w:b w:val="false"/>
          <w:i/>
          <w:caps w:val="false"/>
          <w:smallCaps w:val="false"/>
          <w:color w:val="434343"/>
          <w:spacing w:val="0"/>
          <w:sz w:val="24"/>
          <w:szCs w:val="24"/>
          <w:lang w:val="en-GB"/>
        </w:rPr>
        <w:t>must</w:t>
      </w:r>
      <w:r>
        <w:rPr>
          <w:rFonts w:ascii="Liberation Serif" w:hAnsi="Liberation Serif"/>
          <w:b w:val="false"/>
          <w:i w:val="false"/>
          <w:caps w:val="false"/>
          <w:smallCaps w:val="false"/>
          <w:color w:val="434343"/>
          <w:spacing w:val="0"/>
          <w:sz w:val="24"/>
          <w:szCs w:val="24"/>
          <w:lang w:val="en-GB"/>
        </w:rPr>
        <w:t> work together. They are the two sides of the same coin. One without the other will not be enough.</w:t>
      </w:r>
    </w:p>
    <w:p>
      <w:pPr>
        <w:pStyle w:val="Heading3"/>
        <w:bidi w:val="0"/>
        <w:spacing w:lineRule="auto" w:line="360"/>
        <w:jc w:val="left"/>
        <w:rPr>
          <w:rFonts w:ascii="Liberation Serif" w:hAnsi="Liberation Serif"/>
        </w:rPr>
      </w:pPr>
      <w:r>
        <w:rPr>
          <w:rFonts w:ascii="Liberation Serif" w:hAnsi="Liberation Serif"/>
        </w:rPr>
        <w:t>References</w:t>
      </w:r>
    </w:p>
    <w:p>
      <w:pPr>
        <w:pStyle w:val="TextBody"/>
        <w:widowControl/>
        <w:bidi w:val="0"/>
        <w:jc w:val="left"/>
        <w:rPr>
          <w:rFonts w:ascii="Liberation Serif" w:hAnsi="Liberation Serif"/>
          <w:b w:val="false"/>
          <w:i w:val="false"/>
          <w:caps w:val="false"/>
          <w:smallCaps w:val="false"/>
          <w:color w:val="auto"/>
          <w:spacing w:val="0"/>
          <w:sz w:val="21"/>
          <w:szCs w:val="21"/>
          <w:lang w:val="en-GB"/>
        </w:rPr>
      </w:pPr>
      <w:r>
        <w:rPr>
          <w:rFonts w:ascii="Liberation Serif" w:hAnsi="Liberation Serif"/>
          <w:b w:val="false"/>
          <w:i w:val="false"/>
          <w:caps w:val="false"/>
          <w:smallCaps w:val="false"/>
          <w:color w:val="auto"/>
          <w:spacing w:val="0"/>
          <w:sz w:val="21"/>
          <w:szCs w:val="21"/>
          <w:lang w:val="en-GB"/>
        </w:rPr>
        <w:t>Brown, Ronan – Rob Waring – Sangrawee Donkaewbua. 2008. “Incidental vocabulary acquisition from reading, reading-while-listening, and listening to stories”, </w:t>
      </w:r>
      <w:r>
        <w:rPr>
          <w:rFonts w:ascii="Liberation Serif" w:hAnsi="Liberation Serif"/>
          <w:b w:val="false"/>
          <w:i/>
          <w:caps w:val="false"/>
          <w:smallCaps w:val="false"/>
          <w:color w:val="auto"/>
          <w:spacing w:val="0"/>
          <w:sz w:val="21"/>
          <w:szCs w:val="21"/>
          <w:lang w:val="en-GB"/>
        </w:rPr>
        <w:t>Reading in a Foreign Language</w:t>
      </w:r>
      <w:r>
        <w:rPr>
          <w:rFonts w:ascii="Liberation Serif" w:hAnsi="Liberation Serif"/>
          <w:b w:val="false"/>
          <w:i w:val="false"/>
          <w:caps w:val="false"/>
          <w:smallCaps w:val="false"/>
          <w:color w:val="auto"/>
          <w:spacing w:val="0"/>
          <w:sz w:val="21"/>
          <w:szCs w:val="21"/>
          <w:lang w:val="en-GB"/>
        </w:rPr>
        <w:t> 20: 136-163.</w:t>
      </w:r>
    </w:p>
    <w:p>
      <w:pPr>
        <w:pStyle w:val="TextBody"/>
        <w:widowControl/>
        <w:bidi w:val="0"/>
        <w:jc w:val="left"/>
        <w:rPr>
          <w:rFonts w:ascii="Liberation Serif" w:hAnsi="Liberation Serif"/>
          <w:b w:val="false"/>
          <w:i w:val="false"/>
          <w:caps w:val="false"/>
          <w:smallCaps w:val="false"/>
          <w:color w:val="auto"/>
          <w:spacing w:val="0"/>
          <w:sz w:val="21"/>
          <w:szCs w:val="21"/>
          <w:lang w:val="en-GB"/>
        </w:rPr>
      </w:pPr>
      <w:r>
        <w:rPr>
          <w:rFonts w:ascii="Liberation Serif" w:hAnsi="Liberation Serif"/>
          <w:b w:val="false"/>
          <w:i w:val="false"/>
          <w:caps w:val="false"/>
          <w:smallCaps w:val="false"/>
          <w:color w:val="auto"/>
          <w:spacing w:val="0"/>
          <w:sz w:val="21"/>
          <w:szCs w:val="21"/>
          <w:lang w:val="en-GB"/>
        </w:rPr>
        <w:t>Day, Richard R. – Carole Omura – Motoo Hiramatsu. 1991. “Incidental EFL vocabulary learning and reading”, </w:t>
      </w:r>
      <w:r>
        <w:rPr>
          <w:rFonts w:ascii="Liberation Serif" w:hAnsi="Liberation Serif"/>
          <w:b w:val="false"/>
          <w:i/>
          <w:caps w:val="false"/>
          <w:smallCaps w:val="false"/>
          <w:color w:val="auto"/>
          <w:spacing w:val="0"/>
          <w:sz w:val="21"/>
          <w:szCs w:val="21"/>
          <w:lang w:val="en-GB"/>
        </w:rPr>
        <w:t>Reading in a Foreign Language</w:t>
      </w:r>
      <w:r>
        <w:rPr>
          <w:rFonts w:ascii="Liberation Serif" w:hAnsi="Liberation Serif"/>
          <w:b w:val="false"/>
          <w:i w:val="false"/>
          <w:caps w:val="false"/>
          <w:smallCaps w:val="false"/>
          <w:color w:val="auto"/>
          <w:spacing w:val="0"/>
          <w:sz w:val="21"/>
          <w:szCs w:val="21"/>
          <w:lang w:val="en-GB"/>
        </w:rPr>
        <w:t> 7: 541-551.</w:t>
      </w:r>
    </w:p>
    <w:p>
      <w:pPr>
        <w:pStyle w:val="TextBody"/>
        <w:widowControl/>
        <w:bidi w:val="0"/>
        <w:jc w:val="left"/>
        <w:rPr>
          <w:rFonts w:ascii="Liberation Serif" w:hAnsi="Liberation Serif"/>
          <w:b w:val="false"/>
          <w:i w:val="false"/>
          <w:caps w:val="false"/>
          <w:smallCaps w:val="false"/>
          <w:color w:val="auto"/>
          <w:spacing w:val="0"/>
          <w:sz w:val="21"/>
          <w:szCs w:val="21"/>
          <w:lang w:val="en-GB"/>
        </w:rPr>
      </w:pPr>
      <w:r>
        <w:rPr>
          <w:rFonts w:ascii="Liberation Serif" w:hAnsi="Liberation Serif"/>
          <w:b w:val="false"/>
          <w:i w:val="false"/>
          <w:caps w:val="false"/>
          <w:smallCaps w:val="false"/>
          <w:color w:val="auto"/>
          <w:spacing w:val="0"/>
          <w:sz w:val="21"/>
          <w:szCs w:val="21"/>
          <w:lang w:val="en-GB"/>
        </w:rPr>
        <w:t>Dupuy, Beatrice – Stephen Krashen. 1993. “Incidental vocabulary acquisition in French as a foreign language”, </w:t>
      </w:r>
      <w:r>
        <w:rPr>
          <w:rFonts w:ascii="Liberation Serif" w:hAnsi="Liberation Serif"/>
          <w:b w:val="false"/>
          <w:i/>
          <w:caps w:val="false"/>
          <w:smallCaps w:val="false"/>
          <w:color w:val="auto"/>
          <w:spacing w:val="0"/>
          <w:sz w:val="21"/>
          <w:szCs w:val="21"/>
          <w:lang w:val="en-GB"/>
        </w:rPr>
        <w:t>Applied Language Learning</w:t>
      </w:r>
      <w:r>
        <w:rPr>
          <w:rFonts w:ascii="Liberation Serif" w:hAnsi="Liberation Serif"/>
          <w:b w:val="false"/>
          <w:i w:val="false"/>
          <w:caps w:val="false"/>
          <w:smallCaps w:val="false"/>
          <w:color w:val="auto"/>
          <w:spacing w:val="0"/>
          <w:sz w:val="21"/>
          <w:szCs w:val="21"/>
          <w:lang w:val="en-GB"/>
        </w:rPr>
        <w:t> 4: 55-63.</w:t>
      </w:r>
    </w:p>
    <w:p>
      <w:pPr>
        <w:pStyle w:val="TextBody"/>
        <w:widowControl/>
        <w:bidi w:val="0"/>
        <w:jc w:val="left"/>
        <w:rPr>
          <w:rFonts w:ascii="Liberation Serif" w:hAnsi="Liberation Serif"/>
          <w:b w:val="false"/>
          <w:i w:val="false"/>
          <w:caps w:val="false"/>
          <w:smallCaps w:val="false"/>
          <w:color w:val="auto"/>
          <w:spacing w:val="0"/>
          <w:sz w:val="21"/>
          <w:szCs w:val="21"/>
          <w:lang w:val="en-GB"/>
        </w:rPr>
      </w:pPr>
      <w:r>
        <w:rPr>
          <w:rFonts w:ascii="Liberation Serif" w:hAnsi="Liberation Serif"/>
          <w:b w:val="false"/>
          <w:i w:val="false"/>
          <w:caps w:val="false"/>
          <w:smallCaps w:val="false"/>
          <w:color w:val="auto"/>
          <w:spacing w:val="0"/>
          <w:sz w:val="21"/>
          <w:szCs w:val="21"/>
          <w:lang w:val="en-GB"/>
        </w:rPr>
        <w:t>Hill, Jimmie – Michael Lewis. 1997. </w:t>
      </w:r>
      <w:r>
        <w:rPr>
          <w:rFonts w:ascii="Liberation Serif" w:hAnsi="Liberation Serif"/>
          <w:b w:val="false"/>
          <w:i/>
          <w:caps w:val="false"/>
          <w:smallCaps w:val="false"/>
          <w:color w:val="auto"/>
          <w:spacing w:val="0"/>
          <w:sz w:val="21"/>
          <w:szCs w:val="21"/>
          <w:lang w:val="en-GB"/>
        </w:rPr>
        <w:t>Dictionary of selected collocations. </w:t>
      </w:r>
      <w:r>
        <w:rPr>
          <w:rFonts w:ascii="Liberation Serif" w:hAnsi="Liberation Serif"/>
          <w:b w:val="false"/>
          <w:i w:val="false"/>
          <w:caps w:val="false"/>
          <w:smallCaps w:val="false"/>
          <w:color w:val="auto"/>
          <w:spacing w:val="0"/>
          <w:sz w:val="21"/>
          <w:szCs w:val="21"/>
          <w:lang w:val="en-GB"/>
        </w:rPr>
        <w:t>Hove: Language Teaching Publications.</w:t>
      </w:r>
    </w:p>
    <w:p>
      <w:pPr>
        <w:pStyle w:val="TextBody"/>
        <w:widowControl/>
        <w:bidi w:val="0"/>
        <w:jc w:val="left"/>
        <w:rPr>
          <w:rFonts w:ascii="Liberation Serif" w:hAnsi="Liberation Serif"/>
          <w:b w:val="false"/>
          <w:i w:val="false"/>
          <w:caps w:val="false"/>
          <w:smallCaps w:val="false"/>
          <w:color w:val="auto"/>
          <w:spacing w:val="0"/>
          <w:sz w:val="21"/>
          <w:szCs w:val="21"/>
          <w:lang w:val="en-GB"/>
        </w:rPr>
      </w:pPr>
      <w:r>
        <w:rPr>
          <w:rFonts w:ascii="Liberation Serif" w:hAnsi="Liberation Serif"/>
          <w:b w:val="false"/>
          <w:i w:val="false"/>
          <w:caps w:val="false"/>
          <w:smallCaps w:val="false"/>
          <w:color w:val="auto"/>
          <w:spacing w:val="0"/>
          <w:sz w:val="21"/>
          <w:szCs w:val="21"/>
          <w:lang w:val="en-GB"/>
        </w:rPr>
        <w:t>Horst, Marlise – Tom Cobb – Paul Meara. 1998. “Beyond a Clockwork Orange: Acquiring second language vocabulary through reading”, </w:t>
      </w:r>
      <w:r>
        <w:rPr>
          <w:rFonts w:ascii="Liberation Serif" w:hAnsi="Liberation Serif"/>
          <w:b w:val="false"/>
          <w:i/>
          <w:caps w:val="false"/>
          <w:smallCaps w:val="false"/>
          <w:color w:val="auto"/>
          <w:spacing w:val="0"/>
          <w:sz w:val="21"/>
          <w:szCs w:val="21"/>
          <w:lang w:val="en-GB"/>
        </w:rPr>
        <w:t>Reading in a Foreign Language</w:t>
      </w:r>
      <w:r>
        <w:rPr>
          <w:rFonts w:ascii="Liberation Serif" w:hAnsi="Liberation Serif"/>
          <w:b w:val="false"/>
          <w:i w:val="false"/>
          <w:caps w:val="false"/>
          <w:smallCaps w:val="false"/>
          <w:color w:val="auto"/>
          <w:spacing w:val="0"/>
          <w:sz w:val="21"/>
          <w:szCs w:val="21"/>
          <w:lang w:val="en-GB"/>
        </w:rPr>
        <w:t> 11: 207-223.</w:t>
      </w:r>
    </w:p>
    <w:p>
      <w:pPr>
        <w:pStyle w:val="TextBody"/>
        <w:widowControl/>
        <w:bidi w:val="0"/>
        <w:jc w:val="left"/>
        <w:rPr>
          <w:rFonts w:ascii="Liberation Serif" w:hAnsi="Liberation Serif"/>
          <w:b w:val="false"/>
          <w:i w:val="false"/>
          <w:caps w:val="false"/>
          <w:smallCaps w:val="false"/>
          <w:color w:val="auto"/>
          <w:spacing w:val="0"/>
          <w:sz w:val="21"/>
          <w:szCs w:val="21"/>
          <w:lang w:val="en-GB"/>
        </w:rPr>
      </w:pPr>
      <w:r>
        <w:rPr>
          <w:rFonts w:ascii="Liberation Serif" w:hAnsi="Liberation Serif"/>
          <w:b w:val="false"/>
          <w:i w:val="false"/>
          <w:caps w:val="false"/>
          <w:smallCaps w:val="false"/>
          <w:color w:val="auto"/>
          <w:spacing w:val="0"/>
          <w:sz w:val="21"/>
          <w:szCs w:val="21"/>
          <w:lang w:val="en-GB"/>
        </w:rPr>
        <w:t>Hu, Marcella – Paul Nation. 2000. “Unknown vocabulary density and reading comprehension”, </w:t>
      </w:r>
      <w:r>
        <w:rPr>
          <w:rFonts w:ascii="Liberation Serif" w:hAnsi="Liberation Serif"/>
          <w:b w:val="false"/>
          <w:i/>
          <w:caps w:val="false"/>
          <w:smallCaps w:val="false"/>
          <w:color w:val="auto"/>
          <w:spacing w:val="0"/>
          <w:sz w:val="21"/>
          <w:szCs w:val="21"/>
          <w:lang w:val="en-GB"/>
        </w:rPr>
        <w:t>Reading in a Foreign Language</w:t>
      </w:r>
      <w:r>
        <w:rPr>
          <w:rFonts w:ascii="Liberation Serif" w:hAnsi="Liberation Serif"/>
          <w:b w:val="false"/>
          <w:i w:val="false"/>
          <w:caps w:val="false"/>
          <w:smallCaps w:val="false"/>
          <w:color w:val="auto"/>
          <w:spacing w:val="0"/>
          <w:sz w:val="21"/>
          <w:szCs w:val="21"/>
          <w:lang w:val="en-GB"/>
        </w:rPr>
        <w:t> 13: 403-430.</w:t>
      </w:r>
    </w:p>
    <w:p>
      <w:pPr>
        <w:pStyle w:val="TextBody"/>
        <w:widowControl/>
        <w:bidi w:val="0"/>
        <w:jc w:val="left"/>
        <w:rPr>
          <w:rFonts w:ascii="Liberation Serif" w:hAnsi="Liberation Serif"/>
          <w:b w:val="false"/>
          <w:i w:val="false"/>
          <w:caps w:val="false"/>
          <w:smallCaps w:val="false"/>
          <w:color w:val="auto"/>
          <w:spacing w:val="0"/>
          <w:sz w:val="21"/>
          <w:szCs w:val="21"/>
          <w:lang w:val="en-GB"/>
        </w:rPr>
      </w:pPr>
      <w:r>
        <w:rPr>
          <w:rFonts w:ascii="Liberation Serif" w:hAnsi="Liberation Serif"/>
          <w:b w:val="false"/>
          <w:i w:val="false"/>
          <w:caps w:val="false"/>
          <w:smallCaps w:val="false"/>
          <w:color w:val="auto"/>
          <w:spacing w:val="0"/>
          <w:sz w:val="21"/>
          <w:szCs w:val="21"/>
          <w:lang w:val="en-GB"/>
        </w:rPr>
        <w:t>Laufer, Batia. 1989. “What percentage of text-lexis is essential for comprehension?”, in: Christer Lauren – Marianne Nordmann (Eds.), 69-75.</w:t>
      </w:r>
    </w:p>
    <w:p>
      <w:pPr>
        <w:pStyle w:val="TextBody"/>
        <w:widowControl/>
        <w:bidi w:val="0"/>
        <w:jc w:val="left"/>
        <w:rPr>
          <w:rFonts w:ascii="Liberation Serif" w:hAnsi="Liberation Serif"/>
          <w:b w:val="false"/>
          <w:i w:val="false"/>
          <w:caps w:val="false"/>
          <w:smallCaps w:val="false"/>
          <w:color w:val="auto"/>
          <w:spacing w:val="0"/>
          <w:sz w:val="21"/>
          <w:szCs w:val="21"/>
          <w:lang w:val="en-GB"/>
        </w:rPr>
      </w:pPr>
      <w:r>
        <w:rPr>
          <w:rFonts w:ascii="Liberation Serif" w:hAnsi="Liberation Serif"/>
          <w:b w:val="false"/>
          <w:i w:val="false"/>
          <w:caps w:val="false"/>
          <w:smallCaps w:val="false"/>
          <w:color w:val="auto"/>
          <w:spacing w:val="0"/>
          <w:sz w:val="21"/>
          <w:szCs w:val="21"/>
          <w:lang w:val="en-GB"/>
        </w:rPr>
        <w:t>Lauren, Christer – Marianne Nordmann (Eds.). 1989. </w:t>
      </w:r>
      <w:r>
        <w:rPr>
          <w:rFonts w:ascii="Liberation Serif" w:hAnsi="Liberation Serif"/>
          <w:b w:val="false"/>
          <w:i/>
          <w:caps w:val="false"/>
          <w:smallCaps w:val="false"/>
          <w:color w:val="auto"/>
          <w:spacing w:val="0"/>
          <w:sz w:val="21"/>
          <w:szCs w:val="21"/>
          <w:lang w:val="en-GB"/>
        </w:rPr>
        <w:t>Special language: from humans thinking to thinking machines</w:t>
      </w:r>
      <w:r>
        <w:rPr>
          <w:rFonts w:ascii="Liberation Serif" w:hAnsi="Liberation Serif"/>
          <w:b w:val="false"/>
          <w:i w:val="false"/>
          <w:caps w:val="false"/>
          <w:smallCaps w:val="false"/>
          <w:color w:val="auto"/>
          <w:spacing w:val="0"/>
          <w:sz w:val="21"/>
          <w:szCs w:val="21"/>
          <w:lang w:val="en-GB"/>
        </w:rPr>
        <w:t>. Clevedon: Multilingual Matters.</w:t>
      </w:r>
    </w:p>
    <w:p>
      <w:pPr>
        <w:pStyle w:val="TextBody"/>
        <w:widowControl/>
        <w:bidi w:val="0"/>
        <w:jc w:val="left"/>
        <w:rPr>
          <w:rFonts w:ascii="Liberation Serif" w:hAnsi="Liberation Serif"/>
          <w:b w:val="false"/>
          <w:i w:val="false"/>
          <w:caps w:val="false"/>
          <w:smallCaps w:val="false"/>
          <w:color w:val="auto"/>
          <w:spacing w:val="0"/>
          <w:sz w:val="21"/>
          <w:szCs w:val="21"/>
          <w:lang w:val="en-GB"/>
        </w:rPr>
      </w:pPr>
      <w:r>
        <w:rPr>
          <w:rFonts w:ascii="Liberation Serif" w:hAnsi="Liberation Serif"/>
          <w:b w:val="false"/>
          <w:i w:val="false"/>
          <w:caps w:val="false"/>
          <w:smallCaps w:val="false"/>
          <w:color w:val="auto"/>
          <w:spacing w:val="0"/>
          <w:sz w:val="21"/>
          <w:szCs w:val="21"/>
          <w:lang w:val="en-GB"/>
        </w:rPr>
        <w:t>Liu Na – Paul Nation. 1985. “Factors affecting guessing vocabulary in context”, </w:t>
      </w:r>
      <w:r>
        <w:rPr>
          <w:rFonts w:ascii="Liberation Serif" w:hAnsi="Liberation Serif"/>
          <w:b w:val="false"/>
          <w:i/>
          <w:caps w:val="false"/>
          <w:smallCaps w:val="false"/>
          <w:color w:val="auto"/>
          <w:spacing w:val="0"/>
          <w:sz w:val="21"/>
          <w:szCs w:val="21"/>
          <w:lang w:val="en-GB"/>
        </w:rPr>
        <w:t>RELC Journal</w:t>
      </w:r>
      <w:r>
        <w:rPr>
          <w:rFonts w:ascii="Liberation Serif" w:hAnsi="Liberation Serif"/>
          <w:b w:val="false"/>
          <w:i w:val="false"/>
          <w:caps w:val="false"/>
          <w:smallCaps w:val="false"/>
          <w:color w:val="auto"/>
          <w:spacing w:val="0"/>
          <w:sz w:val="21"/>
          <w:szCs w:val="21"/>
          <w:lang w:val="en-GB"/>
        </w:rPr>
        <w:t> 16: 33-42.</w:t>
      </w:r>
    </w:p>
    <w:p>
      <w:pPr>
        <w:pStyle w:val="TextBody"/>
        <w:widowControl/>
        <w:bidi w:val="0"/>
        <w:jc w:val="left"/>
        <w:rPr>
          <w:rFonts w:ascii="Liberation Serif" w:hAnsi="Liberation Serif"/>
          <w:b w:val="false"/>
          <w:i w:val="false"/>
          <w:caps w:val="false"/>
          <w:smallCaps w:val="false"/>
          <w:color w:val="auto"/>
          <w:spacing w:val="0"/>
          <w:sz w:val="21"/>
          <w:szCs w:val="21"/>
          <w:lang w:val="en-GB"/>
        </w:rPr>
      </w:pPr>
      <w:r>
        <w:rPr>
          <w:rFonts w:ascii="Liberation Serif" w:hAnsi="Liberation Serif"/>
          <w:b w:val="false"/>
          <w:i w:val="false"/>
          <w:caps w:val="false"/>
          <w:smallCaps w:val="false"/>
          <w:color w:val="auto"/>
          <w:spacing w:val="0"/>
          <w:sz w:val="21"/>
          <w:szCs w:val="21"/>
          <w:lang w:val="en-GB"/>
        </w:rPr>
        <w:t>Mason, Beniko – Stephen Krashen. 1997. “Extensive reading in English as a foreign language”, </w:t>
      </w:r>
      <w:r>
        <w:rPr>
          <w:rFonts w:ascii="Liberation Serif" w:hAnsi="Liberation Serif"/>
          <w:b w:val="false"/>
          <w:i/>
          <w:caps w:val="false"/>
          <w:smallCaps w:val="false"/>
          <w:color w:val="auto"/>
          <w:spacing w:val="0"/>
          <w:sz w:val="21"/>
          <w:szCs w:val="21"/>
          <w:lang w:val="en-GB"/>
        </w:rPr>
        <w:t>System</w:t>
      </w:r>
      <w:r>
        <w:rPr>
          <w:rFonts w:ascii="Liberation Serif" w:hAnsi="Liberation Serif"/>
          <w:b w:val="false"/>
          <w:i w:val="false"/>
          <w:caps w:val="false"/>
          <w:smallCaps w:val="false"/>
          <w:color w:val="auto"/>
          <w:spacing w:val="0"/>
          <w:sz w:val="21"/>
          <w:szCs w:val="21"/>
          <w:lang w:val="en-GB"/>
        </w:rPr>
        <w:t> 25: 91-102.</w:t>
      </w:r>
    </w:p>
    <w:p>
      <w:pPr>
        <w:pStyle w:val="TextBody"/>
        <w:widowControl/>
        <w:bidi w:val="0"/>
        <w:jc w:val="left"/>
        <w:rPr>
          <w:rFonts w:ascii="Liberation Serif" w:hAnsi="Liberation Serif"/>
          <w:b w:val="false"/>
          <w:i w:val="false"/>
          <w:caps w:val="false"/>
          <w:smallCaps w:val="false"/>
          <w:color w:val="auto"/>
          <w:spacing w:val="0"/>
          <w:sz w:val="21"/>
          <w:szCs w:val="21"/>
          <w:lang w:val="en-GB"/>
        </w:rPr>
      </w:pPr>
      <w:r>
        <w:rPr>
          <w:rFonts w:ascii="Liberation Serif" w:hAnsi="Liberation Serif"/>
          <w:b w:val="false"/>
          <w:i w:val="false"/>
          <w:caps w:val="false"/>
          <w:smallCaps w:val="false"/>
          <w:color w:val="auto"/>
          <w:spacing w:val="0"/>
          <w:sz w:val="21"/>
          <w:szCs w:val="21"/>
          <w:lang w:val="en-GB"/>
        </w:rPr>
        <w:t>Mukoyama, Mami. 2004. The efficiency of systematic word-card learning. [Unpublished Undergraduate thesis, Notre Dame Seishin University, Okayama, Japan.]</w:t>
      </w:r>
    </w:p>
    <w:p>
      <w:pPr>
        <w:pStyle w:val="TextBody"/>
        <w:widowControl/>
        <w:bidi w:val="0"/>
        <w:jc w:val="left"/>
        <w:rPr>
          <w:rFonts w:ascii="Liberation Serif" w:hAnsi="Liberation Serif"/>
          <w:b w:val="false"/>
          <w:i w:val="false"/>
          <w:caps w:val="false"/>
          <w:smallCaps w:val="false"/>
          <w:color w:val="auto"/>
          <w:spacing w:val="0"/>
          <w:sz w:val="21"/>
          <w:szCs w:val="21"/>
          <w:lang w:val="en-GB"/>
        </w:rPr>
      </w:pPr>
      <w:r>
        <w:rPr>
          <w:rFonts w:ascii="Liberation Serif" w:hAnsi="Liberation Serif"/>
          <w:b w:val="false"/>
          <w:i w:val="false"/>
          <w:caps w:val="false"/>
          <w:smallCaps w:val="false"/>
          <w:color w:val="auto"/>
          <w:spacing w:val="0"/>
          <w:sz w:val="21"/>
          <w:szCs w:val="21"/>
          <w:lang w:val="en-GB"/>
        </w:rPr>
        <w:t>Nation, Paul. 2001. </w:t>
      </w:r>
      <w:r>
        <w:rPr>
          <w:rFonts w:ascii="Liberation Serif" w:hAnsi="Liberation Serif"/>
          <w:b w:val="false"/>
          <w:i/>
          <w:caps w:val="false"/>
          <w:smallCaps w:val="false"/>
          <w:color w:val="auto"/>
          <w:spacing w:val="0"/>
          <w:sz w:val="21"/>
          <w:szCs w:val="21"/>
          <w:lang w:val="en-GB"/>
        </w:rPr>
        <w:t>Teaching vocabulary in another language</w:t>
      </w:r>
      <w:r>
        <w:rPr>
          <w:rFonts w:ascii="Liberation Serif" w:hAnsi="Liberation Serif"/>
          <w:b w:val="false"/>
          <w:i w:val="false"/>
          <w:caps w:val="false"/>
          <w:smallCaps w:val="false"/>
          <w:color w:val="auto"/>
          <w:spacing w:val="0"/>
          <w:sz w:val="21"/>
          <w:szCs w:val="21"/>
          <w:lang w:val="en-GB"/>
        </w:rPr>
        <w:t>. Cambridge: Cambridge University Press.</w:t>
      </w:r>
    </w:p>
    <w:p>
      <w:pPr>
        <w:pStyle w:val="TextBody"/>
        <w:widowControl/>
        <w:bidi w:val="0"/>
        <w:jc w:val="left"/>
        <w:rPr>
          <w:rFonts w:ascii="Liberation Serif" w:hAnsi="Liberation Serif"/>
          <w:b w:val="false"/>
          <w:i w:val="false"/>
          <w:caps w:val="false"/>
          <w:smallCaps w:val="false"/>
          <w:color w:val="auto"/>
          <w:spacing w:val="0"/>
          <w:sz w:val="21"/>
          <w:szCs w:val="21"/>
          <w:lang w:val="en-GB"/>
        </w:rPr>
      </w:pPr>
      <w:r>
        <w:rPr>
          <w:rFonts w:ascii="Liberation Serif" w:hAnsi="Liberation Serif"/>
          <w:b w:val="false"/>
          <w:i w:val="false"/>
          <w:caps w:val="false"/>
          <w:smallCaps w:val="false"/>
          <w:color w:val="auto"/>
          <w:spacing w:val="0"/>
          <w:sz w:val="21"/>
          <w:szCs w:val="21"/>
          <w:lang w:val="en-GB"/>
        </w:rPr>
        <w:t>Nation, Paul – Ming-Tze Wang. 1999. “Graded readers and vocabulary”, </w:t>
      </w:r>
      <w:r>
        <w:rPr>
          <w:rFonts w:ascii="Liberation Serif" w:hAnsi="Liberation Serif"/>
          <w:b w:val="false"/>
          <w:i/>
          <w:caps w:val="false"/>
          <w:smallCaps w:val="false"/>
          <w:color w:val="auto"/>
          <w:spacing w:val="0"/>
          <w:sz w:val="21"/>
          <w:szCs w:val="21"/>
          <w:lang w:val="en-GB"/>
        </w:rPr>
        <w:t>Reading in a Foreign Language</w:t>
      </w:r>
      <w:r>
        <w:rPr>
          <w:rFonts w:ascii="Liberation Serif" w:hAnsi="Liberation Serif"/>
          <w:b w:val="false"/>
          <w:i w:val="false"/>
          <w:caps w:val="false"/>
          <w:smallCaps w:val="false"/>
          <w:color w:val="auto"/>
          <w:spacing w:val="0"/>
          <w:sz w:val="21"/>
          <w:szCs w:val="21"/>
          <w:lang w:val="en-GB"/>
        </w:rPr>
        <w:t> 12: 355-380.</w:t>
      </w:r>
    </w:p>
    <w:p>
      <w:pPr>
        <w:pStyle w:val="TextBody"/>
        <w:widowControl/>
        <w:bidi w:val="0"/>
        <w:jc w:val="left"/>
        <w:rPr/>
      </w:pPr>
      <w:r>
        <w:rPr>
          <w:rFonts w:ascii="Liberation Serif" w:hAnsi="Liberation Serif"/>
          <w:b w:val="false"/>
          <w:i w:val="false"/>
          <w:caps w:val="false"/>
          <w:smallCaps w:val="false"/>
          <w:color w:val="auto"/>
          <w:spacing w:val="0"/>
          <w:sz w:val="21"/>
          <w:szCs w:val="21"/>
          <w:lang w:val="en-GB"/>
        </w:rPr>
        <w:t>Nation, Paul – Alex Heatley. 2005. </w:t>
      </w:r>
      <w:r>
        <w:rPr>
          <w:rFonts w:ascii="Liberation Serif" w:hAnsi="Liberation Serif"/>
          <w:b w:val="false"/>
          <w:i/>
          <w:caps w:val="false"/>
          <w:smallCaps w:val="false"/>
          <w:color w:val="auto"/>
          <w:spacing w:val="0"/>
          <w:sz w:val="21"/>
          <w:szCs w:val="21"/>
          <w:lang w:val="en-GB"/>
        </w:rPr>
        <w:t>Range</w:t>
      </w:r>
      <w:r>
        <w:rPr>
          <w:rFonts w:ascii="Liberation Serif" w:hAnsi="Liberation Serif"/>
          <w:b w:val="false"/>
          <w:i w:val="false"/>
          <w:caps w:val="false"/>
          <w:smallCaps w:val="false"/>
          <w:color w:val="auto"/>
          <w:spacing w:val="0"/>
          <w:sz w:val="21"/>
          <w:szCs w:val="21"/>
          <w:lang w:val="en-GB"/>
        </w:rPr>
        <w:t>. Available at </w:t>
      </w:r>
      <w:hyperlink r:id="rId4">
        <w:r>
          <w:rPr>
            <w:rStyle w:val="InternetLink"/>
            <w:rFonts w:ascii="Liberation Serif" w:hAnsi="Liberation Serif"/>
            <w:b w:val="false"/>
            <w:i w:val="false"/>
            <w:caps w:val="false"/>
            <w:smallCaps w:val="false"/>
            <w:color w:val="auto"/>
            <w:spacing w:val="0"/>
            <w:sz w:val="21"/>
            <w:szCs w:val="21"/>
            <w:u w:val="single"/>
            <w:lang w:val="en-GB"/>
          </w:rPr>
          <w:t>http://www.victoria.ac.nz/lals/staff/paul-nation/range%20BNC.zip</w:t>
        </w:r>
      </w:hyperlink>
    </w:p>
    <w:p>
      <w:pPr>
        <w:pStyle w:val="TextBody"/>
        <w:widowControl/>
        <w:bidi w:val="0"/>
        <w:jc w:val="left"/>
        <w:rPr>
          <w:rFonts w:ascii="Liberation Serif" w:hAnsi="Liberation Serif"/>
          <w:b w:val="false"/>
          <w:i w:val="false"/>
          <w:caps w:val="false"/>
          <w:smallCaps w:val="false"/>
          <w:color w:val="auto"/>
          <w:spacing w:val="0"/>
          <w:sz w:val="21"/>
          <w:szCs w:val="21"/>
          <w:lang w:val="en-GB"/>
        </w:rPr>
      </w:pPr>
      <w:r>
        <w:rPr>
          <w:rFonts w:ascii="Liberation Serif" w:hAnsi="Liberation Serif"/>
          <w:b w:val="false"/>
          <w:i w:val="false"/>
          <w:caps w:val="false"/>
          <w:smallCaps w:val="false"/>
          <w:color w:val="auto"/>
          <w:spacing w:val="0"/>
          <w:sz w:val="21"/>
          <w:szCs w:val="21"/>
          <w:lang w:val="en-GB"/>
        </w:rPr>
        <w:t>Nozaki, Akemi. 2007. Which is faster, learning new vocabulary from incidental reading, or from a word list? [Unpublished undergraduate thesis, Notre Dame Seishin University, Okayama, Japan.]</w:t>
      </w:r>
    </w:p>
    <w:p>
      <w:pPr>
        <w:pStyle w:val="TextBody"/>
        <w:widowControl/>
        <w:bidi w:val="0"/>
        <w:jc w:val="left"/>
        <w:rPr>
          <w:rFonts w:ascii="Liberation Serif" w:hAnsi="Liberation Serif"/>
          <w:b w:val="false"/>
          <w:i w:val="false"/>
          <w:caps w:val="false"/>
          <w:smallCaps w:val="false"/>
          <w:color w:val="auto"/>
          <w:spacing w:val="0"/>
          <w:sz w:val="21"/>
          <w:szCs w:val="21"/>
          <w:lang w:val="en-GB"/>
        </w:rPr>
      </w:pPr>
      <w:r>
        <w:rPr>
          <w:rFonts w:ascii="Liberation Serif" w:hAnsi="Liberation Serif"/>
          <w:b w:val="false"/>
          <w:i w:val="false"/>
          <w:caps w:val="false"/>
          <w:smallCaps w:val="false"/>
          <w:color w:val="auto"/>
          <w:spacing w:val="0"/>
          <w:sz w:val="21"/>
          <w:szCs w:val="21"/>
          <w:lang w:val="en-GB"/>
        </w:rPr>
        <w:t>Pitts, M. – H. White – Stephen Krashen. 1989. “Acquiring second language vocabulary through reading: a replication of the Clockwork Orange study using second language acquires”, </w:t>
      </w:r>
      <w:r>
        <w:rPr>
          <w:rFonts w:ascii="Liberation Serif" w:hAnsi="Liberation Serif"/>
          <w:b w:val="false"/>
          <w:i/>
          <w:caps w:val="false"/>
          <w:smallCaps w:val="false"/>
          <w:color w:val="auto"/>
          <w:spacing w:val="0"/>
          <w:sz w:val="21"/>
          <w:szCs w:val="21"/>
          <w:lang w:val="en-GB"/>
        </w:rPr>
        <w:t>Reading in a Foreign Language</w:t>
      </w:r>
      <w:r>
        <w:rPr>
          <w:rFonts w:ascii="Liberation Serif" w:hAnsi="Liberation Serif"/>
          <w:b w:val="false"/>
          <w:i w:val="false"/>
          <w:caps w:val="false"/>
          <w:smallCaps w:val="false"/>
          <w:color w:val="auto"/>
          <w:spacing w:val="0"/>
          <w:sz w:val="21"/>
          <w:szCs w:val="21"/>
          <w:lang w:val="en-GB"/>
        </w:rPr>
        <w:t> 5: 271-275.</w:t>
      </w:r>
    </w:p>
    <w:p>
      <w:pPr>
        <w:pStyle w:val="TextBody"/>
        <w:widowControl/>
        <w:bidi w:val="0"/>
        <w:jc w:val="left"/>
        <w:rPr>
          <w:rFonts w:ascii="Liberation Serif" w:hAnsi="Liberation Serif"/>
          <w:b w:val="false"/>
          <w:i w:val="false"/>
          <w:caps w:val="false"/>
          <w:smallCaps w:val="false"/>
          <w:color w:val="auto"/>
          <w:spacing w:val="0"/>
          <w:sz w:val="21"/>
          <w:szCs w:val="21"/>
          <w:lang w:val="en-GB"/>
        </w:rPr>
      </w:pPr>
      <w:r>
        <w:rPr>
          <w:rFonts w:ascii="Liberation Serif" w:hAnsi="Liberation Serif"/>
          <w:b w:val="false"/>
          <w:i w:val="false"/>
          <w:caps w:val="false"/>
          <w:smallCaps w:val="false"/>
          <w:color w:val="auto"/>
          <w:spacing w:val="0"/>
          <w:sz w:val="21"/>
          <w:szCs w:val="21"/>
          <w:lang w:val="en-GB"/>
        </w:rPr>
        <w:t>Thomlinson, Julian – Phil Woodall – Rob Waring. 2008. </w:t>
      </w:r>
      <w:r>
        <w:rPr>
          <w:rFonts w:ascii="Liberation Serif" w:hAnsi="Liberation Serif"/>
          <w:b w:val="false"/>
          <w:i/>
          <w:caps w:val="false"/>
          <w:smallCaps w:val="false"/>
          <w:color w:val="auto"/>
          <w:spacing w:val="0"/>
          <w:sz w:val="21"/>
          <w:szCs w:val="21"/>
          <w:lang w:val="en-GB"/>
        </w:rPr>
        <w:t>Sequences</w:t>
      </w:r>
      <w:r>
        <w:rPr>
          <w:rFonts w:ascii="Liberation Serif" w:hAnsi="Liberation Serif"/>
          <w:b w:val="false"/>
          <w:i w:val="false"/>
          <w:caps w:val="false"/>
          <w:smallCaps w:val="false"/>
          <w:color w:val="auto"/>
          <w:spacing w:val="0"/>
          <w:sz w:val="21"/>
          <w:szCs w:val="21"/>
          <w:lang w:val="en-GB"/>
        </w:rPr>
        <w:t>. Boston: Heinle Cengage.</w:t>
      </w:r>
    </w:p>
    <w:p>
      <w:pPr>
        <w:pStyle w:val="TextBody"/>
        <w:widowControl/>
        <w:bidi w:val="0"/>
        <w:jc w:val="left"/>
        <w:rPr>
          <w:rFonts w:ascii="Liberation Serif" w:hAnsi="Liberation Serif"/>
          <w:b w:val="false"/>
          <w:i w:val="false"/>
          <w:caps w:val="false"/>
          <w:smallCaps w:val="false"/>
          <w:color w:val="auto"/>
          <w:spacing w:val="0"/>
          <w:sz w:val="21"/>
          <w:szCs w:val="21"/>
          <w:lang w:val="en-GB"/>
        </w:rPr>
      </w:pPr>
      <w:r>
        <w:rPr>
          <w:rFonts w:ascii="Liberation Serif" w:hAnsi="Liberation Serif"/>
          <w:b w:val="false"/>
          <w:i w:val="false"/>
          <w:caps w:val="false"/>
          <w:smallCaps w:val="false"/>
          <w:color w:val="auto"/>
          <w:spacing w:val="0"/>
          <w:sz w:val="21"/>
          <w:szCs w:val="21"/>
          <w:lang w:val="en-GB"/>
        </w:rPr>
        <w:t>Waring, Rob. In preparation. </w:t>
      </w:r>
      <w:r>
        <w:rPr>
          <w:rFonts w:ascii="Liberation Serif" w:hAnsi="Liberation Serif"/>
          <w:b w:val="false"/>
          <w:i/>
          <w:caps w:val="false"/>
          <w:smallCaps w:val="false"/>
          <w:color w:val="auto"/>
          <w:spacing w:val="0"/>
          <w:sz w:val="21"/>
          <w:szCs w:val="21"/>
          <w:lang w:val="en-GB"/>
        </w:rPr>
        <w:t>Vocabulary uptake rates from foreign language reading.</w:t>
      </w:r>
    </w:p>
    <w:p>
      <w:pPr>
        <w:pStyle w:val="TextBody"/>
        <w:widowControl/>
        <w:bidi w:val="0"/>
        <w:jc w:val="left"/>
        <w:rPr/>
      </w:pPr>
      <w:r>
        <w:rPr>
          <w:rFonts w:ascii="Liberation Serif" w:hAnsi="Liberation Serif"/>
          <w:b w:val="false"/>
          <w:i w:val="false"/>
          <w:caps w:val="false"/>
          <w:smallCaps w:val="false"/>
          <w:color w:val="auto"/>
          <w:spacing w:val="0"/>
          <w:sz w:val="21"/>
          <w:szCs w:val="21"/>
          <w:lang w:val="en-GB"/>
        </w:rPr>
        <w:t>Waring, Rob – Maurice Jamall. 2007. </w:t>
      </w:r>
      <w:hyperlink r:id="rId5">
        <w:r>
          <w:rPr>
            <w:rStyle w:val="InternetLink"/>
            <w:rFonts w:ascii="Liberation Serif" w:hAnsi="Liberation Serif"/>
            <w:b w:val="false"/>
            <w:i/>
            <w:caps w:val="false"/>
            <w:smallCaps w:val="false"/>
            <w:color w:val="auto"/>
            <w:spacing w:val="0"/>
            <w:sz w:val="21"/>
            <w:szCs w:val="21"/>
            <w:lang w:val="en-GB"/>
          </w:rPr>
          <w:t>Foundations Reading Library</w:t>
        </w:r>
      </w:hyperlink>
      <w:r>
        <w:rPr>
          <w:rFonts w:ascii="Liberation Serif" w:hAnsi="Liberation Serif"/>
          <w:b w:val="false"/>
          <w:i w:val="false"/>
          <w:caps w:val="false"/>
          <w:smallCaps w:val="false"/>
          <w:color w:val="auto"/>
          <w:spacing w:val="0"/>
          <w:sz w:val="21"/>
          <w:szCs w:val="21"/>
          <w:lang w:val="en-GB"/>
        </w:rPr>
        <w:t>, Boston: Heinle Cengage.</w:t>
      </w:r>
    </w:p>
    <w:p>
      <w:pPr>
        <w:pStyle w:val="TextBody"/>
        <w:widowControl/>
        <w:bidi w:val="0"/>
        <w:jc w:val="left"/>
        <w:rPr>
          <w:rFonts w:ascii="Liberation Serif" w:hAnsi="Liberation Serif"/>
          <w:b w:val="false"/>
          <w:i w:val="false"/>
          <w:caps w:val="false"/>
          <w:smallCaps w:val="false"/>
          <w:color w:val="auto"/>
          <w:spacing w:val="0"/>
          <w:sz w:val="21"/>
          <w:szCs w:val="21"/>
          <w:lang w:val="en-GB"/>
        </w:rPr>
      </w:pPr>
      <w:r>
        <w:rPr>
          <w:rFonts w:ascii="Liberation Serif" w:hAnsi="Liberation Serif"/>
          <w:b w:val="false"/>
          <w:i w:val="false"/>
          <w:caps w:val="false"/>
          <w:smallCaps w:val="false"/>
          <w:color w:val="auto"/>
          <w:spacing w:val="0"/>
          <w:sz w:val="21"/>
          <w:szCs w:val="21"/>
          <w:lang w:val="en-GB"/>
        </w:rPr>
        <w:t>Waring, Rob – Misako Takaki. 2003. “At what rate do learners learn and retain new vocabulary from reading a graded reader?”, </w:t>
      </w:r>
      <w:r>
        <w:rPr>
          <w:rFonts w:ascii="Liberation Serif" w:hAnsi="Liberation Serif"/>
          <w:b w:val="false"/>
          <w:i/>
          <w:caps w:val="false"/>
          <w:smallCaps w:val="false"/>
          <w:color w:val="auto"/>
          <w:spacing w:val="0"/>
          <w:sz w:val="21"/>
          <w:szCs w:val="21"/>
          <w:lang w:val="en-GB"/>
        </w:rPr>
        <w:t>Reading in a Foreign Language</w:t>
      </w:r>
      <w:r>
        <w:rPr>
          <w:rFonts w:ascii="Liberation Serif" w:hAnsi="Liberation Serif"/>
          <w:b w:val="false"/>
          <w:i w:val="false"/>
          <w:caps w:val="false"/>
          <w:smallCaps w:val="false"/>
          <w:color w:val="auto"/>
          <w:spacing w:val="0"/>
          <w:sz w:val="21"/>
          <w:szCs w:val="21"/>
          <w:lang w:val="en-GB"/>
        </w:rPr>
        <w:t> 15: 130-163.</w:t>
      </w:r>
    </w:p>
    <w:p>
      <w:pPr>
        <w:pStyle w:val="TextBody"/>
        <w:bidi w:val="0"/>
        <w:spacing w:lineRule="auto" w:line="276" w:before="0" w:after="140"/>
        <w:jc w:val="left"/>
        <w:rPr/>
      </w:pPr>
      <w:r>
        <w:rPr/>
      </w:r>
    </w:p>
    <w:p>
      <w:pPr>
        <w:pStyle w:val="TextBody"/>
        <w:widowControl/>
        <w:bidi w:val="0"/>
        <w:ind w:left="0" w:right="0" w:hanging="0"/>
        <w:jc w:val="left"/>
        <w:rPr>
          <w:rFonts w:ascii="Arial" w:hAnsi="Arial"/>
          <w:b w:val="false"/>
          <w:i w:val="false"/>
          <w:i w:val="false"/>
          <w:iCs w:val="false"/>
          <w:caps w:val="false"/>
          <w:smallCaps w:val="false"/>
          <w:color w:val="434343"/>
          <w:spacing w:val="0"/>
          <w:sz w:val="21"/>
          <w:szCs w:val="21"/>
        </w:rPr>
      </w:pPr>
      <w:r>
        <w:rPr>
          <w:rFonts w:ascii="Arial" w:hAnsi="Arial"/>
          <w:b w:val="false"/>
          <w:i w:val="false"/>
          <w:iCs w:val="false"/>
          <w:caps w:val="false"/>
          <w:smallCaps w:val="false"/>
          <w:color w:val="434343"/>
          <w:spacing w:val="0"/>
          <w:sz w:val="21"/>
          <w:szCs w:val="21"/>
        </w:rPr>
      </w:r>
    </w:p>
    <w:p>
      <w:pPr>
        <w:pStyle w:val="TextBody"/>
        <w:bidi w:val="0"/>
        <w:jc w:val="left"/>
        <w:rPr/>
      </w:pPr>
      <w:r>
        <w:rPr/>
      </w:r>
    </w:p>
    <w:p>
      <w:pPr>
        <w:pStyle w:val="Normal"/>
        <w:bidi w:val="0"/>
        <w:jc w:val="left"/>
        <w:rPr/>
      </w:pPr>
      <w:r>
        <w:rPr/>
      </w:r>
    </w:p>
    <w:sectPr>
      <w:footerReference w:type="default" r:id="rId6"/>
      <w:type w:val="nextPage"/>
      <w:pgSz w:w="11906" w:h="16838"/>
      <w:pgMar w:left="1134" w:right="1134" w:gutter="0" w:header="0" w:top="1134" w:footer="1134" w:bottom="1693"/>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Arial">
    <w:charset w:val="01"/>
    <w:family w:val="auto"/>
    <w:pitch w:val="default"/>
  </w:font>
  <w:font w:name="Times New Roman">
    <w:altName w:val="serif"/>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right"/>
      <w:rPr/>
    </w:pPr>
    <w:r>
      <w:rPr/>
      <w:fldChar w:fldCharType="begin"/>
    </w:r>
    <w:r>
      <w:rPr/>
      <w:instrText xml:space="preserve"> PAGE </w:instrText>
    </w:r>
    <w:r>
      <w:rPr/>
      <w:fldChar w:fldCharType="separate"/>
    </w:r>
    <w:r>
      <w:rPr/>
      <w:t>19</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 w:val="24"/>
        <w:szCs w:val="24"/>
        <w:lang w:val="en-GB"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Songti SC" w:cs="Arial Unicode MS"/>
      <w:color w:val="auto"/>
      <w:kern w:val="2"/>
      <w:sz w:val="24"/>
      <w:szCs w:val="24"/>
      <w:lang w:val="en-GB" w:eastAsia="zh-CN" w:bidi="hi-IN"/>
    </w:rPr>
  </w:style>
  <w:style w:type="paragraph" w:styleId="Heading1">
    <w:name w:val="Heading 1"/>
    <w:basedOn w:val="Heading"/>
    <w:next w:val="TextBody"/>
    <w:qFormat/>
    <w:pPr>
      <w:numPr>
        <w:ilvl w:val="0"/>
        <w:numId w:val="1"/>
      </w:numPr>
      <w:spacing w:before="240" w:after="120"/>
      <w:outlineLvl w:val="0"/>
    </w:pPr>
    <w:rPr>
      <w:b/>
      <w:bCs/>
      <w:sz w:val="36"/>
      <w:szCs w:val="36"/>
    </w:rPr>
  </w:style>
  <w:style w:type="paragraph" w:styleId="Heading2">
    <w:name w:val="Heading 2"/>
    <w:basedOn w:val="Heading"/>
    <w:next w:val="TextBody"/>
    <w:qFormat/>
    <w:pPr>
      <w:spacing w:before="200" w:after="120"/>
      <w:outlineLvl w:val="1"/>
    </w:pPr>
    <w:rPr>
      <w:rFonts w:ascii="Liberation Serif" w:hAnsi="Liberation Serif" w:eastAsia="Songti SC" w:cs="Arial Unicode MS"/>
      <w:b/>
      <w:bCs/>
      <w:sz w:val="36"/>
      <w:szCs w:val="36"/>
    </w:rPr>
  </w:style>
  <w:style w:type="paragraph" w:styleId="Heading3">
    <w:name w:val="Heading 3"/>
    <w:basedOn w:val="Heading"/>
    <w:next w:val="TextBody"/>
    <w:qFormat/>
    <w:pPr>
      <w:numPr>
        <w:ilvl w:val="2"/>
        <w:numId w:val="1"/>
      </w:numPr>
      <w:spacing w:before="140" w:after="120"/>
      <w:outlineLvl w:val="2"/>
    </w:pPr>
    <w:rPr>
      <w:b/>
      <w:bCs/>
      <w:sz w:val="28"/>
      <w:szCs w:val="28"/>
    </w:rPr>
  </w:style>
  <w:style w:type="paragraph" w:styleId="Heading4">
    <w:name w:val="Heading 4"/>
    <w:basedOn w:val="Heading"/>
    <w:next w:val="TextBody"/>
    <w:qFormat/>
    <w:pPr>
      <w:spacing w:before="120" w:after="120"/>
      <w:outlineLvl w:val="3"/>
    </w:pPr>
    <w:rPr>
      <w:rFonts w:ascii="Liberation Serif" w:hAnsi="Liberation Serif" w:eastAsia="Songti SC" w:cs="Arial Unicode MS"/>
      <w:b/>
      <w:bCs/>
      <w:sz w:val="24"/>
      <w:szCs w:val="24"/>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PingFang SC" w:cs="Arial Unicode M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Quotations">
    <w:name w:val="Quotations"/>
    <w:basedOn w:val="Normal"/>
    <w:qFormat/>
    <w:pPr>
      <w:spacing w:before="0" w:after="283"/>
      <w:ind w:left="567" w:right="567" w:hanging="0"/>
    </w:pPr>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https://web.archive.org/web/20230412022512im_/https://robwaring.org/er/what_and_why/er_is_vital_files/image002.gif" TargetMode="External"/><Relationship Id="rId3" Type="http://schemas.openxmlformats.org/officeDocument/2006/relationships/image" Target="https://web.archive.org/web/20230412022512im_/https://robwaring.org/er/what_and_why/er_is_vital_files/image004.gif" TargetMode="External"/><Relationship Id="rId4" Type="http://schemas.openxmlformats.org/officeDocument/2006/relationships/hyperlink" Target="https://web.archive.org/web/20230412022512/http://www.victoria.ac.nz/lals/staff/paul-nation/range BNC.zip" TargetMode="External"/><Relationship Id="rId5" Type="http://schemas.openxmlformats.org/officeDocument/2006/relationships/hyperlink" Target="https://web.archive.org/web/20230412022512/http://elt.heinle.com/cgi-telt/course_products_wp.pl?fid=H2S&amp;series_id=1000001643&amp;subject_code=ZZZ01&amp;discipline_number=301" TargetMode="Externa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46</TotalTime>
  <Application>LibreOffice/7.5.3.2$MacOSX_X86_64 LibreOffice_project/9f56dff12ba03b9acd7730a5a481eea045e468f3</Application>
  <AppVersion>15.0000</AppVersion>
  <Pages>19</Pages>
  <Words>7895</Words>
  <Characters>39113</Characters>
  <CharactersWithSpaces>47251</CharactersWithSpaces>
  <Paragraphs>383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2025-09-11T23:06:25Z</dcterms:created>
  <dc:creator/>
  <dc:description/>
  <dc:language>en-GB</dc:language>
  <cp:lastModifiedBy/>
  <dcterms:modified xsi:type="dcterms:W3CDTF">2025-09-11T23:52:54Z</dcterms:modified>
  <cp:revision>3</cp:revision>
  <dc:subject/>
  <dc:title/>
</cp:coreProperties>
</file>