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Meeting Decisions</w:t>
      </w:r>
    </w:p>
    <w:p>
      <w:r>
        <w:t>The team decided to keep source evidence as the authority for follow-up questions.</w:t>
      </w:r>
    </w:p>
    <w:p>
      <w:r>
        <w:t>The benchmark comparison should explain why Traditional, Agentic, or Hybrid Graph is recommended.</w:t>
      </w:r>
    </w:p>
    <w:p>
      <w:r>
        <w:t>The Settings page must show host Ollama, model availability, vector store choice, and provider mode.</w:t>
      </w:r>
    </w:p>
  </w:body>
</w:document>
</file>