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McAfee India comparative UX evaluation</w:t>
      </w:r>
    </w:p>
    <w:p>
      <w:r>
        <w:t>Final CCA3 conclusion | Updated 25 October 2026</w:t>
      </w:r>
    </w:p>
    <w:p>
      <w:pPr>
        <w:pStyle w:val="Heading1"/>
      </w:pPr>
      <w:r>
        <w:t>Study scope and evidence</w:t>
      </w:r>
    </w:p>
    <w:p>
      <w:r>
        <w:t>The supplied ratings indicate a substantial improvement in perceived UX for the McAfee India redesign: the overall descriptive mean increased from 3.77/10 to 9.39/10, a gain of 5.62 scale points. This conclusion applies to five supplied paired records and is supported by the accompanying comments. It does not establish objective task performance or a population-wide improvement.</w:t>
      </w:r>
    </w:p>
    <w:p>
      <w:pPr>
        <w:pStyle w:val="Heading1"/>
      </w:pPr>
      <w:r>
        <w:t>Data and method</w:t>
      </w:r>
    </w:p>
    <w:p>
      <w:r>
        <w:t>Five original-site rows and five redesigned-site rows were supplied by the project owner, each containing 18 ratings. The official Google Form was inspected on 25 October 2026 to verify all question labels, their order and the 1-to-10 scale. Corresponding rows were paired in the order supplied and labelled P1 to P5. The analysis preserves all 180 ratings and calculates 90 within-person item differences, 18 parameter summaries and five participant averages. The overall mean weights each item equally; it is a descriptive summary, not a standardized UX score.</w:t>
      </w:r>
    </w:p>
    <w:p>
      <w:pPr>
        <w:pStyle w:val="Heading1"/>
      </w:pPr>
      <w:r>
        <w:t>Quantitative results</w:t>
      </w:r>
    </w:p>
    <w:p>
      <w:r>
        <w:t>Every supplied redesigned rating exceeds its corresponding original rating, and each of the five participant averages improves. Search and Discoverability shows the largest mean gain, from 2.60 to 9.40 (+6.80). Usability and User Satisfaction both rise from 3.40 to 10.00 (+6.60). Efficiency of Interaction shows the smallest gain, from 5.60 to 9.20 (+3.60). Original ratings range from 1 to 8, and redesigned ratings from 8 to 10. Near-ceiling redesign ratings leave limited room to distinguish between further improvements.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60" w:before="60"/>
            </w:pPr>
            <w:r>
              <w:rPr>
                <w:sz w:val="18"/>
              </w:rPr>
              <w:t>Participant</w:t>
            </w:r>
          </w:p>
        </w:tc>
        <w:tc>
          <w:tcPr>
            <w:tcW w:type="dxa" w:w="2520"/>
          </w:tcPr>
          <w:p>
            <w:pPr>
              <w:spacing w:after="60" w:before="60"/>
            </w:pPr>
            <w:r>
              <w:rPr>
                <w:sz w:val="18"/>
              </w:rPr>
              <w:t>Original mean</w:t>
            </w:r>
          </w:p>
        </w:tc>
        <w:tc>
          <w:tcPr>
            <w:tcW w:type="dxa" w:w="2520"/>
          </w:tcPr>
          <w:p>
            <w:pPr>
              <w:spacing w:after="60" w:before="60"/>
            </w:pPr>
            <w:r>
              <w:rPr>
                <w:sz w:val="18"/>
              </w:rPr>
              <w:t>Redesigned mean</w:t>
            </w:r>
          </w:p>
        </w:tc>
        <w:tc>
          <w:tcPr>
            <w:tcW w:type="dxa" w:w="2520"/>
          </w:tcPr>
          <w:p>
            <w:pPr>
              <w:spacing w:after="60" w:before="60"/>
            </w:pPr>
            <w:r>
              <w:rPr>
                <w:sz w:val="18"/>
              </w:rPr>
              <w:t>Gain</w:t>
            </w:r>
          </w:p>
        </w:tc>
      </w:tr>
      <w:tr>
        <w:tc>
          <w:tcPr>
            <w:tcW w:type="dxa" w:w="2520"/>
          </w:tcPr>
          <w:p>
            <w:pPr>
              <w:spacing w:after="60" w:before="60"/>
            </w:pPr>
            <w:r>
              <w:rPr>
                <w:sz w:val="18"/>
              </w:rPr>
              <w:t>P1</w:t>
            </w:r>
          </w:p>
        </w:tc>
        <w:tc>
          <w:tcPr>
            <w:tcW w:type="dxa" w:w="2520"/>
          </w:tcPr>
          <w:p>
            <w:pPr>
              <w:spacing w:after="60" w:before="60"/>
            </w:pPr>
            <w:r>
              <w:rPr>
                <w:sz w:val="18"/>
              </w:rPr>
              <w:t>3.22</w:t>
            </w:r>
          </w:p>
        </w:tc>
        <w:tc>
          <w:tcPr>
            <w:tcW w:type="dxa" w:w="2520"/>
          </w:tcPr>
          <w:p>
            <w:pPr>
              <w:spacing w:after="60" w:before="60"/>
            </w:pPr>
            <w:r>
              <w:rPr>
                <w:sz w:val="18"/>
              </w:rPr>
              <w:t>9.39</w:t>
            </w:r>
          </w:p>
        </w:tc>
        <w:tc>
          <w:tcPr>
            <w:tcW w:type="dxa" w:w="2520"/>
          </w:tcPr>
          <w:p>
            <w:pPr>
              <w:spacing w:after="60" w:before="60"/>
            </w:pPr>
            <w:r>
              <w:rPr>
                <w:sz w:val="18"/>
              </w:rPr>
              <w:t>+6.17</w:t>
            </w:r>
          </w:p>
        </w:tc>
      </w:tr>
      <w:tr>
        <w:tc>
          <w:tcPr>
            <w:tcW w:type="dxa" w:w="2520"/>
          </w:tcPr>
          <w:p>
            <w:pPr>
              <w:spacing w:after="60" w:before="60"/>
            </w:pPr>
            <w:r>
              <w:rPr>
                <w:sz w:val="18"/>
              </w:rPr>
              <w:t>P2</w:t>
            </w:r>
          </w:p>
        </w:tc>
        <w:tc>
          <w:tcPr>
            <w:tcW w:type="dxa" w:w="2520"/>
          </w:tcPr>
          <w:p>
            <w:pPr>
              <w:spacing w:after="60" w:before="60"/>
            </w:pPr>
            <w:r>
              <w:rPr>
                <w:sz w:val="18"/>
              </w:rPr>
              <w:t>4.67</w:t>
            </w:r>
          </w:p>
        </w:tc>
        <w:tc>
          <w:tcPr>
            <w:tcW w:type="dxa" w:w="2520"/>
          </w:tcPr>
          <w:p>
            <w:pPr>
              <w:spacing w:after="60" w:before="60"/>
            </w:pPr>
            <w:r>
              <w:rPr>
                <w:sz w:val="18"/>
              </w:rPr>
              <w:t>9.44</w:t>
            </w:r>
          </w:p>
        </w:tc>
        <w:tc>
          <w:tcPr>
            <w:tcW w:type="dxa" w:w="2520"/>
          </w:tcPr>
          <w:p>
            <w:pPr>
              <w:spacing w:after="60" w:before="60"/>
            </w:pPr>
            <w:r>
              <w:rPr>
                <w:sz w:val="18"/>
              </w:rPr>
              <w:t>+4.78</w:t>
            </w:r>
          </w:p>
        </w:tc>
      </w:tr>
      <w:tr>
        <w:tc>
          <w:tcPr>
            <w:tcW w:type="dxa" w:w="2520"/>
          </w:tcPr>
          <w:p>
            <w:pPr>
              <w:spacing w:after="60" w:before="60"/>
            </w:pPr>
            <w:r>
              <w:rPr>
                <w:sz w:val="18"/>
              </w:rPr>
              <w:t>P3</w:t>
            </w:r>
          </w:p>
        </w:tc>
        <w:tc>
          <w:tcPr>
            <w:tcW w:type="dxa" w:w="2520"/>
          </w:tcPr>
          <w:p>
            <w:pPr>
              <w:spacing w:after="60" w:before="60"/>
            </w:pPr>
            <w:r>
              <w:rPr>
                <w:sz w:val="18"/>
              </w:rPr>
              <w:t>2.89</w:t>
            </w:r>
          </w:p>
        </w:tc>
        <w:tc>
          <w:tcPr>
            <w:tcW w:type="dxa" w:w="2520"/>
          </w:tcPr>
          <w:p>
            <w:pPr>
              <w:spacing w:after="60" w:before="60"/>
            </w:pPr>
            <w:r>
              <w:rPr>
                <w:sz w:val="18"/>
              </w:rPr>
              <w:t>9.33</w:t>
            </w:r>
          </w:p>
        </w:tc>
        <w:tc>
          <w:tcPr>
            <w:tcW w:type="dxa" w:w="2520"/>
          </w:tcPr>
          <w:p>
            <w:pPr>
              <w:spacing w:after="60" w:before="60"/>
            </w:pPr>
            <w:r>
              <w:rPr>
                <w:sz w:val="18"/>
              </w:rPr>
              <w:t>+6.44</w:t>
            </w:r>
          </w:p>
        </w:tc>
      </w:tr>
      <w:tr>
        <w:tc>
          <w:tcPr>
            <w:tcW w:type="dxa" w:w="2520"/>
          </w:tcPr>
          <w:p>
            <w:pPr>
              <w:spacing w:after="60" w:before="60"/>
            </w:pPr>
            <w:r>
              <w:rPr>
                <w:sz w:val="18"/>
              </w:rPr>
              <w:t>P4</w:t>
            </w:r>
          </w:p>
        </w:tc>
        <w:tc>
          <w:tcPr>
            <w:tcW w:type="dxa" w:w="2520"/>
          </w:tcPr>
          <w:p>
            <w:pPr>
              <w:spacing w:after="60" w:before="60"/>
            </w:pPr>
            <w:r>
              <w:rPr>
                <w:sz w:val="18"/>
              </w:rPr>
              <w:t>4.28</w:t>
            </w:r>
          </w:p>
        </w:tc>
        <w:tc>
          <w:tcPr>
            <w:tcW w:type="dxa" w:w="2520"/>
          </w:tcPr>
          <w:p>
            <w:pPr>
              <w:spacing w:after="60" w:before="60"/>
            </w:pPr>
            <w:r>
              <w:rPr>
                <w:sz w:val="18"/>
              </w:rPr>
              <w:t>9.39</w:t>
            </w:r>
          </w:p>
        </w:tc>
        <w:tc>
          <w:tcPr>
            <w:tcW w:type="dxa" w:w="2520"/>
          </w:tcPr>
          <w:p>
            <w:pPr>
              <w:spacing w:after="60" w:before="60"/>
            </w:pPr>
            <w:r>
              <w:rPr>
                <w:sz w:val="18"/>
              </w:rPr>
              <w:t>+5.11</w:t>
            </w:r>
          </w:p>
        </w:tc>
      </w:tr>
      <w:tr>
        <w:tc>
          <w:tcPr>
            <w:tcW w:type="dxa" w:w="2520"/>
          </w:tcPr>
          <w:p>
            <w:pPr>
              <w:spacing w:after="60" w:before="60"/>
            </w:pPr>
            <w:r>
              <w:rPr>
                <w:sz w:val="18"/>
              </w:rPr>
              <w:t>P5</w:t>
            </w:r>
          </w:p>
        </w:tc>
        <w:tc>
          <w:tcPr>
            <w:tcW w:type="dxa" w:w="2520"/>
          </w:tcPr>
          <w:p>
            <w:pPr>
              <w:spacing w:after="60" w:before="60"/>
            </w:pPr>
            <w:r>
              <w:rPr>
                <w:sz w:val="18"/>
              </w:rPr>
              <w:t>3.78</w:t>
            </w:r>
          </w:p>
        </w:tc>
        <w:tc>
          <w:tcPr>
            <w:tcW w:type="dxa" w:w="2520"/>
          </w:tcPr>
          <w:p>
            <w:pPr>
              <w:spacing w:after="60" w:before="60"/>
            </w:pPr>
            <w:r>
              <w:rPr>
                <w:sz w:val="18"/>
              </w:rPr>
              <w:t>9.39</w:t>
            </w:r>
          </w:p>
        </w:tc>
        <w:tc>
          <w:tcPr>
            <w:tcW w:type="dxa" w:w="2520"/>
          </w:tcPr>
          <w:p>
            <w:pPr>
              <w:spacing w:after="60" w:before="60"/>
            </w:pPr>
            <w:r>
              <w:rPr>
                <w:sz w:val="18"/>
              </w:rPr>
              <w:t>+5.61</w:t>
            </w:r>
          </w:p>
        </w:tc>
      </w:tr>
    </w:tbl>
    <w:p>
      <w:pPr>
        <w:pStyle w:val="Heading1"/>
      </w:pPr>
      <w:r>
        <w:t>Participant profile</w:t>
      </w:r>
    </w:p>
    <w:p>
      <w:r>
        <w:t>The supplied records describe five male participants aged 18 to 21, with a mean age of 20.2 years. One reports under four hours of daily screen time, three report four to eight hours, and one reports over eight hours. Other profile answers were not supplied and are recorded as Not provided. The narrow age range and all-male sample limit generalisation.</w:t>
      </w:r>
    </w:p>
    <w:p>
      <w:r>
        <w:br w:type="page"/>
      </w:r>
    </w:p>
    <w:p>
      <w:pPr>
        <w:pStyle w:val="Heading1"/>
      </w:pPr>
      <w:r>
        <w:t>Qualitative interpretation</w:t>
      </w:r>
    </w:p>
    <w:p>
      <w:r>
        <w:t>The supplied P1 comments favour clearer navigation labels, aligning with the Navigation Structure increase from 3.60 to 9.60. P2 favours separate feature explanations and an illustrative demonstration. P3 prefers side-by-side plans. P4 describes better headings and spacing, consistent with the visual Hierarchy increase from 3.40 to 9.00. P5 finds refund and support information more readily, consistent with improved discoverability and reassurance. These comments explain possible reasons for the higher ratings; they do not measure speed or error reduction.</w:t>
      </w:r>
    </w:p>
    <w:p>
      <w:pPr>
        <w:pStyle w:val="Heading1"/>
      </w:pPr>
      <w:r>
        <w:t>Discrepancies and limitations</w:t>
      </w:r>
    </w:p>
    <w:p>
      <w:r>
        <w:t>The P3 comment mentions individual/family switching, but the supplied HTML offers All-round protection and My devices. That specific claim remains unverified and is not counted as an implemented improvement. The text has not been independently checked against the recordings. Ratings and demographics were supplied in chat rather than imported from a response export. Row pairing, association with transcript labels, participant independence and the exact task procedure require source verification.</w:t>
      </w:r>
    </w:p>
    <w:p>
      <w:r>
        <w:t>The redesigned rating sequences for P1 and P5 are identical. Both have been retained unchanged and flagged for checking against the original records. Eighteen ratings from one person are correlated observations: the study has five participants, not 90. No significance test or causal claim is reported. An original-first order may introduce learning effects. Perceived accessibility, performance and security are not compliance, timing or security tests. The Figma comparison was created after the supplied HTML and must not be assumed to be the artifact originally tested.</w:t>
      </w:r>
    </w:p>
    <w:p>
      <w:pPr>
        <w:pStyle w:val="Heading1"/>
      </w:pPr>
      <w:r>
        <w:t>Final conclusion</w:t>
      </w:r>
    </w:p>
    <w:p>
      <w:r>
        <w:t>Within the five supplied records, the redesign is rated more favourably on every one of the 18 UX parameters. The accompanying comments are consistent with clearer organisation, easier feature understanding, more readable content and more visible support. The evidence supports improved perceived UX in this small evaluation, subject to the noted data and procedure checks. It does not establish universal effectiveness. The earlier demonstration dataset is excluded from all current calculations; missing responses have not been generated or imputed.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