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McAfee India comparative UX evaluation</w:t>
      </w:r>
    </w:p>
    <w:p>
      <w:r>
        <w:t>Final CCA3 conclusion | MIT World Peace University | 25 October 2026</w:t>
      </w:r>
    </w:p>
    <w:p>
      <w:pPr>
        <w:pStyle w:val="Heading1"/>
      </w:pPr>
      <w:r>
        <w:t>Scope and evidence</w:t>
      </w:r>
    </w:p>
    <w:p>
      <w:r>
        <w:t>The supplied comments suggest that the McAfee India redesign is easier to understand and navigate. This is a preliminary qualitative interpretation, not completed mixed-methods validation. Five pairs of comments labelled P1 to P5 and five audio files were provided. The text has been preserved without independently checking it against the recordings. The prototype supplied for inspection is HTML; a Figma link and an authentic survey response export were not supplied.</w:t>
      </w:r>
    </w:p>
    <w:p>
      <w:pPr>
        <w:pStyle w:val="Heading1"/>
      </w:pPr>
      <w:r>
        <w:t>Qualitative findings</w:t>
      </w:r>
    </w:p>
    <w:p>
      <w:r>
        <w:t>P1 describes uncertainty about navigation categories on the original and clearer destinations in the redesign. P2 reports difficulty understanding the original feature descriptions and finds separate feature cards and an illustrative demonstration easier to understand. These comments support the design intention of reducing search effort and explaining protection in smaller sections.</w:t>
      </w:r>
    </w:p>
    <w:p>
      <w:r>
        <w:t>P3 prefers the side-by-side plan presentation. P4 describes competing elements on the original and clearer headings, spacing and colour in the redesign. P5 reports that the guarantee, support section and expandable questions are easier to find. Together, these comments suggest improvements in perceived organisation, readability and reassurance. Navigation, feature explanation, comparison, readability and support each have one directly relevant labelled pair; they were not each observed in all five comments.</w:t>
      </w:r>
    </w:p>
    <w:p>
      <w:pPr>
        <w:pStyle w:val="Heading1"/>
      </w:pPr>
      <w:r>
        <w:t>Prototype cross check</w:t>
      </w:r>
    </w:p>
    <w:p>
      <w:r>
        <w:t>The HTML contains Protection, How it works, Plans and Support links; separate feature cards; interactive device, privacy and identity illustrations; plan cards; and refund and support information. However, P3 mentions an individual/family switch that is absent. The implemented selector instead offers All-round protection and My devices. The original wording is retained, but that specific claim cannot be treated as a demonstrated improvement. Live prices and an end-to-end purchase flow are also absent, so improved purchase performance has not been established.</w:t>
      </w:r>
    </w:p>
    <w:p>
      <w:r>
        <w:br w:type="page"/>
      </w:r>
    </w:p>
    <w:p>
      <w:pPr>
        <w:pStyle w:val="Heading1"/>
      </w:pPr>
      <w:r>
        <w:t>Quantitative status</w:t>
      </w:r>
    </w:p>
    <w:p>
      <w:r>
        <w:t>At the project owner's request, a separate demonstration dataset contains five fictional cases rated across 18 provisional UX parameters. Every row and summary is labelled synthetic. These are not responses from P1 to P5. The official survey wording and rating scale could not be verified, and no genuine response export was available. The demonstration uses an assumed favourable 1-to-5 scale and an intentionally improvement-leaning generator. Its means and paired differences show the calculation format only; they do not validate the prototype or confirm the qualitative interpretation.</w:t>
      </w:r>
    </w:p>
    <w:p>
      <w:pPr>
        <w:pStyle w:val="Heading1"/>
      </w:pPr>
      <w:r>
        <w:t>Methodological limitations</w:t>
      </w:r>
    </w:p>
    <w:p>
      <w:r>
        <w:t>The five excerpts are brief and uniformly positive about the redesign. Recruitment independence, facilitation, consent and spontaneous think-aloud behaviour are not established by the supplied files. Prepared think-aloud scripts appear in earlier project context, so these statements cannot automatically be classified as spontaneous observations. Each excerpt addresses a different focus; the record does not establish that all five people performed one identical core task on both versions.</w:t>
      </w:r>
    </w:p>
    <w:p>
      <w:r>
        <w:t>No measured completion times, click counts, errors or task success rates were supplied. If the original-first sequence in the assignment was followed, learning and order effects may influence the comparison. Even a verified five-person study would provide exploratory evidence rather than a population-level conclusion. Visual design intentions do not demonstrate accessibility compliance or working antivirus, VPN or identity protection. The HTML itself identifies those states as illustrative.</w:t>
      </w:r>
    </w:p>
    <w:p>
      <w:pPr>
        <w:pStyle w:val="Heading1"/>
      </w:pPr>
      <w:r>
        <w:t>Conclusion</w:t>
      </w:r>
    </w:p>
    <w:p>
      <w:r>
        <w:t>The supplied comments are consistent with a redesign that improves perceived navigation clarity, feature understanding, plan presentation, readability and access to reassurance. The available record supports a promising design direction, with a specific discrepancy in the plan-switching comment. It does not establish that the redesign has been quantitatively validated. A defensible final mixed-methods conclusion requires authentic paired survey responses, verification of the comments against the recordings, and confirmation of task and prototype details. Synthetic data remains a disclosed demonstration appendix and is excluded from the effectiveness judgment.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