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pPr>
      <w:r>
        <w:rPr>
          <w:b/>
          <w:color w:val="2E74B5"/>
          <w:sz w:val="18"/>
        </w:rPr>
        <w:t>PHD THESIS DEFENSE</w:t>
      </w:r>
    </w:p>
    <w:p>
      <w:pPr>
        <w:pStyle w:val="Title"/>
      </w:pPr>
      <w:r>
        <w:t>Enhancing Software Evolution Reliability through Neurosymbolic Reasoning</w:t>
      </w:r>
    </w:p>
    <w:p>
      <w:pPr>
        <w:pStyle w:val="Subtitle"/>
      </w:pPr>
      <w:r>
        <w:t>Verbatim script, pacing guide, and slide-by-slide source notes</w:t>
      </w:r>
    </w:p>
    <w:tbl>
      <w:tblPr>
        <w:tblW w:type="dxa" w:w="9360"/>
        <w:jc w:val="center"/>
        <w:tblLayout w:type="fixed"/>
        <w:tblLook w:firstColumn="1" w:firstRow="1" w:lastColumn="0" w:lastRow="0" w:noHBand="0" w:noVBand="1" w:val="04A0"/>
      </w:tblPr>
      <w:tblGrid>
        <w:gridCol w:w="2340"/>
        <w:gridCol w:w="2340"/>
        <w:gridCol w:w="2340"/>
        <w:gridCol w:w="2340"/>
      </w:tblGrid>
      <w:tr>
        <w:trPr>
          <w:trHeight w:val="1368" w:hRule="atLeast"/>
          <w:cantSplit/>
        </w:trPr>
        <w:tc>
          <w:tcPr>
            <w:tcW w:type="dxa" w:w="2340"/>
            <w:tcMar>
              <w:top w:w="120" w:type="dxa"/>
              <w:start w:w="150" w:type="dxa"/>
              <w:bottom w:w="110" w:type="dxa"/>
              <w:end w:w="150" w:type="dxa"/>
            </w:tcMar>
            <w:shd w:fill="F4F7FB"/>
            <w:vAlign w:val="center"/>
          </w:tcPr>
          <w:p>
            <w:pPr>
              <w:spacing w:after="40"/>
              <w:jc w:val="center"/>
            </w:pPr>
            <w:r>
              <w:rPr>
                <w:b/>
                <w:color w:val="C8102E"/>
                <w:sz w:val="34"/>
              </w:rPr>
              <w:t>30 MIN</w:t>
            </w:r>
          </w:p>
          <w:p>
            <w:pPr>
              <w:spacing w:after="0"/>
              <w:jc w:val="center"/>
            </w:pPr>
            <w:r>
              <w:rPr>
                <w:b/>
                <w:color w:val="667085"/>
                <w:sz w:val="15"/>
              </w:rPr>
              <w:t>TARGET RUNTIME</w:t>
            </w:r>
          </w:p>
        </w:tc>
        <w:tc>
          <w:tcPr>
            <w:tcW w:type="dxa" w:w="2340"/>
            <w:tcMar>
              <w:top w:w="120" w:type="dxa"/>
              <w:start w:w="150" w:type="dxa"/>
              <w:bottom w:w="110" w:type="dxa"/>
              <w:end w:w="150" w:type="dxa"/>
            </w:tcMar>
            <w:shd w:fill="F4F7FB"/>
            <w:vAlign w:val="center"/>
          </w:tcPr>
          <w:p>
            <w:pPr>
              <w:spacing w:after="40"/>
              <w:jc w:val="center"/>
            </w:pPr>
            <w:r>
              <w:rPr>
                <w:b/>
                <w:color w:val="2E74B5"/>
                <w:sz w:val="34"/>
              </w:rPr>
              <w:t>20 SLIDES</w:t>
            </w:r>
          </w:p>
          <w:p>
            <w:pPr>
              <w:spacing w:after="0"/>
              <w:jc w:val="center"/>
            </w:pPr>
            <w:r>
              <w:rPr>
                <w:b/>
                <w:color w:val="667085"/>
                <w:sz w:val="15"/>
              </w:rPr>
              <w:t>CORE DECK</w:t>
            </w:r>
          </w:p>
        </w:tc>
        <w:tc>
          <w:tcPr>
            <w:tcW w:type="dxa" w:w="2340"/>
            <w:tcMar>
              <w:top w:w="120" w:type="dxa"/>
              <w:start w:w="150" w:type="dxa"/>
              <w:bottom w:w="110" w:type="dxa"/>
              <w:end w:w="150" w:type="dxa"/>
            </w:tcMar>
            <w:shd w:fill="F4F7FB"/>
            <w:vAlign w:val="center"/>
          </w:tcPr>
          <w:p>
            <w:pPr>
              <w:spacing w:after="40"/>
              <w:jc w:val="center"/>
            </w:pPr>
            <w:r>
              <w:rPr>
                <w:b/>
                <w:color w:val="C8102E"/>
                <w:sz w:val="34"/>
              </w:rPr>
              <w:t>3 SECTIONS</w:t>
            </w:r>
          </w:p>
          <w:p>
            <w:pPr>
              <w:spacing w:after="0"/>
              <w:jc w:val="center"/>
            </w:pPr>
            <w:r>
              <w:rPr>
                <w:b/>
                <w:color w:val="667085"/>
                <w:sz w:val="15"/>
              </w:rPr>
              <w:t>THREE PAPERS</w:t>
            </w:r>
          </w:p>
        </w:tc>
        <w:tc>
          <w:tcPr>
            <w:tcW w:type="dxa" w:w="2340"/>
            <w:tcMar>
              <w:top w:w="120" w:type="dxa"/>
              <w:start w:w="150" w:type="dxa"/>
              <w:bottom w:w="110" w:type="dxa"/>
              <w:end w:w="150" w:type="dxa"/>
            </w:tcMar>
            <w:shd w:fill="F4F7FB"/>
            <w:vAlign w:val="center"/>
          </w:tcPr>
          <w:p>
            <w:pPr>
              <w:spacing w:after="40"/>
              <w:jc w:val="center"/>
            </w:pPr>
            <w:r>
              <w:rPr>
                <w:b/>
                <w:color w:val="2E74B5"/>
                <w:sz w:val="34"/>
              </w:rPr>
              <w:t>3,635 WORDS</w:t>
            </w:r>
          </w:p>
          <w:p>
            <w:pPr>
              <w:spacing w:after="0"/>
              <w:jc w:val="center"/>
            </w:pPr>
            <w:r>
              <w:rPr>
                <w:b/>
                <w:color w:val="667085"/>
                <w:sz w:val="15"/>
              </w:rPr>
              <w:t>SPOKEN SCRIPT</w:t>
            </w:r>
          </w:p>
        </w:tc>
      </w:tr>
    </w:tbl>
    <w:p>
      <w:pPr>
        <w:spacing w:after="0"/>
      </w:pPr>
    </w:p>
    <w:p>
      <w:pPr>
        <w:spacing w:before="360" w:after="80"/>
      </w:pPr>
      <w:r>
        <w:rPr>
          <w:b/>
          <w:color w:val="0A2E5D"/>
          <w:sz w:val="26"/>
        </w:rPr>
        <w:t>Xiufeng Xu</w:t>
      </w:r>
    </w:p>
    <w:p>
      <w:pPr>
        <w:spacing w:after="40"/>
      </w:pPr>
      <w:r>
        <w:rPr>
          <w:color w:val="667085"/>
          <w:sz w:val="21"/>
        </w:rPr>
        <w:t>Doctor of Philosophy · Nanyang Technological University</w:t>
      </w:r>
    </w:p>
    <w:p>
      <w:pPr>
        <w:spacing w:after="40"/>
      </w:pPr>
      <w:r>
        <w:rPr>
          <w:color w:val="667085"/>
          <w:sz w:val="21"/>
        </w:rPr>
        <w:t>College of Computing and Data Science</w:t>
      </w:r>
    </w:p>
    <w:p>
      <w:pPr>
        <w:spacing w:after="40"/>
      </w:pPr>
      <w:r>
        <w:rPr>
          <w:color w:val="667085"/>
          <w:sz w:val="21"/>
        </w:rPr>
        <w:t>Supervisor: Prof. Yi Li · 2026</w:t>
      </w:r>
    </w:p>
    <w:p>
      <w:pPr>
        <w:spacing w:before="440" w:after="0"/>
      </w:pPr>
      <w:r>
        <w:rPr>
          <w:i/>
          <w:color w:val="667085"/>
          <w:sz w:val="19"/>
        </w:rPr>
        <w:t>Delivery note: the script is calibrated for a measured 120–125 words per minute, with brief pauses on figures and results.</w:t>
      </w:r>
    </w:p>
    <w:p>
      <w:r>
        <w:br w:type="page"/>
      </w:r>
    </w:p>
    <w:p>
      <w:pPr>
        <w:keepNext/>
        <w:spacing w:after="0"/>
      </w:pPr>
      <w:r>
        <w:rPr>
          <w:b/>
          <w:color w:val="2E74B5"/>
          <w:sz w:val="18"/>
        </w:rPr>
        <w:t>RUN OF SHOW</w:t>
      </w:r>
    </w:p>
    <w:p>
      <w:pPr>
        <w:pStyle w:val="Title"/>
      </w:pPr>
      <w:r>
        <w:t>Thirty-minute pacing map</w:t>
      </w:r>
    </w:p>
    <w:p>
      <w:pPr>
        <w:pStyle w:val="Subtitle"/>
      </w:pPr>
      <w:r>
        <w:t>The talk is organized into three paper sections while following one lifecycle: perceive external change, locate the logic to modify, and verify the delivered contract.</w:t>
      </w:r>
    </w:p>
    <w:tbl>
      <w:tblPr>
        <w:tblW w:type="dxa" w:w="9360"/>
        <w:jc w:val="center"/>
        <w:tblLayout w:type="fixed"/>
        <w:tblLook w:firstColumn="1" w:firstRow="1" w:lastColumn="0" w:lastRow="0" w:noHBand="0" w:noVBand="1" w:val="04A0"/>
      </w:tblPr>
      <w:tblGrid>
        <w:gridCol w:w="3120"/>
        <w:gridCol w:w="3120"/>
        <w:gridCol w:w="3120"/>
      </w:tblGrid>
      <w:tr>
        <w:trPr>
          <w:cantSplit/>
        </w:trPr>
        <w:tc>
          <w:tcPr>
            <w:tcW w:type="dxa" w:w="1500"/>
            <w:tcMar>
              <w:top w:w="80" w:type="dxa"/>
              <w:start w:w="120" w:type="dxa"/>
              <w:bottom w:w="80" w:type="dxa"/>
              <w:end w:w="120" w:type="dxa"/>
            </w:tcMar>
            <w:shd w:fill="E8EEF5"/>
            <w:vAlign w:val="center"/>
          </w:tcPr>
          <w:p>
            <w:pPr>
              <w:spacing w:after="0"/>
            </w:pPr>
            <w:r>
              <w:rPr>
                <w:b/>
                <w:color w:val="0A2E5D"/>
                <w:sz w:val="18"/>
              </w:rPr>
              <w:t>Time</w:t>
            </w:r>
          </w:p>
        </w:tc>
        <w:tc>
          <w:tcPr>
            <w:tcW w:type="dxa" w:w="2700"/>
            <w:tcMar>
              <w:top w:w="80" w:type="dxa"/>
              <w:start w:w="120" w:type="dxa"/>
              <w:bottom w:w="80" w:type="dxa"/>
              <w:end w:w="120" w:type="dxa"/>
            </w:tcMar>
            <w:shd w:fill="E8EEF5"/>
            <w:vAlign w:val="center"/>
          </w:tcPr>
          <w:p>
            <w:pPr>
              <w:spacing w:after="0"/>
            </w:pPr>
            <w:r>
              <w:rPr>
                <w:b/>
                <w:color w:val="0A2E5D"/>
                <w:sz w:val="18"/>
              </w:rPr>
              <w:t>Purpose</w:t>
            </w:r>
          </w:p>
        </w:tc>
        <w:tc>
          <w:tcPr>
            <w:tcW w:type="dxa" w:w="5160"/>
            <w:tcMar>
              <w:top w:w="80" w:type="dxa"/>
              <w:start w:w="120" w:type="dxa"/>
              <w:bottom w:w="80" w:type="dxa"/>
              <w:end w:w="120" w:type="dxa"/>
            </w:tcMar>
            <w:shd w:fill="E8EEF5"/>
            <w:vAlign w:val="center"/>
          </w:tcPr>
          <w:p>
            <w:pPr>
              <w:spacing w:after="0"/>
            </w:pPr>
            <w:r>
              <w:rPr>
                <w:b/>
                <w:color w:val="0A2E5D"/>
                <w:sz w:val="18"/>
              </w:rPr>
              <w:t>Slides</w:t>
            </w:r>
          </w:p>
        </w:tc>
      </w:tr>
      <w:tr>
        <w:trPr>
          <w:cantSplit/>
        </w:trPr>
        <w:tc>
          <w:tcPr>
            <w:tcW w:type="dxa" w:w="1500"/>
            <w:tcMar>
              <w:top w:w="75" w:type="dxa"/>
              <w:start w:w="120" w:type="dxa"/>
              <w:bottom w:w="75" w:type="dxa"/>
              <w:end w:w="120" w:type="dxa"/>
            </w:tcMar>
            <w:vAlign w:val="center"/>
          </w:tcPr>
          <w:p>
            <w:pPr>
              <w:spacing w:after="0"/>
            </w:pPr>
            <w:r>
              <w:rPr>
                <w:b/>
                <w:color w:val="2E74B5"/>
                <w:sz w:val="18"/>
              </w:rPr>
              <w:t>0:00–5:20</w:t>
            </w:r>
          </w:p>
        </w:tc>
        <w:tc>
          <w:tcPr>
            <w:tcW w:type="dxa" w:w="2700"/>
            <w:tcMar>
              <w:top w:w="75" w:type="dxa"/>
              <w:start w:w="120" w:type="dxa"/>
              <w:bottom w:w="75" w:type="dxa"/>
              <w:end w:w="120" w:type="dxa"/>
            </w:tcMar>
            <w:vAlign w:val="center"/>
          </w:tcPr>
          <w:p>
            <w:pPr>
              <w:spacing w:after="0"/>
            </w:pPr>
            <w:r>
              <w:rPr>
                <w:sz w:val="18"/>
              </w:rPr>
              <w:t>Opening</w:t>
            </w:r>
          </w:p>
        </w:tc>
        <w:tc>
          <w:tcPr>
            <w:tcW w:type="dxa" w:w="5160"/>
            <w:tcMar>
              <w:top w:w="75" w:type="dxa"/>
              <w:start w:w="120" w:type="dxa"/>
              <w:bottom w:w="75" w:type="dxa"/>
              <w:end w:w="120" w:type="dxa"/>
            </w:tcMar>
            <w:vAlign w:val="center"/>
          </w:tcPr>
          <w:p>
            <w:pPr>
              <w:spacing w:after="0"/>
            </w:pPr>
            <w:r>
              <w:rPr>
                <w:sz w:val="18"/>
              </w:rPr>
              <w:t>Motivation, LLM reliability gap, three-paper map</w:t>
            </w:r>
          </w:p>
        </w:tc>
      </w:tr>
      <w:tr>
        <w:trPr>
          <w:cantSplit/>
        </w:trPr>
        <w:tc>
          <w:tcPr>
            <w:tcW w:type="dxa" w:w="1500"/>
            <w:tcMar>
              <w:top w:w="75" w:type="dxa"/>
              <w:start w:w="120" w:type="dxa"/>
              <w:bottom w:w="75" w:type="dxa"/>
              <w:end w:w="120" w:type="dxa"/>
            </w:tcMar>
            <w:vAlign w:val="center"/>
          </w:tcPr>
          <w:p>
            <w:pPr>
              <w:spacing w:after="0"/>
            </w:pPr>
            <w:r>
              <w:rPr>
                <w:b/>
                <w:color w:val="2E74B5"/>
                <w:sz w:val="18"/>
              </w:rPr>
              <w:t>5:20–9:45</w:t>
            </w:r>
          </w:p>
        </w:tc>
        <w:tc>
          <w:tcPr>
            <w:tcW w:type="dxa" w:w="2700"/>
            <w:tcMar>
              <w:top w:w="75" w:type="dxa"/>
              <w:start w:w="120" w:type="dxa"/>
              <w:bottom w:w="75" w:type="dxa"/>
              <w:end w:w="120" w:type="dxa"/>
            </w:tcMar>
            <w:vAlign w:val="center"/>
          </w:tcPr>
          <w:p>
            <w:pPr>
              <w:spacing w:after="0"/>
            </w:pPr>
            <w:r>
              <w:rPr>
                <w:sz w:val="18"/>
              </w:rPr>
              <w:t>Section 01 · CompSuite</w:t>
            </w:r>
          </w:p>
        </w:tc>
        <w:tc>
          <w:tcPr>
            <w:tcW w:type="dxa" w:w="5160"/>
            <w:tcMar>
              <w:top w:w="75" w:type="dxa"/>
              <w:start w:w="120" w:type="dxa"/>
              <w:bottom w:w="75" w:type="dxa"/>
              <w:end w:w="120" w:type="dxa"/>
            </w:tcMar>
            <w:vAlign w:val="center"/>
          </w:tcPr>
          <w:p>
            <w:pPr>
              <w:spacing w:after="0"/>
            </w:pPr>
            <w:r>
              <w:rPr>
                <w:sz w:val="18"/>
              </w:rPr>
              <w:t>Environment perception and executable upgrade evidence</w:t>
            </w:r>
          </w:p>
        </w:tc>
      </w:tr>
      <w:tr>
        <w:trPr>
          <w:cantSplit/>
        </w:trPr>
        <w:tc>
          <w:tcPr>
            <w:tcW w:type="dxa" w:w="1500"/>
            <w:tcMar>
              <w:top w:w="75" w:type="dxa"/>
              <w:start w:w="120" w:type="dxa"/>
              <w:bottom w:w="75" w:type="dxa"/>
              <w:end w:w="120" w:type="dxa"/>
            </w:tcMar>
            <w:vAlign w:val="center"/>
          </w:tcPr>
          <w:p>
            <w:pPr>
              <w:spacing w:after="0"/>
            </w:pPr>
            <w:r>
              <w:rPr>
                <w:b/>
                <w:color w:val="2E74B5"/>
                <w:sz w:val="18"/>
              </w:rPr>
              <w:t>9:45–17:55</w:t>
            </w:r>
          </w:p>
        </w:tc>
        <w:tc>
          <w:tcPr>
            <w:tcW w:type="dxa" w:w="2700"/>
            <w:tcMar>
              <w:top w:w="75" w:type="dxa"/>
              <w:start w:w="120" w:type="dxa"/>
              <w:bottom w:w="75" w:type="dxa"/>
              <w:end w:w="120" w:type="dxa"/>
            </w:tcMar>
            <w:vAlign w:val="center"/>
          </w:tcPr>
          <w:p>
            <w:pPr>
              <w:spacing w:after="0"/>
            </w:pPr>
            <w:r>
              <w:rPr>
                <w:sz w:val="18"/>
              </w:rPr>
              <w:t>Section 02 · DataLoc</w:t>
            </w:r>
          </w:p>
        </w:tc>
        <w:tc>
          <w:tcPr>
            <w:tcW w:type="dxa" w:w="5160"/>
            <w:tcMar>
              <w:top w:w="75" w:type="dxa"/>
              <w:start w:w="120" w:type="dxa"/>
              <w:bottom w:w="75" w:type="dxa"/>
              <w:end w:w="120" w:type="dxa"/>
            </w:tcMar>
            <w:vAlign w:val="center"/>
          </w:tcPr>
          <w:p>
            <w:pPr>
              <w:spacing w:after="0"/>
            </w:pPr>
            <w:r>
              <w:rPr>
                <w:sz w:val="18"/>
              </w:rPr>
              <w:t>Keyword Shortcut, KA-LogicQuery, and verifiable localization</w:t>
            </w:r>
          </w:p>
        </w:tc>
      </w:tr>
      <w:tr>
        <w:trPr>
          <w:cantSplit/>
        </w:trPr>
        <w:tc>
          <w:tcPr>
            <w:tcW w:type="dxa" w:w="1500"/>
            <w:tcMar>
              <w:top w:w="75" w:type="dxa"/>
              <w:start w:w="120" w:type="dxa"/>
              <w:bottom w:w="75" w:type="dxa"/>
              <w:end w:w="120" w:type="dxa"/>
            </w:tcMar>
            <w:vAlign w:val="center"/>
          </w:tcPr>
          <w:p>
            <w:pPr>
              <w:spacing w:after="0"/>
            </w:pPr>
            <w:r>
              <w:rPr>
                <w:b/>
                <w:color w:val="2E74B5"/>
                <w:sz w:val="18"/>
              </w:rPr>
              <w:t>17:55–25:35</w:t>
            </w:r>
          </w:p>
        </w:tc>
        <w:tc>
          <w:tcPr>
            <w:tcW w:type="dxa" w:w="2700"/>
            <w:tcMar>
              <w:top w:w="75" w:type="dxa"/>
              <w:start w:w="120" w:type="dxa"/>
              <w:bottom w:w="75" w:type="dxa"/>
              <w:end w:w="120" w:type="dxa"/>
            </w:tcMar>
            <w:vAlign w:val="center"/>
          </w:tcPr>
          <w:p>
            <w:pPr>
              <w:spacing w:after="0"/>
            </w:pPr>
            <w:r>
              <w:rPr>
                <w:sz w:val="18"/>
              </w:rPr>
              <w:t>Section 03 · MPChecker</w:t>
            </w:r>
          </w:p>
        </w:tc>
        <w:tc>
          <w:tcPr>
            <w:tcW w:type="dxa" w:w="5160"/>
            <w:tcMar>
              <w:top w:w="75" w:type="dxa"/>
              <w:start w:w="120" w:type="dxa"/>
              <w:bottom w:w="75" w:type="dxa"/>
              <w:end w:w="120" w:type="dxa"/>
            </w:tcMar>
            <w:vAlign w:val="center"/>
          </w:tcPr>
          <w:p>
            <w:pPr>
              <w:spacing w:after="0"/>
            </w:pPr>
            <w:r>
              <w:rPr>
                <w:sz w:val="18"/>
              </w:rPr>
              <w:t>Multi-parameter code–documentation contract checking</w:t>
            </w:r>
          </w:p>
        </w:tc>
      </w:tr>
      <w:tr>
        <w:trPr>
          <w:cantSplit/>
        </w:trPr>
        <w:tc>
          <w:tcPr>
            <w:tcW w:type="dxa" w:w="1500"/>
            <w:tcMar>
              <w:top w:w="75" w:type="dxa"/>
              <w:start w:w="120" w:type="dxa"/>
              <w:bottom w:w="75" w:type="dxa"/>
              <w:end w:w="120" w:type="dxa"/>
            </w:tcMar>
            <w:vAlign w:val="center"/>
          </w:tcPr>
          <w:p>
            <w:pPr>
              <w:spacing w:after="0"/>
            </w:pPr>
            <w:r>
              <w:rPr>
                <w:b/>
                <w:color w:val="2E74B5"/>
                <w:sz w:val="18"/>
              </w:rPr>
              <w:t>25:35–30:00</w:t>
            </w:r>
          </w:p>
        </w:tc>
        <w:tc>
          <w:tcPr>
            <w:tcW w:type="dxa" w:w="2700"/>
            <w:tcMar>
              <w:top w:w="75" w:type="dxa"/>
              <w:start w:w="120" w:type="dxa"/>
              <w:bottom w:w="75" w:type="dxa"/>
              <w:end w:w="120" w:type="dxa"/>
            </w:tcMar>
            <w:vAlign w:val="center"/>
          </w:tcPr>
          <w:p>
            <w:pPr>
              <w:spacing w:after="0"/>
            </w:pPr>
            <w:r>
              <w:rPr>
                <w:sz w:val="18"/>
              </w:rPr>
              <w:t>Synthesize</w:t>
            </w:r>
          </w:p>
        </w:tc>
        <w:tc>
          <w:tcPr>
            <w:tcW w:type="dxa" w:w="5160"/>
            <w:tcMar>
              <w:top w:w="75" w:type="dxa"/>
              <w:start w:w="120" w:type="dxa"/>
              <w:bottom w:w="75" w:type="dxa"/>
              <w:end w:w="120" w:type="dxa"/>
            </w:tcMar>
            <w:vAlign w:val="center"/>
          </w:tcPr>
          <w:p>
            <w:pPr>
              <w:spacing w:after="0"/>
            </w:pPr>
            <w:r>
              <w:rPr>
                <w:sz w:val="18"/>
              </w:rPr>
              <w:t>Lifecycle principle, limitations, and close</w:t>
            </w:r>
          </w:p>
        </w:tc>
      </w:tr>
    </w:tbl>
    <w:p>
      <w:pPr>
        <w:pStyle w:val="Heading2"/>
      </w:pPr>
      <w:r>
        <w:t>Rehearsal conventions</w:t>
      </w:r>
    </w:p>
    <w:p>
      <w:pPr>
        <w:pStyle w:val="ListBullet"/>
      </w:pPr>
      <w:r>
        <w:t>The text under “Verbatim script” is intended to be spoken. Source blocks are for preparation, not delivery.</w:t>
      </w:r>
    </w:p>
    <w:p>
      <w:pPr>
        <w:pStyle w:val="ListBullet"/>
      </w:pPr>
      <w:r>
        <w:t>Pause briefly after red-highlighted result slides and let the audience read the numbers before interpreting them.</w:t>
      </w:r>
    </w:p>
    <w:p>
      <w:pPr>
        <w:pStyle w:val="ListBullet"/>
      </w:pPr>
      <w:r>
        <w:t>If time runs short, compress Slides 3, 9, 13, and 16; preserve every section opening and result slide.</w:t>
      </w:r>
    </w:p>
    <w:p>
      <w:pPr>
        <w:pStyle w:val="ListBullet"/>
      </w:pPr>
      <w:r>
        <w:t>Keep the final 85 seconds intact so the thesis claim resolves clearly before questions.</w:t>
      </w:r>
    </w:p>
    <w:p>
      <w:r>
        <w:br w:type="page"/>
      </w:r>
    </w:p>
    <w:p>
      <w:pPr>
        <w:keepNext/>
        <w:spacing w:after="20"/>
      </w:pPr>
      <w:r>
        <w:rPr>
          <w:b/>
          <w:color w:val="2E74B5"/>
          <w:sz w:val="18"/>
        </w:rPr>
        <w:t>OPENING · SLIDE 01 · 0:00–0:45</w:t>
      </w:r>
    </w:p>
    <w:p>
      <w:pPr>
        <w:pStyle w:val="Heading1"/>
        <w:spacing w:before="80"/>
      </w:pPr>
      <w:r>
        <w:t>Enhancing Software Evolution Reliability through Neurosymbolic Reasoning</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Xiufeng Xu</w:t>
        <w:br/>
        <w:t>PhD Thesis Defense · Nanyang Technological University</w:t>
        <w:br/>
        <w:t>Supervisor: Prof. Yi Li · 2026</w:t>
      </w:r>
    </w:p>
    <w:p>
      <w:pPr>
        <w:pStyle w:val="Heading2"/>
      </w:pPr>
      <w:r>
        <w:t>Verbatim script</w:t>
      </w:r>
    </w:p>
    <w:p>
      <w:pPr>
        <w:widowControl/>
        <w:spacing w:after="140" w:line="300" w:lineRule="auto"/>
      </w:pPr>
      <w:r>
        <w:t>Good morning, and thank you for being here. My name is Xiufeng Xu, and today I will present my doctoral research, entitled “Enhancing Software Evolution Reliability through Neurosymbolic Reasoning.”</w:t>
      </w:r>
    </w:p>
    <w:p>
      <w:pPr>
        <w:widowControl/>
        <w:spacing w:after="140" w:line="300" w:lineRule="auto"/>
      </w:pPr>
      <w:r>
        <w:t>I would like to begin with a very small software change: changing one version number in a dependency file. That one-line change may alter library behavior, break a downstream client, require developers to locate unfamiliar code across a large repository, and eventually leave the documentation describing behavior that is no longer true.</w:t>
      </w:r>
    </w:p>
    <w:p>
      <w:pPr>
        <w:widowControl/>
        <w:spacing w:after="140" w:line="300" w:lineRule="auto"/>
      </w:pPr>
      <w:r>
        <w:t>This chain of consequences motivates my thesis. My central argument is that the flexibility of large language models is valuable, but reliable software evolution also requires reproducible evidence and formal, verifiable reasoning.</w:t>
      </w:r>
    </w:p>
    <w:p>
      <w:pPr>
        <w:pStyle w:val="Heading3"/>
        <w:spacing w:before="160" w:after="60"/>
      </w:pPr>
      <w:r>
        <w:t>Sources</w:t>
      </w:r>
    </w:p>
    <w:p>
      <w:pPr>
        <w:pStyle w:val="ListBullet"/>
        <w:keepLines/>
        <w:spacing w:after="40"/>
      </w:pPr>
      <w:r>
        <w:rPr>
          <w:color w:val="667085"/>
          <w:sz w:val="17"/>
        </w:rPr>
        <w:t>Xiufeng Xu, PhD thesis, title page and Abstract, 2026.</w:t>
      </w:r>
    </w:p>
    <w:p>
      <w:pPr>
        <w:pStyle w:val="ListBullet"/>
        <w:keepLines/>
        <w:spacing w:after="40"/>
      </w:pPr>
      <w:r>
        <w:rPr>
          <w:color w:val="667085"/>
          <w:sz w:val="17"/>
        </w:rPr>
        <w:t>Thesis.cls, document variables for title, author, degree, institution, and supervisor.</w:t>
      </w:r>
    </w:p>
    <w:p>
      <w:r>
        <w:br w:type="page"/>
      </w:r>
    </w:p>
    <w:p>
      <w:pPr>
        <w:keepNext/>
        <w:spacing w:after="20"/>
      </w:pPr>
      <w:r>
        <w:rPr>
          <w:b/>
          <w:color w:val="2E74B5"/>
          <w:sz w:val="18"/>
        </w:rPr>
        <w:t>OPENING · SLIDE 02 · 0:45–2:20</w:t>
      </w:r>
    </w:p>
    <w:p>
      <w:pPr>
        <w:pStyle w:val="Heading1"/>
        <w:spacing w:before="80"/>
      </w:pPr>
      <w:r>
        <w:t>Software evolves as a network</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Continuous change — is necessary for useful software.  |  Dependencies — turn local changes into ecosystem risks.  |  Reliability — must be managed across the lifecycle.</w:t>
      </w:r>
    </w:p>
    <w:p>
      <w:pPr>
        <w:pStyle w:val="Heading2"/>
      </w:pPr>
      <w:r>
        <w:t>Verbatim script</w:t>
      </w:r>
    </w:p>
    <w:p>
      <w:pPr>
        <w:widowControl/>
        <w:spacing w:after="140" w:line="300" w:lineRule="auto"/>
      </w:pPr>
      <w:r>
        <w:t>Software is almost never built once and then left unchanged. A useful system must continuously adapt to new requirements, new platforms, security threats, defects, and changing dependencies. This continuous process is software evolution.</w:t>
      </w:r>
    </w:p>
    <w:p>
      <w:pPr>
        <w:widowControl/>
        <w:spacing w:after="140" w:line="300" w:lineRule="auto"/>
      </w:pPr>
      <w:r>
        <w:t>The difficulty is that modern software is not an isolated program. It is a node in a large dependency network. The thesis cites an analysis of approximately 380,000 PyPI packages, in which each package had, on average, 2.6 direct dependencies and 129.6 transitive, non-unique dependencies. Reuse makes development faster, but it also means that a local change can propagate far beyond the repository where it originated.</w:t>
      </w:r>
    </w:p>
    <w:p>
      <w:pPr>
        <w:widowControl/>
        <w:spacing w:after="140" w:line="300" w:lineRule="auto"/>
      </w:pPr>
      <w:r>
        <w:t>Software evolution therefore has two directions. Reactive adaptation responds to external changes, such as a third-party library upgrade. Proactive improvement changes the system internally through bug fixing, refactoring, or feature development. Both directions create the same reliability question: how can we change software without losing control of its behavior?</w:t>
      </w:r>
    </w:p>
    <w:p>
      <w:pPr>
        <w:widowControl/>
        <w:spacing w:after="140" w:line="300" w:lineRule="auto"/>
      </w:pPr>
      <w:r>
        <w:t>I model this process in three phases. First, the system must perceive its environment and identify the need for evolution. Second, it must locate and modify the relevant logic. Third, it must deliver the evolved artifacts, including documentation that accurately communicates the new behavior.</w:t>
      </w:r>
    </w:p>
    <w:p>
      <w:pPr>
        <w:pStyle w:val="Heading3"/>
        <w:spacing w:before="160" w:after="60"/>
      </w:pPr>
      <w:r>
        <w:t>Sources</w:t>
      </w:r>
    </w:p>
    <w:p>
      <w:pPr>
        <w:pStyle w:val="ListBullet"/>
        <w:keepLines/>
        <w:spacing w:after="40"/>
      </w:pPr>
      <w:r>
        <w:rPr>
          <w:color w:val="667085"/>
          <w:sz w:val="17"/>
        </w:rPr>
        <w:t>PhD thesis, Chapter 1, Section 1.1 Motivation.</w:t>
      </w:r>
    </w:p>
    <w:p>
      <w:pPr>
        <w:pStyle w:val="ListBullet"/>
        <w:keepLines/>
        <w:spacing w:after="40"/>
      </w:pPr>
      <w:r>
        <w:rPr>
          <w:color w:val="667085"/>
          <w:sz w:val="17"/>
        </w:rPr>
        <w:t>Figure: Figures/Chapter1/dependency.pdf.</w:t>
      </w:r>
    </w:p>
    <w:p>
      <w:r>
        <w:br w:type="page"/>
      </w:r>
    </w:p>
    <w:p>
      <w:pPr>
        <w:keepNext/>
        <w:spacing w:after="20"/>
      </w:pPr>
      <w:r>
        <w:rPr>
          <w:b/>
          <w:color w:val="2E74B5"/>
          <w:sz w:val="18"/>
        </w:rPr>
        <w:t>OPENING · SLIDE 03 · 2:20–3:55</w:t>
      </w:r>
    </w:p>
    <w:p>
      <w:pPr>
        <w:pStyle w:val="Heading1"/>
        <w:spacing w:before="80"/>
      </w:pPr>
      <w:r>
        <w:t>Probability is not a guarantee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Capability — LLMs interpret, generate, and navigate.  |  Reliability gap — plausible answers can still be wrong.  |  Design principle — use evidence and logic as external anchors.</w:t>
      </w:r>
    </w:p>
    <w:p>
      <w:pPr>
        <w:pStyle w:val="Heading2"/>
      </w:pPr>
      <w:r>
        <w:t>Verbatim script</w:t>
      </w:r>
    </w:p>
    <w:p>
      <w:pPr>
        <w:widowControl/>
        <w:spacing w:after="140" w:line="300" w:lineRule="auto"/>
      </w:pPr>
      <w:r>
        <w:t>Large language models have transformed software evolution. They can interpret natural-language requirements, generate code, explore repositories, and update documentation. These capabilities reduce the manual burden of software maintenance and make increasingly autonomous evolution possible.</w:t>
      </w:r>
    </w:p>
    <w:p>
      <w:pPr>
        <w:widowControl/>
        <w:spacing w:after="140" w:line="300" w:lineRule="auto"/>
      </w:pPr>
      <w:r>
        <w:t>However, capability is not the same as reliability. This thesis focuses on two limitations. The first is hallucination: an output may be plausible and fluent while still being wrong. The second is the absence of a dependable, deterministic reasoning mechanism. Chain-of-thought prompting and reinforcement learning can improve performance, but the resulting behavior still comes from probabilistic generation.</w:t>
      </w:r>
    </w:p>
    <w:p>
      <w:pPr>
        <w:widowControl/>
        <w:spacing w:after="140" w:line="300" w:lineRule="auto"/>
      </w:pPr>
      <w:r>
        <w:t>My claim is not that LLMs cannot perform useful reasoning. Clearly they can. The narrower and more defensible claim is that their answer alone does not constitute a correctness guarantee. In software engineering, an answer that is almost right can still introduce a vulnerability, modify the wrong location, or communicate an invalid interface contract.</w:t>
      </w:r>
    </w:p>
    <w:p>
      <w:pPr>
        <w:widowControl/>
        <w:spacing w:after="140" w:line="300" w:lineRule="auto"/>
      </w:pPr>
      <w:r>
        <w:t>The design principle of this thesis is therefore to let neural models do what they are good at—understanding language and resolving semantic ambiguity—while using structured evidence and symbolic methods to constrain or verify the result.</w:t>
      </w:r>
    </w:p>
    <w:p>
      <w:pPr>
        <w:pStyle w:val="Heading3"/>
        <w:spacing w:before="160" w:after="60"/>
      </w:pPr>
      <w:r>
        <w:t>Sources</w:t>
      </w:r>
    </w:p>
    <w:p>
      <w:pPr>
        <w:pStyle w:val="ListBullet"/>
        <w:keepLines/>
        <w:spacing w:after="40"/>
      </w:pPr>
      <w:r>
        <w:rPr>
          <w:color w:val="667085"/>
          <w:sz w:val="17"/>
        </w:rPr>
        <w:t>PhD thesis, Chapter 1, Section 1.1 Motivation.</w:t>
      </w:r>
    </w:p>
    <w:p>
      <w:pPr>
        <w:pStyle w:val="ListBullet"/>
        <w:keepLines/>
        <w:spacing w:after="40"/>
      </w:pPr>
      <w:r>
        <w:rPr>
          <w:color w:val="667085"/>
          <w:sz w:val="17"/>
        </w:rPr>
        <w:t>PhD thesis, Chapter 2, Sections 2.1–2.3.</w:t>
      </w:r>
    </w:p>
    <w:p>
      <w:r>
        <w:br w:type="page"/>
      </w:r>
    </w:p>
    <w:p>
      <w:pPr>
        <w:keepNext/>
        <w:spacing w:after="20"/>
      </w:pPr>
      <w:r>
        <w:rPr>
          <w:b/>
          <w:color w:val="2E74B5"/>
          <w:sz w:val="18"/>
        </w:rPr>
        <w:t>OPENING · SLIDE 04 · 3:55–5:20</w:t>
      </w:r>
    </w:p>
    <w:p>
      <w:pPr>
        <w:pStyle w:val="Heading1"/>
        <w:spacing w:before="80"/>
      </w:pPr>
      <w:r>
        <w:t>Three papers, one reliability lifecycle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01 · CompSuite — environment perception through executable upgrade evidence.  |  02 · DataLoc — logic implementation through inspectable Datalog.  |  03 · MPChecker — artifact delivery through checked code–documentation constraints.</w:t>
      </w:r>
    </w:p>
    <w:p>
      <w:pPr>
        <w:pStyle w:val="Heading2"/>
      </w:pPr>
      <w:r>
        <w:t>Verbatim script</w:t>
      </w:r>
    </w:p>
    <w:p>
      <w:pPr>
        <w:widowControl/>
        <w:spacing w:after="140" w:line="300" w:lineRule="auto"/>
      </w:pPr>
      <w:r>
        <w:t>The research question is: how can we combine empirical software data, large language models, and formal reasoning to improve reliability across the software evolution lifecycle?</w:t>
      </w:r>
    </w:p>
    <w:p>
      <w:pPr>
        <w:widowControl/>
        <w:spacing w:after="140" w:line="300" w:lineRule="auto"/>
      </w:pPr>
      <w:r>
        <w:t>I will present the thesis through three papers, following the software-evolution lifecycle rather than publication chronology. This gives us three explicit sections: first, making external failures reproducible; second, locating the logic to change; and third, checking the contract we deliver.</w:t>
      </w:r>
    </w:p>
    <w:p>
      <w:pPr>
        <w:widowControl/>
        <w:spacing w:after="140" w:line="300" w:lineRule="auto"/>
      </w:pPr>
      <w:r>
        <w:t>Section one is CompSuite. For environment perception, it provides a reproducible dataset of real library-upgrade incompatibilities and turns difficult external evolution risks into executable evidence.</w:t>
      </w:r>
    </w:p>
    <w:p>
      <w:pPr>
        <w:widowControl/>
        <w:spacing w:after="140" w:line="300" w:lineRule="auto"/>
      </w:pPr>
      <w:r>
        <w:t>Section two is DataLoc. For logic implementation, it exposes the Keyword Shortcut bias, introduces a diagnostic benchmark, and translates natural-language intent into Datalog so that a deterministic engine can perform repository-scale structural inference.</w:t>
      </w:r>
    </w:p>
    <w:p>
      <w:pPr>
        <w:widowControl/>
        <w:spacing w:after="140" w:line="300" w:lineRule="auto"/>
      </w:pPr>
      <w:r>
        <w:t>Section three is MPChecker. For artifact delivery, it combines documentation understanding, symbolic execution, fuzzy constraint logic, and SMT solving to detect multi-parameter inconsistencies between implementation and documentation.</w:t>
      </w:r>
    </w:p>
    <w:p>
      <w:pPr>
        <w:widowControl/>
        <w:spacing w:after="140" w:line="300" w:lineRule="auto"/>
      </w:pPr>
      <w:r>
        <w:t>The three papers use different technical artifacts, but they follow one common idea: do not ask a language model to be the final source of truth when the result can instead be tested, formalized, or verified.</w:t>
      </w:r>
    </w:p>
    <w:p>
      <w:pPr>
        <w:pStyle w:val="Heading3"/>
        <w:spacing w:before="160" w:after="60"/>
      </w:pPr>
      <w:r>
        <w:t>Sources</w:t>
      </w:r>
    </w:p>
    <w:p>
      <w:pPr>
        <w:pStyle w:val="ListBullet"/>
        <w:keepLines/>
        <w:spacing w:after="40"/>
      </w:pPr>
      <w:r>
        <w:rPr>
          <w:color w:val="667085"/>
          <w:sz w:val="17"/>
        </w:rPr>
        <w:t>PhD thesis, Chapter 1, Sections 1.1 Motivation and 1.2 Contributions.</w:t>
      </w:r>
    </w:p>
    <w:p>
      <w:pPr>
        <w:pStyle w:val="ListBullet"/>
        <w:keepLines/>
        <w:spacing w:after="40"/>
      </w:pPr>
      <w:r>
        <w:rPr>
          <w:color w:val="667085"/>
          <w:sz w:val="17"/>
        </w:rPr>
        <w:t>Figure: Figures/Chapter2/neurosymbolic_approaches.pdf.</w:t>
      </w:r>
    </w:p>
    <w:p>
      <w:r>
        <w:br w:type="page"/>
      </w:r>
    </w:p>
    <w:p>
      <w:pPr>
        <w:keepNext/>
        <w:spacing w:after="20"/>
      </w:pPr>
      <w:r>
        <w:rPr>
          <w:b/>
          <w:color w:val="2E74B5"/>
          <w:sz w:val="18"/>
        </w:rPr>
        <w:t>SECTION 01 · COMPSUITE · SLIDE 05 · 5:20–6:25</w:t>
      </w:r>
    </w:p>
    <w:p>
      <w:pPr>
        <w:pStyle w:val="Heading1"/>
        <w:spacing w:before="80"/>
      </w:pPr>
      <w:r>
        <w:t>01 · CompSuite — upgrade failures are client-specific</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Same API — but changed behavior after an upgrade.  |  Different clients — one fails while another remains compatible.  |  Implication — signatures and compilation are not enough.</w:t>
      </w:r>
    </w:p>
    <w:p>
      <w:pPr>
        <w:pStyle w:val="Heading2"/>
      </w:pPr>
      <w:r>
        <w:t>Verbatim script</w:t>
      </w:r>
    </w:p>
    <w:p>
      <w:pPr>
        <w:widowControl/>
        <w:spacing w:after="140" w:line="300" w:lineRule="auto"/>
      </w:pPr>
      <w:r>
        <w:t>Section one presents the CompSuite paper, published at ASE 2023. Its research question is: how can client-specific behavioral incompatibilities caused by library upgrades be captured as causally isolated, reproducible, and executable benchmark instances?</w:t>
      </w:r>
    </w:p>
    <w:p>
      <w:pPr>
        <w:widowControl/>
        <w:spacing w:after="140" w:line="300" w:lineRule="auto"/>
      </w:pPr>
      <w:r>
        <w:t>A reliable evolutionary process must first know what can break. Library upgrades are an important but difficult example.</w:t>
      </w:r>
    </w:p>
    <w:p>
      <w:pPr>
        <w:widowControl/>
        <w:spacing w:after="140" w:line="300" w:lineRule="auto"/>
      </w:pPr>
      <w:r>
        <w:t>An upgrade may preserve every public method name and type signature while changing behavior. For example, a library function may return an empty string in one version and null in the next. One client may safely handle both values, while another triggers a null-pointer exception. The incompatibility is therefore behavioral and client-specific; it may not be visible through API comparison or compilation.</w:t>
      </w:r>
    </w:p>
    <w:p>
      <w:pPr>
        <w:widowControl/>
        <w:spacing w:after="140" w:line="300" w:lineRule="auto"/>
      </w:pPr>
      <w:r>
        <w:t>Existing datasets mainly capture defects internal to one project. Upgrade failures are harder to collect because they involve two independently evolving components, a particular dependency version pair, a specific environment, and a test that exposes the changed behavior.</w:t>
      </w:r>
    </w:p>
    <w:p>
      <w:pPr>
        <w:widowControl/>
        <w:spacing w:after="140" w:line="300" w:lineRule="auto"/>
      </w:pPr>
      <w:r>
        <w:t>Without reproducible examples, it is difficult to train or compare compatibility checkers, debugging methods, regression-test selection tools, or future AI repair systems.</w:t>
      </w:r>
    </w:p>
    <w:p>
      <w:pPr>
        <w:pStyle w:val="Heading3"/>
        <w:spacing w:before="160" w:after="60"/>
      </w:pPr>
      <w:r>
        <w:t>Sources</w:t>
      </w:r>
    </w:p>
    <w:p>
      <w:pPr>
        <w:pStyle w:val="ListBullet"/>
        <w:keepLines/>
        <w:spacing w:after="40"/>
      </w:pPr>
      <w:r>
        <w:rPr>
          <w:color w:val="667085"/>
          <w:sz w:val="17"/>
        </w:rPr>
        <w:t>PhD thesis, Chapter 3, Section 3.2 Client-specific Upgrade Incompatibility.</w:t>
      </w:r>
    </w:p>
    <w:p>
      <w:pPr>
        <w:pStyle w:val="ListBullet"/>
        <w:keepLines/>
        <w:spacing w:after="40"/>
      </w:pPr>
      <w:r>
        <w:rPr>
          <w:color w:val="667085"/>
          <w:sz w:val="17"/>
        </w:rPr>
        <w:t>Figure: Figures/Chapter3/example.pdf.</w:t>
      </w:r>
    </w:p>
    <w:p>
      <w:r>
        <w:br w:type="page"/>
      </w:r>
    </w:p>
    <w:p>
      <w:pPr>
        <w:keepNext/>
        <w:spacing w:after="20"/>
      </w:pPr>
      <w:r>
        <w:rPr>
          <w:b/>
          <w:color w:val="2E74B5"/>
          <w:sz w:val="18"/>
        </w:rPr>
        <w:t>SECTION 01 · COMPSUITE · SLIDE 06 · 6:25–8:10</w:t>
      </w:r>
    </w:p>
    <w:p>
      <w:pPr>
        <w:pStyle w:val="Heading1"/>
        <w:spacing w:before="80"/>
      </w:pPr>
      <w:r>
        <w:t>CompSuite makes failures reproducible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Start — from a passing client and fixed commit.  |  Change — one dependency version at a time.  |  Validate — the same developer-authored test now fails.</w:t>
      </w:r>
    </w:p>
    <w:p>
      <w:pPr>
        <w:pStyle w:val="Heading2"/>
      </w:pPr>
      <w:r>
        <w:t>Verbatim script</w:t>
      </w:r>
    </w:p>
    <w:p>
      <w:pPr>
        <w:widowControl/>
        <w:spacing w:after="140" w:line="300" w:lineRule="auto"/>
      </w:pPr>
      <w:r>
        <w:t>CompSuite turns upgrade failures into controlled experiments.</w:t>
      </w:r>
    </w:p>
    <w:p>
      <w:pPr>
        <w:widowControl/>
        <w:spacing w:after="140" w:line="300" w:lineRule="auto"/>
      </w:pPr>
      <w:r>
        <w:t>We first selected popular open-source Java clients that use Maven, because Maven provides standardized dependency declarations, compilation, and test execution. We retained projects only when a fixed base commit compiled successfully and all tests passed.</w:t>
      </w:r>
    </w:p>
    <w:p>
      <w:pPr>
        <w:widowControl/>
        <w:spacing w:after="140" w:line="300" w:lineRule="auto"/>
      </w:pPr>
      <w:r>
        <w:t>For each eligible client, we identified dependencies with newer versions available on Maven Central. We upgraded one library at a time and reran the client’s tests. This isolation is important: if several libraries were upgraded together, we could not attribute a failure to one dependency.</w:t>
      </w:r>
    </w:p>
    <w:p>
      <w:pPr>
        <w:widowControl/>
        <w:spacing w:after="140" w:line="300" w:lineRule="auto"/>
      </w:pPr>
      <w:r>
        <w:t>When a test changed from passing to failing, we treated it as a candidate incompatibility-revealing test. We then manually examined the failure report and execution behavior to verify that the upgrade was the cause. For every accepted client–library pair, we preserved the client commit, the old and new dependency versions, the revealing test, its submodule, and the exact test command.</w:t>
      </w:r>
    </w:p>
    <w:p>
      <w:pPr>
        <w:widowControl/>
        <w:spacing w:after="140" w:line="300" w:lineRule="auto"/>
      </w:pPr>
      <w:r>
        <w:t>We created two tagged states. The base state uses the compatible dependency and passes the test. The incompatible state differs only in the selected library version and fails the same test. CompRunner automates downloading, checkout, compilation, testing, upgrading, retesting, and log collection.</w:t>
      </w:r>
    </w:p>
    <w:p>
      <w:pPr>
        <w:pStyle w:val="Heading3"/>
        <w:spacing w:before="160" w:after="60"/>
      </w:pPr>
      <w:r>
        <w:t>Sources</w:t>
      </w:r>
    </w:p>
    <w:p>
      <w:pPr>
        <w:pStyle w:val="ListBullet"/>
        <w:keepLines/>
        <w:spacing w:after="40"/>
      </w:pPr>
      <w:r>
        <w:rPr>
          <w:color w:val="667085"/>
          <w:sz w:val="17"/>
        </w:rPr>
        <w:t>PhD thesis, Chapter 3, Sections 3.3 Dataset Creation and 3.4.2 CompRunner.</w:t>
      </w:r>
    </w:p>
    <w:p>
      <w:pPr>
        <w:pStyle w:val="ListBullet"/>
        <w:keepLines/>
        <w:spacing w:after="40"/>
      </w:pPr>
      <w:r>
        <w:rPr>
          <w:color w:val="667085"/>
          <w:sz w:val="17"/>
        </w:rPr>
        <w:t>Figure: Figures/Chapter3/architecture.pdf.</w:t>
      </w:r>
    </w:p>
    <w:p>
      <w:r>
        <w:br w:type="page"/>
      </w:r>
    </w:p>
    <w:p>
      <w:pPr>
        <w:keepNext/>
        <w:spacing w:after="20"/>
      </w:pPr>
      <w:r>
        <w:rPr>
          <w:b/>
          <w:color w:val="2E74B5"/>
          <w:sz w:val="18"/>
        </w:rPr>
        <w:t>SECTION 01 · COMPSUITE · SLIDE 07 · 8:10–9:45</w:t>
      </w:r>
    </w:p>
    <w:p>
      <w:pPr>
        <w:pStyle w:val="Heading1"/>
        <w:spacing w:before="80"/>
      </w:pPr>
      <w:r>
        <w:t>Executable evidence is the contribution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123 — reproducible client–library pairs  |  88 clients · 104 libraries — from real Java projects  |  123 / 123 — manually validated with paired states and a revealing test  |  One command — replays the pass → fail transition</w:t>
      </w:r>
    </w:p>
    <w:p>
      <w:pPr>
        <w:pStyle w:val="Heading2"/>
      </w:pPr>
      <w:r>
        <w:t>Verbatim script</w:t>
      </w:r>
    </w:p>
    <w:p>
      <w:pPr>
        <w:widowControl/>
        <w:spacing w:after="140" w:line="300" w:lineRule="auto"/>
      </w:pPr>
      <w:r>
        <w:t>The final dataset contains 123 reproducible, real-world client–library pairs, drawn from 88 distinct clients and 104 libraries. Every accepted instance was manually validated. The key contribution is not only the number 123. It is the experimental contract attached to every instance: a known-good state, a single controlled dependency change, an incompatible state, and a developer-authored test that demonstrates the failure.</w:t>
      </w:r>
    </w:p>
    <w:p>
      <w:pPr>
        <w:widowControl/>
        <w:spacing w:after="140" w:line="300" w:lineRule="auto"/>
      </w:pPr>
      <w:r>
        <w:t>This supports several uses. Compatibility tools can measure whether they detect known upgrade failures. Regression-test selection techniques can check whether they select the revealing test. Debugging tools can try to identify the responsible library change. AI systems can be evaluated on diagnosis and repair while using a real executable test as the oracle.</w:t>
      </w:r>
    </w:p>
    <w:p>
      <w:pPr>
        <w:widowControl/>
        <w:spacing w:after="140" w:line="300" w:lineRule="auto"/>
      </w:pPr>
      <w:r>
        <w:t>CompSuite is not, by itself, a neurosymbolic algorithm. It is the empirical foundation of the thesis: before an intelligent system can reason reliably about evolution, difficult external risks must first be made reproducible and measurable.</w:t>
      </w:r>
    </w:p>
    <w:p>
      <w:pPr>
        <w:widowControl/>
        <w:spacing w:after="140" w:line="300" w:lineRule="auto"/>
      </w:pPr>
      <w:r>
        <w:t>CompSuite tells us that an upgrade has broken a client. It does not yet tell us where, inside a large repository, the required logic is located. Reliable modification therefore depends on a second capability: precise code localization.</w:t>
      </w:r>
    </w:p>
    <w:p>
      <w:pPr>
        <w:pStyle w:val="Heading3"/>
        <w:spacing w:before="160" w:after="60"/>
      </w:pPr>
      <w:r>
        <w:t>Sources</w:t>
      </w:r>
    </w:p>
    <w:p>
      <w:pPr>
        <w:pStyle w:val="ListBullet"/>
        <w:keepLines/>
        <w:spacing w:after="40"/>
      </w:pPr>
      <w:r>
        <w:rPr>
          <w:color w:val="667085"/>
          <w:sz w:val="17"/>
        </w:rPr>
        <w:t>PhD thesis, Chapter 3, Sections 3.1 Introduction, 3.4 Dataset Usage, and 3.5 Application Scenarios.</w:t>
      </w:r>
    </w:p>
    <w:p>
      <w:r>
        <w:br w:type="page"/>
      </w:r>
    </w:p>
    <w:p>
      <w:pPr>
        <w:keepNext/>
        <w:spacing w:after="20"/>
      </w:pPr>
      <w:r>
        <w:rPr>
          <w:b/>
          <w:color w:val="2E74B5"/>
          <w:sz w:val="18"/>
        </w:rPr>
        <w:t>SECTION 02 · DATALOC · SLIDE 08 · 9:45–10:50</w:t>
      </w:r>
    </w:p>
    <w:p>
      <w:pPr>
        <w:pStyle w:val="Heading1"/>
        <w:spacing w:before="80"/>
      </w:pPr>
      <w:r>
        <w:t>02 · DataLoc — benchmarks reward keyword shortcuts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Explicit identifiers — issues expose file or function names.  |  Shortcut — lexical matching can mimic reasoning.  |  Real test — satisfy structure with no naming hints.</w:t>
      </w:r>
    </w:p>
    <w:p>
      <w:pPr>
        <w:pStyle w:val="Heading2"/>
      </w:pPr>
      <w:r>
        <w:t>Verbatim script</w:t>
      </w:r>
    </w:p>
    <w:p>
      <w:pPr>
        <w:widowControl/>
        <w:spacing w:after="140" w:line="300" w:lineRule="auto"/>
      </w:pPr>
      <w:r>
        <w:t>CompSuite gives us an executable failure oracle. But an oracle tells us that something broke, not where the relevant logic lives. Section two therefore moves from failure reproduction to verifiable code localization through the DataLoc paper.</w:t>
      </w:r>
    </w:p>
    <w:p>
      <w:pPr>
        <w:widowControl/>
        <w:spacing w:after="140" w:line="300" w:lineRule="auto"/>
      </w:pPr>
      <w:r>
        <w:t>Its research question is: when explicit naming hints disappear, can repository-level structural localization be made precise, efficient, inspectable, and capable of abstaining by assigning deduction to a deterministic logic engine?</w:t>
      </w:r>
    </w:p>
    <w:p>
      <w:pPr>
        <w:widowControl/>
        <w:spacing w:after="140" w:line="300" w:lineRule="auto"/>
      </w:pPr>
      <w:r>
        <w:t>Code localization maps a natural-language request to the relevant files, classes, functions, or logic blocks. It is a prerequisite for repair: if an agent edits the wrong location, even a well-generated patch is irrelevant or harmful.</w:t>
      </w:r>
    </w:p>
    <w:p>
      <w:pPr>
        <w:widowControl/>
        <w:spacing w:after="140" w:line="300" w:lineRule="auto"/>
      </w:pPr>
      <w:r>
        <w:t>Existing methods report strong performance on issue-based benchmarks. However, many issue descriptions contain file names, function names, stack traces, or code fragments. In my analysis of SWE-bench Lite, more than half of the issues explicitly mention identifying information associated with the ground-truth location.</w:t>
      </w:r>
    </w:p>
    <w:p>
      <w:pPr>
        <w:widowControl/>
        <w:spacing w:after="140" w:line="300" w:lineRule="auto"/>
      </w:pPr>
      <w:r>
        <w:t>I call this the Keyword Shortcut. A model may appear to understand repository structure while actually following lexical anchors.</w:t>
      </w:r>
    </w:p>
    <w:p>
      <w:pPr>
        <w:widowControl/>
        <w:spacing w:after="140" w:line="300" w:lineRule="auto"/>
      </w:pPr>
      <w:r>
        <w:t>Consider this query: “Find all functions that have more than 15 parameters and are not an __init__ method.” There is no target function name to search for. The system must inspect program structure, count parameters, apply a logical conjunction, and return every valid location.</w:t>
      </w:r>
    </w:p>
    <w:p>
      <w:pPr>
        <w:pStyle w:val="Heading3"/>
        <w:spacing w:before="160" w:after="60"/>
      </w:pPr>
      <w:r>
        <w:t>Sources</w:t>
      </w:r>
    </w:p>
    <w:p>
      <w:pPr>
        <w:pStyle w:val="ListBullet"/>
        <w:keepLines/>
        <w:spacing w:after="40"/>
      </w:pPr>
      <w:r>
        <w:rPr>
          <w:color w:val="667085"/>
          <w:sz w:val="17"/>
        </w:rPr>
        <w:t>PhD thesis, Chapter 5, Sections 5.1 Introduction and 5.2 Motivating Example.</w:t>
      </w:r>
    </w:p>
    <w:p>
      <w:pPr>
        <w:pStyle w:val="ListBullet"/>
        <w:keepLines/>
        <w:spacing w:after="40"/>
      </w:pPr>
      <w:r>
        <w:rPr>
          <w:color w:val="667085"/>
          <w:sz w:val="17"/>
        </w:rPr>
        <w:t>Figure crop from Figures/Chapter5/architecture.pdf.</w:t>
      </w:r>
    </w:p>
    <w:p>
      <w:r>
        <w:br w:type="page"/>
      </w:r>
    </w:p>
    <w:p>
      <w:pPr>
        <w:keepNext/>
        <w:spacing w:after="20"/>
      </w:pPr>
      <w:r>
        <w:rPr>
          <w:b/>
          <w:color w:val="2E74B5"/>
          <w:sz w:val="18"/>
        </w:rPr>
        <w:t>SECTION 02 · DATALOC · SLIDE 09 · 10:50–11:20</w:t>
      </w:r>
    </w:p>
    <w:p>
      <w:pPr>
        <w:pStyle w:val="Heading1"/>
        <w:spacing w:before="80"/>
      </w:pPr>
      <w:r>
        <w:t>KA-LogicQuery removes naming hints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25 templates × 9 repositories — = 225 logical instances  |  Two-author ground truth — manually verified at file and function level  |  Negative queries — test whether systems abstain</w:t>
      </w:r>
    </w:p>
    <w:p>
      <w:pPr>
        <w:pStyle w:val="Heading2"/>
      </w:pPr>
      <w:r>
        <w:t>Verbatim script</w:t>
      </w:r>
    </w:p>
    <w:p>
      <w:pPr>
        <w:widowControl/>
        <w:spacing w:after="140" w:line="300" w:lineRule="auto"/>
      </w:pPr>
      <w:r>
        <w:t>To expose this reasoning gap, I introduce Keyword-Agnostic Logical Code Localization, or KA-LCL, and construct KA-LogicQuery.</w:t>
      </w:r>
    </w:p>
    <w:p>
      <w:pPr>
        <w:widowControl/>
        <w:spacing w:after="140" w:line="300" w:lineRule="auto"/>
      </w:pPr>
      <w:r>
        <w:t>The benchmark contains 25 representative logical query templates applied across nine repositories, giving 225 query instances. The queries deliberately avoid target names and instead require structural conditions such as parameter counts, inheritance, or call relations. Candidate locations were consolidated and then independently verified by two authors, producing ground truth at file, module, and function level.</w:t>
      </w:r>
    </w:p>
    <w:p>
      <w:pPr>
        <w:widowControl/>
        <w:spacing w:after="140" w:line="300" w:lineRule="auto"/>
      </w:pPr>
      <w:r>
        <w:t>I also construct KA-LogicQuery-Neg, where the query constraints are intentionally modified so that no valid location exists. This tests whether a system can abstain instead of always returning a plausible top-n guess.</w:t>
      </w:r>
    </w:p>
    <w:p>
      <w:pPr>
        <w:pStyle w:val="Heading3"/>
        <w:spacing w:before="160" w:after="60"/>
      </w:pPr>
      <w:r>
        <w:t>Sources</w:t>
      </w:r>
    </w:p>
    <w:p>
      <w:pPr>
        <w:pStyle w:val="ListBullet"/>
        <w:keepLines/>
        <w:spacing w:after="40"/>
      </w:pPr>
      <w:r>
        <w:rPr>
          <w:color w:val="667085"/>
          <w:sz w:val="17"/>
        </w:rPr>
        <w:t>PhD thesis, Chapter 5, Section 5.4.1.1 Benchmarks.</w:t>
      </w:r>
    </w:p>
    <w:p>
      <w:r>
        <w:br w:type="page"/>
      </w:r>
    </w:p>
    <w:p>
      <w:pPr>
        <w:keepNext/>
        <w:spacing w:after="20"/>
      </w:pPr>
      <w:r>
        <w:rPr>
          <w:b/>
          <w:color w:val="2E74B5"/>
          <w:sz w:val="18"/>
        </w:rPr>
        <w:t>SECTION 02 · DATALOC · SLIDE 10 · 11:20–13:20</w:t>
      </w:r>
    </w:p>
    <w:p>
      <w:pPr>
        <w:pStyle w:val="Heading1"/>
        <w:spacing w:before="80"/>
      </w:pPr>
      <w:r>
        <w:t>DataLoc assigns deduction to Datalog</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Facts — capture repository structure offline.  |  LLM — synthesizes an inspectable query.  |  Soufflé — executes deterministic traversal.</w:t>
      </w:r>
    </w:p>
    <w:p>
      <w:pPr>
        <w:pStyle w:val="Heading2"/>
      </w:pPr>
      <w:r>
        <w:t>Verbatim script</w:t>
      </w:r>
    </w:p>
    <w:p>
      <w:pPr>
        <w:widowControl/>
        <w:spacing w:after="140" w:line="300" w:lineRule="auto"/>
      </w:pPr>
      <w:r>
        <w:t>DataLoc addresses this problem through a neurosymbolic division of labor.</w:t>
      </w:r>
    </w:p>
    <w:p>
      <w:pPr>
        <w:widowControl/>
        <w:spacing w:after="140" w:line="300" w:lineRule="auto"/>
      </w:pPr>
      <w:r>
        <w:t>The first stage runs offline. A language frontend parses the repository and extracts program facts. For Python, these facts describe files, modules, classes, functions, variables, and source locations, as well as relations such as containment, inheritance, imports, calls, and references. The facts form a structured intermediate representation of the repository.</w:t>
      </w:r>
    </w:p>
    <w:p>
      <w:pPr>
        <w:widowControl/>
        <w:spacing w:after="140" w:line="300" w:lineRule="auto"/>
      </w:pPr>
      <w:r>
        <w:t>When a user submits a natural-language query, the LLM analyzes the intent and translates it into a Datalog program. For the example on the previous slide, the generated rule selects function-definition facts where the parameter count is greater than 15 and the function name is not __init__.</w:t>
      </w:r>
    </w:p>
    <w:p>
      <w:pPr>
        <w:widowControl/>
        <w:spacing w:after="140" w:line="300" w:lineRule="auto"/>
      </w:pPr>
      <w:r>
        <w:t>The program is executed by Soufflé, a high-performance Datalog engine. Instead of repeatedly sending large amounts of raw source code to the LLM, the engine performs the structural traversal over the fact base. The result is deterministic for a given fact set and Datalog rule, and the rule itself provides an inspectable explanation of why locations were selected.</w:t>
      </w:r>
    </w:p>
    <w:p>
      <w:pPr>
        <w:widowControl/>
        <w:spacing w:after="140" w:line="300" w:lineRule="auto"/>
      </w:pPr>
      <w:r>
        <w:t>This division narrows the LLM’s role to semantic interpretation and formal query synthesis, while a specialized engine performs repository-scale deduction.</w:t>
      </w:r>
    </w:p>
    <w:p>
      <w:pPr>
        <w:pStyle w:val="Heading3"/>
        <w:spacing w:before="160" w:after="60"/>
      </w:pPr>
      <w:r>
        <w:t>Sources</w:t>
      </w:r>
    </w:p>
    <w:p>
      <w:pPr>
        <w:pStyle w:val="ListBullet"/>
        <w:keepLines/>
        <w:spacing w:after="40"/>
      </w:pPr>
      <w:r>
        <w:rPr>
          <w:color w:val="667085"/>
          <w:sz w:val="17"/>
        </w:rPr>
        <w:t>PhD thesis, Chapter 5, Sections 5.3.1 Program Facts Extraction and 5.3.2 Agentic Workflow.</w:t>
      </w:r>
    </w:p>
    <w:p>
      <w:pPr>
        <w:pStyle w:val="ListBullet"/>
        <w:keepLines/>
        <w:spacing w:after="40"/>
      </w:pPr>
      <w:r>
        <w:rPr>
          <w:color w:val="667085"/>
          <w:sz w:val="17"/>
        </w:rPr>
        <w:t>Figure: Figures/Chapter5/architecture.pdf.</w:t>
      </w:r>
    </w:p>
    <w:p>
      <w:r>
        <w:br w:type="page"/>
      </w:r>
    </w:p>
    <w:p>
      <w:pPr>
        <w:keepNext/>
        <w:spacing w:after="20"/>
      </w:pPr>
      <w:r>
        <w:rPr>
          <w:b/>
          <w:color w:val="2E74B5"/>
          <w:sz w:val="18"/>
        </w:rPr>
        <w:t>SECTION 02 · DATALOC · SLIDE 11 · 13:20–14:00</w:t>
      </w:r>
    </w:p>
    <w:p>
      <w:pPr>
        <w:pStyle w:val="Heading1"/>
        <w:spacing w:before="80"/>
      </w:pPr>
      <w:r>
        <w:t>Generated logic is checked before trust</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Parse — before any generated rule executes.  |  Diagnose — empty intermediate relations with mutations.  |  Verify — candidate snippets against the request.</w:t>
      </w:r>
    </w:p>
    <w:p>
      <w:pPr>
        <w:pStyle w:val="Heading2"/>
      </w:pPr>
      <w:r>
        <w:t>Verbatim script</w:t>
      </w:r>
    </w:p>
    <w:p>
      <w:pPr>
        <w:widowControl/>
        <w:spacing w:after="140" w:line="300" w:lineRule="auto"/>
      </w:pPr>
      <w:r>
        <w:t>There is still an important neural–symbolic boundary: an LLM may generate invalid or over-constrained Datalog. DataLoc therefore uses a synthesize–check–refine loop.</w:t>
      </w:r>
    </w:p>
    <w:p>
      <w:pPr>
        <w:widowControl/>
        <w:spacing w:after="140" w:line="300" w:lineRule="auto"/>
      </w:pPr>
      <w:r>
        <w:t>First, parser-gated validation prevents malformed programs from reaching execution. Unambiguous errors, such as reserved-name collisions, are repaired conservatively; otherwise, parser diagnostics are returned to the LLM.</w:t>
      </w:r>
    </w:p>
    <w:p>
      <w:pPr>
        <w:widowControl/>
        <w:spacing w:after="140" w:line="300" w:lineRule="auto"/>
      </w:pPr>
      <w:r>
        <w:t>Second, DataLoc observes row counts for intermediate relations. If a relation is empty, small diagnostic mutations test whether the emptiness is fragile—possibly caused by one incorrect constraint—or stable under conservative relaxation. These mutations are probes, not patches; their results are never returned as final answers.</w:t>
      </w:r>
    </w:p>
    <w:p>
      <w:pPr>
        <w:widowControl/>
        <w:spacing w:after="140" w:line="300" w:lineRule="auto"/>
      </w:pPr>
      <w:r>
        <w:t>After execution, the agent retrieves candidate source snippets and verifies them against the original request. If the result is excessively broad, the query is refined. If no location satisfies a valid rule, the system can return no match rather than manufacturing a recommendation.</w:t>
      </w:r>
    </w:p>
    <w:p>
      <w:pPr>
        <w:widowControl/>
        <w:spacing w:after="140" w:line="300" w:lineRule="auto"/>
      </w:pPr>
      <w:r>
        <w:t>The inference is verifiable relative to the extracted facts and synthesized rule. End-to-end errors remain possible, but they become visible and testable rather than hidden inside free-form generation.</w:t>
      </w:r>
    </w:p>
    <w:p>
      <w:pPr>
        <w:pStyle w:val="Heading3"/>
        <w:spacing w:before="160" w:after="60"/>
      </w:pPr>
      <w:r>
        <w:t>Sources</w:t>
      </w:r>
    </w:p>
    <w:p>
      <w:pPr>
        <w:pStyle w:val="ListBullet"/>
        <w:keepLines/>
        <w:spacing w:after="40"/>
      </w:pPr>
      <w:r>
        <w:rPr>
          <w:color w:val="667085"/>
          <w:sz w:val="17"/>
        </w:rPr>
        <w:t>PhD thesis, Chapter 5, Sections 5.3.2.2, 5.3.3, and 5.3.4.</w:t>
      </w:r>
    </w:p>
    <w:p>
      <w:pPr>
        <w:pStyle w:val="ListBullet"/>
        <w:keepLines/>
        <w:spacing w:after="40"/>
      </w:pPr>
      <w:r>
        <w:rPr>
          <w:color w:val="667085"/>
          <w:sz w:val="17"/>
        </w:rPr>
        <w:t>Figure: Figures/Chapter5/mutate.pdf.</w:t>
      </w:r>
    </w:p>
    <w:p>
      <w:r>
        <w:br w:type="page"/>
      </w:r>
    </w:p>
    <w:p>
      <w:pPr>
        <w:keepNext/>
        <w:spacing w:after="20"/>
      </w:pPr>
      <w:r>
        <w:rPr>
          <w:b/>
          <w:color w:val="2E74B5"/>
          <w:sz w:val="18"/>
        </w:rPr>
        <w:t>SECTION 02 · DATALOC · SLIDE 12 · 14:00–16:25</w:t>
      </w:r>
    </w:p>
    <w:p>
      <w:pPr>
        <w:pStyle w:val="Heading1"/>
        <w:spacing w:before="80"/>
      </w:pPr>
      <w:r>
        <w:t>Deterministic reasoning changes the result</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73.35% — file-level precision  |  48.44% — file-level perfect localization  |  38.27% vs. 0% — function PLR versus all baselines  |  &gt;70% — correct abstention on negative queries</w:t>
      </w:r>
    </w:p>
    <w:p>
      <w:pPr>
        <w:pStyle w:val="Heading2"/>
      </w:pPr>
      <w:r>
        <w:t>Verbatim script</w:t>
      </w:r>
    </w:p>
    <w:p>
      <w:pPr>
        <w:widowControl/>
        <w:spacing w:after="140" w:line="300" w:lineRule="auto"/>
      </w:pPr>
      <w:r>
        <w:t>On KA-LogicQuery, DataLoc substantially outperforms embedding-based, pipeline-based, and agent-based baselines.</w:t>
      </w:r>
    </w:p>
    <w:p>
      <w:pPr>
        <w:widowControl/>
        <w:spacing w:after="140" w:line="300" w:lineRule="auto"/>
      </w:pPr>
      <w:r>
        <w:t>Using Qwen3-Max, DataLoc reaches 73.35 percent file-level precision. Its file-level Perfect Localization Rate is 48.44 percent. This strict metric requires the predicted set to exactly equal the ground truth, without either missing or extra locations.</w:t>
      </w:r>
    </w:p>
    <w:p>
      <w:pPr>
        <w:widowControl/>
        <w:spacing w:after="140" w:line="300" w:lineRule="auto"/>
      </w:pPr>
      <w:r>
        <w:t>At function level, DataLoc still achieves a Perfect Localization Rate of 38.27 percent. Every evaluated baseline falls to zero on this metric. This matters because a long recommendation list can obtain a hit while still leaving a developer or repair agent with substantial noise.</w:t>
      </w:r>
    </w:p>
    <w:p>
      <w:pPr>
        <w:widowControl/>
        <w:spacing w:after="140" w:line="300" w:lineRule="auto"/>
      </w:pPr>
      <w:r>
        <w:t>The negative benchmark reveals another distinction. Existing systems generally continue returning top-n candidates even when no location satisfies the query. DataLoc returns a correct no-match answer for more than 70 percent of negative queries. It is not yet perfect, but it demonstrates that formal execution creates a meaningful abstention mechanism.</w:t>
      </w:r>
    </w:p>
    <w:p>
      <w:pPr>
        <w:widowControl/>
        <w:spacing w:after="140" w:line="300" w:lineRule="auto"/>
      </w:pPr>
      <w:r>
        <w:t>I also evaluated DataLoc on 274 retained SWE-bench Lite instances. On this conventional, keyword-rich benchmark, DataLoc is competitive rather than universally superior. With Claude 3.5, file-level Acc@5 is 81.02 percent, while DataLoc returns only about two candidate locations per issue on average. The trade-off is a smaller, more precise result set rather than maximal top-k coverage.</w:t>
      </w:r>
    </w:p>
    <w:p>
      <w:pPr>
        <w:pStyle w:val="Heading3"/>
        <w:spacing w:before="160" w:after="60"/>
      </w:pPr>
      <w:r>
        <w:t>Sources</w:t>
      </w:r>
    </w:p>
    <w:p>
      <w:pPr>
        <w:pStyle w:val="ListBullet"/>
        <w:keepLines/>
        <w:spacing w:after="40"/>
      </w:pPr>
      <w:r>
        <w:rPr>
          <w:color w:val="667085"/>
          <w:sz w:val="17"/>
        </w:rPr>
        <w:t>PhD thesis, Chapter 5, Section 5.4.3.1 Effectiveness for logic query.</w:t>
      </w:r>
    </w:p>
    <w:p>
      <w:pPr>
        <w:pStyle w:val="ListBullet"/>
        <w:keepLines/>
        <w:spacing w:after="40"/>
      </w:pPr>
      <w:r>
        <w:rPr>
          <w:color w:val="667085"/>
          <w:sz w:val="17"/>
        </w:rPr>
        <w:t>PhD thesis, Chapter 5, Section 5.4.3.2 Effectiveness for general issues.</w:t>
      </w:r>
    </w:p>
    <w:p>
      <w:r>
        <w:br w:type="page"/>
      </w:r>
    </w:p>
    <w:p>
      <w:pPr>
        <w:keepNext/>
        <w:spacing w:after="20"/>
      </w:pPr>
      <w:r>
        <w:rPr>
          <w:b/>
          <w:color w:val="2E74B5"/>
          <w:sz w:val="18"/>
        </w:rPr>
        <w:t>SECTION 02 · DATALOC · SLIDE 13 · 16:25–17:55</w:t>
      </w:r>
    </w:p>
    <w:p>
      <w:pPr>
        <w:pStyle w:val="Heading1"/>
        <w:spacing w:before="80"/>
      </w:pPr>
      <w:r>
        <w:t>Inference replaces repeated exploration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39.3 s — per KA-LCL query with Claude 3.5  |  16.2k tokens — on average  |  81.02% Acc@5 — with ≈2 candidates per SWE-bench issue</w:t>
      </w:r>
    </w:p>
    <w:p>
      <w:pPr>
        <w:pStyle w:val="Heading2"/>
      </w:pPr>
      <w:r>
        <w:t>Verbatim script</w:t>
      </w:r>
    </w:p>
    <w:p>
      <w:pPr>
        <w:widowControl/>
        <w:spacing w:after="140" w:line="300" w:lineRule="auto"/>
      </w:pPr>
      <w:r>
        <w:t>The architecture also changes the cost profile. With Claude 3.5 on KA-LCL tasks, DataLoc averages 39.3 seconds and 16.2 thousand tokens per query. On SWE-bench Lite, it returns about two candidate locations per issue on average, reducing the amount of downstream code a repair system must inspect.</w:t>
      </w:r>
    </w:p>
    <w:p>
      <w:pPr>
        <w:widowControl/>
        <w:spacing w:after="140" w:line="300" w:lineRule="auto"/>
      </w:pPr>
      <w:r>
        <w:t>The ablation study helps explain why the feedback mechanisms matter. For Qwen3-Max, the base configuration has 18.20 percent precision. Validation and repair raise this to 38.93 percent, and the full system with intermediate-rule feedback reaches 55.20 percent in the reported ablation table. The exact values matter because they show that each verification layer contributes incrementally.</w:t>
      </w:r>
    </w:p>
    <w:p>
      <w:pPr>
        <w:widowControl/>
        <w:spacing w:after="140" w:line="300" w:lineRule="auto"/>
      </w:pPr>
      <w:r>
        <w:t>The broader result is not simply that Datalog is fast. It is that the model is assigned a narrower role: interpret intent, synthesize a formal query, and verify candidates. Repetitive repository-scale traversal is assigned to a specialized engine.</w:t>
      </w:r>
    </w:p>
    <w:p>
      <w:pPr>
        <w:widowControl/>
        <w:spacing w:after="140" w:line="300" w:lineRule="auto"/>
      </w:pPr>
      <w:r>
        <w:t>This contribution therefore exposes a benchmark bias, supplies a diagnostic benchmark, and demonstrates that explicit intermediate reasoning can improve precision, efficiency, inspectability, and the ability to abstain.</w:t>
      </w:r>
    </w:p>
    <w:p>
      <w:pPr>
        <w:pStyle w:val="Heading3"/>
        <w:spacing w:before="160" w:after="60"/>
      </w:pPr>
      <w:r>
        <w:t>Sources</w:t>
      </w:r>
    </w:p>
    <w:p>
      <w:pPr>
        <w:pStyle w:val="ListBullet"/>
        <w:keepLines/>
        <w:spacing w:after="40"/>
      </w:pPr>
      <w:r>
        <w:rPr>
          <w:color w:val="667085"/>
          <w:sz w:val="17"/>
        </w:rPr>
        <w:t>PhD thesis, Chapter 5, Section 5.4.3.3 Efficiency.</w:t>
      </w:r>
    </w:p>
    <w:p>
      <w:pPr>
        <w:pStyle w:val="ListBullet"/>
        <w:keepLines/>
        <w:spacing w:after="40"/>
      </w:pPr>
      <w:r>
        <w:rPr>
          <w:color w:val="667085"/>
          <w:sz w:val="17"/>
        </w:rPr>
        <w:t>PhD thesis, Chapter 5, Section 5.4.3.4 Ablation Study, Table 5.4.</w:t>
      </w:r>
    </w:p>
    <w:p>
      <w:r>
        <w:br w:type="page"/>
      </w:r>
    </w:p>
    <w:p>
      <w:pPr>
        <w:keepNext/>
        <w:spacing w:after="20"/>
      </w:pPr>
      <w:r>
        <w:rPr>
          <w:b/>
          <w:color w:val="2E74B5"/>
          <w:sz w:val="18"/>
        </w:rPr>
        <w:t>SECTION 03 · MPCHECKER · SLIDE 14 · 17:55–19:40</w:t>
      </w:r>
    </w:p>
    <w:p>
      <w:pPr>
        <w:pStyle w:val="Heading1"/>
        <w:spacing w:before="80"/>
      </w:pPr>
      <w:r>
        <w:t>03 · MPChecker — documentation is an external contract</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Relationships — one parameter depends on another.  |  Semantic drift — code and documentation diverge silently.  |  Blind spot — single-parameter checks miss the contract.</w:t>
      </w:r>
    </w:p>
    <w:p>
      <w:pPr>
        <w:pStyle w:val="Heading2"/>
      </w:pPr>
      <w:r>
        <w:t>Verbatim script</w:t>
      </w:r>
    </w:p>
    <w:p>
      <w:pPr>
        <w:widowControl/>
        <w:spacing w:after="140" w:line="300" w:lineRule="auto"/>
      </w:pPr>
      <w:r>
        <w:t>Once the correct location has been found and the implementation changes, reliability can still fail at delivery. Section three presents the MPChecker paper, published at ISSTA 2025.</w:t>
      </w:r>
    </w:p>
    <w:p>
      <w:pPr>
        <w:widowControl/>
        <w:spacing w:after="140" w:line="300" w:lineRule="auto"/>
      </w:pPr>
      <w:r>
        <w:t>Its research question is: can multi-parameter constraints expressed in natural-language documentation be extracted and compared reliably with the behavior enforced by code, despite ambiguity and LLM uncertainty?</w:t>
      </w:r>
    </w:p>
    <w:p>
      <w:pPr>
        <w:widowControl/>
        <w:spacing w:after="140" w:line="300" w:lineRule="auto"/>
      </w:pPr>
      <w:r>
        <w:t>Finding and modifying the correct code is still not the end of evolution. A patch may be behaviorally correct while public documentation continues to describe the old contract. That mismatch transfers the failure from the maintainer to every future user or AI agent that relies on the documentation.</w:t>
      </w:r>
    </w:p>
    <w:p>
      <w:pPr>
        <w:widowControl/>
        <w:spacing w:after="140" w:line="300" w:lineRule="auto"/>
      </w:pPr>
      <w:r>
        <w:t>This problem is especially consequential in data-science and machine-learning libraries. Their APIs often expose many parameters whose valid values depend on one another. A constraint may say that one parameter is only used when another strategy is selected, or that a matrix must be absent when an input array is absent. These are logical relationships among several parameters, not independent range checks.</w:t>
      </w:r>
    </w:p>
    <w:p>
      <w:pPr>
        <w:widowControl/>
        <w:spacing w:after="140" w:line="300" w:lineRule="auto"/>
      </w:pPr>
      <w:r>
        <w:t>Existing inconsistency detectors largely focus on single-parameter properties such as names, types, nullness, or ranges. Multi-parameter constraints are harder because documentation uses diverse language, Python behavior is dynamic, and the corresponding condition may be distributed across several execution paths.</w:t>
      </w:r>
    </w:p>
    <w:p>
      <w:pPr>
        <w:widowControl/>
        <w:spacing w:after="140" w:line="300" w:lineRule="auto"/>
      </w:pPr>
      <w:r>
        <w:t>MPChecker treats this as a comparison between two representations: the constraint described by documentation and the constraint enforced by code.</w:t>
      </w:r>
    </w:p>
    <w:p>
      <w:pPr>
        <w:pStyle w:val="Heading3"/>
        <w:spacing w:before="160" w:after="60"/>
      </w:pPr>
      <w:r>
        <w:t>Sources</w:t>
      </w:r>
    </w:p>
    <w:p>
      <w:pPr>
        <w:pStyle w:val="ListBullet"/>
        <w:keepLines/>
        <w:spacing w:after="40"/>
      </w:pPr>
      <w:r>
        <w:rPr>
          <w:color w:val="667085"/>
          <w:sz w:val="17"/>
        </w:rPr>
        <w:t>PhD thesis, Chapter 1, Sections 1.1–1.2.</w:t>
      </w:r>
    </w:p>
    <w:p>
      <w:pPr>
        <w:pStyle w:val="ListBullet"/>
        <w:keepLines/>
        <w:spacing w:after="40"/>
      </w:pPr>
      <w:r>
        <w:rPr>
          <w:color w:val="667085"/>
          <w:sz w:val="17"/>
        </w:rPr>
        <w:t>PhD thesis, Chapter 4, Sections 4.1 Introduction and 4.2.1 Multi-Parameter Constraints.</w:t>
      </w:r>
    </w:p>
    <w:p>
      <w:pPr>
        <w:pStyle w:val="ListBullet"/>
        <w:keepLines/>
        <w:spacing w:after="40"/>
      </w:pPr>
      <w:r>
        <w:rPr>
          <w:color w:val="667085"/>
          <w:sz w:val="17"/>
        </w:rPr>
        <w:t>Figure: Figures/Chapter4/pathgraphpic.pdf.</w:t>
      </w:r>
    </w:p>
    <w:p>
      <w:r>
        <w:br w:type="page"/>
      </w:r>
    </w:p>
    <w:p>
      <w:pPr>
        <w:keepNext/>
        <w:spacing w:after="20"/>
      </w:pPr>
      <w:r>
        <w:rPr>
          <w:b/>
          <w:color w:val="2E74B5"/>
          <w:sz w:val="18"/>
        </w:rPr>
        <w:t>SECTION 03 · MPCHECKER · SLIDE 15 · 19:40–21:50</w:t>
      </w:r>
    </w:p>
    <w:p>
      <w:pPr>
        <w:pStyle w:val="Heading1"/>
        <w:spacing w:before="80"/>
      </w:pPr>
      <w:r>
        <w:t>MPChecker makes both sides comparable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Documentation — LLM extracts logical constraints.  |  Implementation — symbolic execution derives code paths.  |  Comparison — fuzzy logic + SMT expose disagreement.</w:t>
      </w:r>
    </w:p>
    <w:p>
      <w:pPr>
        <w:pStyle w:val="Heading2"/>
      </w:pPr>
      <w:r>
        <w:t>Verbatim script</w:t>
      </w:r>
    </w:p>
    <w:p>
      <w:pPr>
        <w:widowControl/>
        <w:spacing w:after="140" w:line="300" w:lineRule="auto"/>
      </w:pPr>
      <w:r>
        <w:t>MPChecker has three phases.</w:t>
      </w:r>
    </w:p>
    <w:p>
      <w:pPr>
        <w:widowControl/>
        <w:spacing w:after="140" w:line="300" w:lineRule="auto"/>
      </w:pPr>
      <w:r>
        <w:t>The first is preprocessing. It parses Python files, separates code from documentation, supports common NumPy and Google docstring styles, and retains parameter descriptions likely to contain cross-parameter relationships. Unsupported constructs are rewritten into forms that symbolic execution can handle while attempting to preserve path constraints.</w:t>
      </w:r>
    </w:p>
    <w:p>
      <w:pPr>
        <w:widowControl/>
        <w:spacing w:after="140" w:line="300" w:lineRule="auto"/>
      </w:pPr>
      <w:r>
        <w:t>The second phase extracts constraints from both sides. For documentation, an LLM identifies constraint-related sentences and converts them into a restricted logical-expression format. The prompt defines permitted operators, uses decomposition, and includes few-shot examples. For code, dynamic symbolic execution explores feasible paths and obtains path conditions over input parameters. Z3 generates values for unexplored paths, while complex external calls or unsupported values may be abstracted to control path explosion.</w:t>
      </w:r>
    </w:p>
    <w:p>
      <w:pPr>
        <w:widowControl/>
        <w:spacing w:after="140" w:line="300" w:lineRule="auto"/>
      </w:pPr>
      <w:r>
        <w:t>The third phase compares the two sides. MPChecker asks whether a documented constraint is satisfiable and logically compatible with the code paths.</w:t>
      </w:r>
    </w:p>
    <w:p>
      <w:pPr>
        <w:widowControl/>
        <w:spacing w:after="140" w:line="300" w:lineRule="auto"/>
      </w:pPr>
      <w:r>
        <w:t>A crisp comparison would be brittle because the LLM may produce an almost-correct expression, such as a misspelled parameter or a slightly wrong operator. MPChecker therefore introduces fuzzy constraint logic and then checks the resulting compatibility using the SMT-based reasoner.</w:t>
      </w:r>
    </w:p>
    <w:p>
      <w:pPr>
        <w:pStyle w:val="Heading3"/>
        <w:spacing w:before="160" w:after="60"/>
      </w:pPr>
      <w:r>
        <w:t>Sources</w:t>
      </w:r>
    </w:p>
    <w:p>
      <w:pPr>
        <w:pStyle w:val="ListBullet"/>
        <w:keepLines/>
        <w:spacing w:after="40"/>
      </w:pPr>
      <w:r>
        <w:rPr>
          <w:color w:val="667085"/>
          <w:sz w:val="17"/>
        </w:rPr>
        <w:t>PhD thesis, Chapter 4, Sections 4.3.1–4.3.3.</w:t>
      </w:r>
    </w:p>
    <w:p>
      <w:pPr>
        <w:pStyle w:val="ListBullet"/>
        <w:keepLines/>
        <w:spacing w:after="40"/>
      </w:pPr>
      <w:r>
        <w:rPr>
          <w:color w:val="667085"/>
          <w:sz w:val="17"/>
        </w:rPr>
        <w:t>Figure: Figures/Chapter4/arch.pdf.</w:t>
      </w:r>
    </w:p>
    <w:p>
      <w:r>
        <w:br w:type="page"/>
      </w:r>
    </w:p>
    <w:p>
      <w:pPr>
        <w:keepNext/>
        <w:spacing w:after="20"/>
      </w:pPr>
      <w:r>
        <w:rPr>
          <w:b/>
          <w:color w:val="2E74B5"/>
          <w:sz w:val="18"/>
        </w:rPr>
        <w:t>SECTION 03 · MPCHECKER · SLIDE 16 · 21:50–22:20</w:t>
      </w:r>
    </w:p>
    <w:p>
      <w:pPr>
        <w:pStyle w:val="Heading1"/>
        <w:spacing w:before="80"/>
      </w:pPr>
      <w:r>
        <w:t>Fuzziness belongs at the language boundary</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Fuzzy boundary — tolerates near-miss LLM extraction.  |  Crisp semantics — code paths remain symbolic constraints.  |  Final decision — comes from SMT satisfiability.</w:t>
      </w:r>
    </w:p>
    <w:p>
      <w:pPr>
        <w:pStyle w:val="Heading2"/>
      </w:pPr>
      <w:r>
        <w:t>Verbatim script</w:t>
      </w:r>
    </w:p>
    <w:p>
      <w:pPr>
        <w:widowControl/>
        <w:spacing w:after="140" w:line="300" w:lineRule="auto"/>
      </w:pPr>
      <w:r>
        <w:t>The role of fuzzy logic is easy to misunderstand, so I want to make the boundary explicit.</w:t>
      </w:r>
    </w:p>
    <w:p>
      <w:pPr>
        <w:widowControl/>
        <w:spacing w:after="140" w:line="300" w:lineRule="auto"/>
      </w:pPr>
      <w:r>
        <w:t>The program semantics are not made fuzzy. Code execution paths remain crisp symbolic constraints. Fuzziness models uncertainty only at the interface where natural-language documentation has been converted by an LLM.</w:t>
      </w:r>
    </w:p>
    <w:p>
      <w:pPr>
        <w:widowControl/>
        <w:spacing w:after="140" w:line="300" w:lineRule="auto"/>
      </w:pPr>
      <w:r>
        <w:t>The membership function compares atomic expressions through parameter names, values, and relational operators. Constraint-tree similarity is then composed through logical structure such as negation, conjunction, and disjunction.</w:t>
      </w:r>
    </w:p>
    <w:p>
      <w:pPr>
        <w:widowControl/>
        <w:spacing w:after="140" w:line="300" w:lineRule="auto"/>
      </w:pPr>
      <w:r>
        <w:t>This boundary layer tolerates small extraction errors without allowing the LLM to make the final consistency decision. The final check remains an SMT-based satisfiability and compatibility analysis. In other words, uncertainty is modeled where it is introduced, while the decision remains formally grounded.</w:t>
      </w:r>
    </w:p>
    <w:p>
      <w:pPr>
        <w:pStyle w:val="Heading3"/>
        <w:spacing w:before="160" w:after="60"/>
      </w:pPr>
      <w:r>
        <w:t>Sources</w:t>
      </w:r>
    </w:p>
    <w:p>
      <w:pPr>
        <w:pStyle w:val="ListBullet"/>
        <w:keepLines/>
        <w:spacing w:after="40"/>
      </w:pPr>
      <w:r>
        <w:rPr>
          <w:color w:val="667085"/>
          <w:sz w:val="17"/>
        </w:rPr>
        <w:t>PhD thesis, Chapter 4, Section 4.3.3 Inconsistency Detection.</w:t>
      </w:r>
    </w:p>
    <w:p>
      <w:r>
        <w:br w:type="page"/>
      </w:r>
    </w:p>
    <w:p>
      <w:pPr>
        <w:keepNext/>
        <w:spacing w:after="20"/>
      </w:pPr>
      <w:r>
        <w:rPr>
          <w:b/>
          <w:color w:val="2E74B5"/>
          <w:sz w:val="18"/>
        </w:rPr>
        <w:t>SECTION 03 · MPCHECKER · SLIDE 17 · 22:20–25:35</w:t>
      </w:r>
    </w:p>
    <w:p>
      <w:pPr>
        <w:pStyle w:val="Heading1"/>
        <w:spacing w:before="80"/>
      </w:pPr>
      <w:r>
        <w:t>Formal checking creates actionable evidence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66 / 72 — constraints extracted correctly · 91.7%  |  117 / 126 — found among 216 cases · 92.8% recall · 94.9% accuracy  |  69.0% → 92.8% — recall gain from fuzzy constraint logic  |  11 / 14 — reports confirmed by maintainers · 10 resolved  |  5.6% — recall from direct LLM comparison alone</w:t>
      </w:r>
    </w:p>
    <w:p>
      <w:pPr>
        <w:pStyle w:val="Heading2"/>
      </w:pPr>
      <w:r>
        <w:t>Verbatim script</w:t>
      </w:r>
    </w:p>
    <w:p>
      <w:pPr>
        <w:widowControl/>
        <w:spacing w:after="140" w:line="300" w:lineRule="auto"/>
      </w:pPr>
      <w:r>
        <w:t>I evaluated documentation extraction on 72 real constraints collected from scikit-learn, SciPy, NumPy, and pandas. MPChecker correctly extracted 66, giving an accuracy of 91.7 percent. The prompt components were important: without few-shot examples, accuracy fell to 62.5 percent, and without chain-of-thought, it fell to 79.2 percent.</w:t>
      </w:r>
    </w:p>
    <w:p>
      <w:pPr>
        <w:widowControl/>
        <w:spacing w:after="140" w:line="300" w:lineRule="auto"/>
      </w:pPr>
      <w:r>
        <w:t>For inconsistency detection, I generated 216 mutation cases based on eight patterns derived from resolved GitHub issues. Manual and SMT validation showed that 126 were genuinely inconsistent and 90 remained consistent.</w:t>
      </w:r>
    </w:p>
    <w:p>
      <w:pPr>
        <w:widowControl/>
        <w:spacing w:after="140" w:line="300" w:lineRule="auto"/>
      </w:pPr>
      <w:r>
        <w:t>The full MPChecker detected 117 of the 126 inconsistent constraints, giving 92.8 percent recall and 94.9 percent overall accuracy. The version without fuzzy words and fuzzy constraint logic achieved 69 percent recall, so the fuzzy boundary contributed a gain of 23.8 percentage points. A raw LLM comparison of documentation and code achieved only 5.6 percent recall, while giving the LLM pre-extracted constraints improved recall to 41.3 percent. These comparisons indicate that the gain comes from the hybrid analysis design, not from asking a stronger prompt to judge the artifacts directly.</w:t>
      </w:r>
    </w:p>
    <w:p>
      <w:pPr>
        <w:widowControl/>
        <w:spacing w:after="140" w:line="300" w:lineRule="auto"/>
      </w:pPr>
      <w:r>
        <w:t>I also applied MPChecker to real library versions and reported 14 candidate issues across scikit-learn, Keras, Statsmodels, and Dask. Eleven were confirmed, and ten had been resolved at writing time: seven through documentation changes and three through changes to both documentation and code.</w:t>
      </w:r>
    </w:p>
    <w:p>
      <w:pPr>
        <w:widowControl/>
        <w:spacing w:after="140" w:line="300" w:lineRule="auto"/>
      </w:pPr>
      <w:r>
        <w:t>One example came from scikit-learn’s lars_path. The documentation stated that if X was None, the Gram matrix had to be specified. The code enforced the opposite relationship. After the report, the documentation was corrected to state that if X is None, Gram must also be None.</w:t>
      </w:r>
    </w:p>
    <w:p>
      <w:pPr>
        <w:widowControl/>
        <w:spacing w:after="140" w:line="300" w:lineRule="auto"/>
      </w:pPr>
      <w:r>
        <w:t>The paper’s contribution is therefore an end-to-end multi-parameter inconsistency checker with a customized fuzzy constraint layer and developer-confirmed real-world impact. MPChecker identifies a logical disagreement; it does not automatically declare which artifact is correct. Maintainers still determine whether code or documentation represents the intended contract.</w:t>
      </w:r>
    </w:p>
    <w:p>
      <w:pPr>
        <w:pStyle w:val="Heading3"/>
        <w:spacing w:before="160" w:after="60"/>
      </w:pPr>
      <w:r>
        <w:t>Sources</w:t>
      </w:r>
    </w:p>
    <w:p>
      <w:pPr>
        <w:pStyle w:val="ListBullet"/>
        <w:keepLines/>
        <w:spacing w:after="40"/>
      </w:pPr>
      <w:r>
        <w:rPr>
          <w:color w:val="667085"/>
          <w:sz w:val="17"/>
        </w:rPr>
        <w:t>PhD thesis, Chapter 4, Section 4.4.2 Results.</w:t>
      </w:r>
    </w:p>
    <w:p>
      <w:pPr>
        <w:pStyle w:val="ListBullet"/>
        <w:keepLines/>
        <w:spacing w:after="40"/>
      </w:pPr>
      <w:r>
        <w:rPr>
          <w:color w:val="667085"/>
          <w:sz w:val="17"/>
        </w:rPr>
        <w:t>PhD thesis, Chapter 4, Section 4.4.2.3 Practical effect of MPChecker.</w:t>
      </w:r>
    </w:p>
    <w:p>
      <w:r>
        <w:br w:type="page"/>
      </w:r>
    </w:p>
    <w:p>
      <w:pPr>
        <w:keepNext/>
        <w:spacing w:after="20"/>
      </w:pPr>
      <w:r>
        <w:rPr>
          <w:b/>
          <w:color w:val="2E74B5"/>
          <w:sz w:val="18"/>
        </w:rPr>
        <w:t>SYNTHESIS · SLIDE 18 · 25:35–26:55</w:t>
      </w:r>
    </w:p>
    <w:p>
      <w:pPr>
        <w:pStyle w:val="Heading1"/>
        <w:spacing w:before="80"/>
      </w:pPr>
      <w:r>
        <w:t>Three papers share one reliability pattern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CompSuite — external change → executable test oracle  |  DataLoc — natural language → inspectable Datalog  |  MPChecker — text + code → comparable constraints  |  Principle — LLMs interpret ambiguity; formal systems decide what must be true.</w:t>
      </w:r>
    </w:p>
    <w:p>
      <w:pPr>
        <w:pStyle w:val="Heading2"/>
      </w:pPr>
      <w:r>
        <w:t>Verbatim script</w:t>
      </w:r>
    </w:p>
    <w:p>
      <w:pPr>
        <w:widowControl/>
        <w:spacing w:after="140" w:line="300" w:lineRule="auto"/>
      </w:pPr>
      <w:r>
        <w:t>Across the three papers, the intermediate artifact changes—from a test, to a Datalog rule, to a logical constraint—but the reliability pattern remains the same: make the model’s output executable, inspectable, or checkable.</w:t>
      </w:r>
    </w:p>
    <w:p>
      <w:pPr>
        <w:widowControl/>
        <w:spacing w:after="140" w:line="300" w:lineRule="auto"/>
      </w:pPr>
      <w:r>
        <w:t>CompSuite converts an external change into a reproducible pair of executions and a test oracle. DataLoc converts a natural-language localization request into program facts and an inspectable Datalog rule. MPChecker converts natural-language and implementation behavior into comparable constraint expressions.</w:t>
      </w:r>
    </w:p>
    <w:p>
      <w:pPr>
        <w:widowControl/>
        <w:spacing w:after="140" w:line="300" w:lineRule="auto"/>
      </w:pPr>
      <w:r>
        <w:t>These intermediate representations are the connective tissue of the thesis. A test case, a Datalog program, or a constraint expression is more useful for reliability than an unsupported natural-language answer because it can be rerun, inspected, or checked.</w:t>
      </w:r>
    </w:p>
    <w:p>
      <w:pPr>
        <w:widowControl/>
        <w:spacing w:after="140" w:line="300" w:lineRule="auto"/>
      </w:pPr>
      <w:r>
        <w:t>The work also shows that neural and symbolic components should not be treated as competitors. Neural models handle ambiguity and semantic translation. Symbolic methods handle structural traversal, satisfiability, and reproducible verification. The architecture determines which component is allowed to make which decision.</w:t>
      </w:r>
    </w:p>
    <w:p>
      <w:pPr>
        <w:widowControl/>
        <w:spacing w:after="140" w:line="300" w:lineRule="auto"/>
      </w:pPr>
      <w:r>
        <w:t>The thesis does not claim to have built one end-to-end autonomous maintenance system. It establishes datasets, benchmarks, tools, and design evidence for making such systems more dependable across the lifecycle.</w:t>
      </w:r>
    </w:p>
    <w:p>
      <w:pPr>
        <w:pStyle w:val="Heading3"/>
        <w:spacing w:before="160" w:after="60"/>
      </w:pPr>
      <w:r>
        <w:t>Sources</w:t>
      </w:r>
    </w:p>
    <w:p>
      <w:pPr>
        <w:pStyle w:val="ListBullet"/>
        <w:keepLines/>
        <w:spacing w:after="40"/>
      </w:pPr>
      <w:r>
        <w:rPr>
          <w:color w:val="667085"/>
          <w:sz w:val="17"/>
        </w:rPr>
        <w:t>PhD thesis, Chapter 1, Section 1.2 Contributions.</w:t>
      </w:r>
    </w:p>
    <w:p>
      <w:pPr>
        <w:pStyle w:val="ListBullet"/>
        <w:keepLines/>
        <w:spacing w:after="40"/>
      </w:pPr>
      <w:r>
        <w:rPr>
          <w:color w:val="667085"/>
          <w:sz w:val="17"/>
        </w:rPr>
        <w:t>PhD thesis, Chapter 6, Section 6.1 Conclusion.</w:t>
      </w:r>
    </w:p>
    <w:p>
      <w:r>
        <w:br w:type="page"/>
      </w:r>
    </w:p>
    <w:p>
      <w:pPr>
        <w:keepNext/>
        <w:spacing w:after="20"/>
      </w:pPr>
      <w:r>
        <w:rPr>
          <w:b/>
          <w:color w:val="2E74B5"/>
          <w:sz w:val="18"/>
        </w:rPr>
        <w:t>SYNTHESIS · SLIDE 19 · 26:55–28:35</w:t>
      </w:r>
    </w:p>
    <w:p>
      <w:pPr>
        <w:pStyle w:val="Heading1"/>
        <w:spacing w:before="80"/>
      </w:pPr>
      <w:r>
        <w:t>Strong evidence, bounded scope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Scope — Java/Maven, Python, and diagnostic benchmarks.  |  Boundary — tests, facts, queries, and path exploration can be incomplete.  |  Next — self-healing, automatic repair, cross-language facts, and a verifiable intermediate language.</w:t>
      </w:r>
    </w:p>
    <w:p>
      <w:pPr>
        <w:pStyle w:val="Heading2"/>
      </w:pPr>
      <w:r>
        <w:t>Verbatim script</w:t>
      </w:r>
    </w:p>
    <w:p>
      <w:pPr>
        <w:widowControl/>
        <w:spacing w:after="140" w:line="300" w:lineRule="auto"/>
      </w:pPr>
      <w:r>
        <w:t>There are several important limitations.</w:t>
      </w:r>
    </w:p>
    <w:p>
      <w:pPr>
        <w:widowControl/>
        <w:spacing w:after="140" w:line="300" w:lineRule="auto"/>
      </w:pPr>
      <w:r>
        <w:t>CompSuite focuses on Java projects using Maven. It upgrades one dependency at a time, relies on existing tests as behavioral oracles, and represents a historical snapshot. It therefore captures only failures exercised by the selected test suites and environments.</w:t>
      </w:r>
    </w:p>
    <w:p>
      <w:pPr>
        <w:widowControl/>
        <w:spacing w:after="140" w:line="300" w:lineRule="auto"/>
      </w:pPr>
      <w:r>
        <w:t>MPChecker currently focuses on Python data-science libraries and two major docstring styles. Python symbolic execution remains incomplete, particularly for new language features, external calls, strings, and complex objects. Its similarity threshold is heuristic, and a reported inconsistency does not determine whether code or documentation is the intended source of truth.</w:t>
      </w:r>
    </w:p>
    <w:p>
      <w:pPr>
        <w:widowControl/>
        <w:spacing w:after="140" w:line="300" w:lineRule="auto"/>
      </w:pPr>
      <w:r>
        <w:t>DataLoc has so far been evaluated only on Python. KA-LogicQuery contains 25 structural templates across nine projects; it is a diagnostic benchmark, not a complete model of every maintenance request. Deterministic inference is guaranteed only relative to the extracted facts and synthesized rule. Missing facts or an incorrectly translated query can still produce an incorrect answer.</w:t>
      </w:r>
    </w:p>
    <w:p>
      <w:pPr>
        <w:widowControl/>
        <w:spacing w:after="140" w:line="300" w:lineRule="auto"/>
      </w:pPr>
      <w:r>
        <w:t>These boundaries motivate four directions: end-to-end benchmarks for AI-assisted self-healing under dependency evolution; automated repair of code–documentation inconsistencies; extension of program facts and analyses across languages; and a verifiable intermediate language that bridges human intent and generated code before implementation begins.</w:t>
      </w:r>
    </w:p>
    <w:p>
      <w:pPr>
        <w:pStyle w:val="Heading3"/>
        <w:spacing w:before="160" w:after="60"/>
      </w:pPr>
      <w:r>
        <w:t>Sources</w:t>
      </w:r>
    </w:p>
    <w:p>
      <w:pPr>
        <w:pStyle w:val="ListBullet"/>
        <w:keepLines/>
        <w:spacing w:after="40"/>
      </w:pPr>
      <w:r>
        <w:rPr>
          <w:color w:val="667085"/>
          <w:sz w:val="17"/>
        </w:rPr>
        <w:t>PhD thesis, Chapter 3, dataset construction and scope.</w:t>
      </w:r>
    </w:p>
    <w:p>
      <w:pPr>
        <w:pStyle w:val="ListBullet"/>
        <w:keepLines/>
        <w:spacing w:after="40"/>
      </w:pPr>
      <w:r>
        <w:rPr>
          <w:color w:val="667085"/>
          <w:sz w:val="17"/>
        </w:rPr>
        <w:t>PhD thesis, Chapter 4, Section 4.5.1 Threats to Validity.</w:t>
      </w:r>
    </w:p>
    <w:p>
      <w:pPr>
        <w:pStyle w:val="ListBullet"/>
        <w:keepLines/>
        <w:spacing w:after="40"/>
      </w:pPr>
      <w:r>
        <w:rPr>
          <w:color w:val="667085"/>
          <w:sz w:val="17"/>
        </w:rPr>
        <w:t>PhD thesis, Chapter 5, Section 5.5 Threats to Validity.</w:t>
      </w:r>
    </w:p>
    <w:p>
      <w:pPr>
        <w:pStyle w:val="ListBullet"/>
        <w:keepLines/>
        <w:spacing w:after="40"/>
      </w:pPr>
      <w:r>
        <w:rPr>
          <w:color w:val="667085"/>
          <w:sz w:val="17"/>
        </w:rPr>
        <w:t>PhD thesis, Chapter 6, Section 6.2 Future Work.</w:t>
      </w:r>
    </w:p>
    <w:p>
      <w:r>
        <w:br w:type="page"/>
      </w:r>
    </w:p>
    <w:p>
      <w:pPr>
        <w:keepNext/>
        <w:spacing w:after="20"/>
      </w:pPr>
      <w:r>
        <w:rPr>
          <w:b/>
          <w:color w:val="2E74B5"/>
          <w:sz w:val="18"/>
        </w:rPr>
        <w:t>SYNTHESIS · SLIDE 20 · 28:35–30:00</w:t>
      </w:r>
    </w:p>
    <w:p>
      <w:pPr>
        <w:pStyle w:val="Heading1"/>
        <w:spacing w:before="80"/>
      </w:pPr>
      <w:r>
        <w:t>Reliable evolution needs neural flexibility, evidence, and logic</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Xiufeng Xu</w:t>
        <w:br/>
        <w:t>Thank you · Questions</w:t>
      </w:r>
    </w:p>
    <w:p>
      <w:pPr>
        <w:pStyle w:val="Heading2"/>
      </w:pPr>
      <w:r>
        <w:t>Verbatim script</w:t>
      </w:r>
    </w:p>
    <w:p>
      <w:pPr>
        <w:widowControl/>
        <w:spacing w:after="140" w:line="300" w:lineRule="auto"/>
      </w:pPr>
      <w:r>
        <w:t>I began with a one-line dependency upgrade. We can now revisit that example through the full lifecycle.</w:t>
      </w:r>
    </w:p>
    <w:p>
      <w:pPr>
        <w:widowControl/>
        <w:spacing w:after="140" w:line="300" w:lineRule="auto"/>
      </w:pPr>
      <w:r>
        <w:t>CompSuite makes the resulting external failure reproducible. DataLoc gives an AI system a structured way to find the logic that must change without depending on a lucky keyword. MPChecker checks whether the delivered documentation still agrees with the evolved implementation.</w:t>
      </w:r>
    </w:p>
    <w:p>
      <w:pPr>
        <w:widowControl/>
        <w:spacing w:after="140" w:line="300" w:lineRule="auto"/>
      </w:pPr>
      <w:r>
        <w:t>Together, these contributions support one conclusion: reliable AI-assisted software evolution should not depend on choosing between flexible intelligence and formal rigor. It should assign each of them the role it performs best.</w:t>
      </w:r>
    </w:p>
    <w:p>
      <w:pPr>
        <w:widowControl/>
        <w:spacing w:after="140" w:line="300" w:lineRule="auto"/>
      </w:pPr>
      <w:r>
        <w:t>Large language models provide adaptability, natural-language understanding, and generative power. Reproducible evidence and symbolic reasoning provide constraints, traceability, and verification. Their synthesis offers a practical path toward autonomous maintenance systems that are not only capable of changing software, but also able to justify and validate those changes.</w:t>
      </w:r>
    </w:p>
    <w:p>
      <w:pPr>
        <w:widowControl/>
        <w:spacing w:after="140" w:line="300" w:lineRule="auto"/>
      </w:pPr>
      <w:r>
        <w:t>That is the central contribution of this dissertation: a lifecycle-oriented foundation for software evolution that is intelligent where ambiguity is unavoidable and rigorous where correctness matters.</w:t>
      </w:r>
    </w:p>
    <w:p>
      <w:pPr>
        <w:widowControl/>
        <w:spacing w:after="140" w:line="300" w:lineRule="auto"/>
      </w:pPr>
      <w:r>
        <w:t>Thank you. I welcome your questions.</w:t>
      </w:r>
    </w:p>
    <w:p>
      <w:pPr>
        <w:pStyle w:val="Heading3"/>
        <w:spacing w:before="160" w:after="60"/>
      </w:pPr>
      <w:r>
        <w:t>Sources</w:t>
      </w:r>
    </w:p>
    <w:p>
      <w:pPr>
        <w:pStyle w:val="ListBullet"/>
        <w:keepLines/>
        <w:spacing w:after="40"/>
      </w:pPr>
      <w:r>
        <w:rPr>
          <w:color w:val="667085"/>
          <w:sz w:val="17"/>
        </w:rPr>
        <w:t>PhD thesis, Abstract.</w:t>
      </w:r>
    </w:p>
    <w:p>
      <w:pPr>
        <w:pStyle w:val="ListBullet"/>
        <w:keepLines/>
        <w:spacing w:after="40"/>
      </w:pPr>
      <w:r>
        <w:rPr>
          <w:color w:val="667085"/>
          <w:sz w:val="17"/>
        </w:rPr>
        <w:t>PhD thesis, Chapter 6, Section 6.1 Conclusion.</w:t>
      </w:r>
    </w:p>
    <w:p>
      <w:r>
        <w:br w:type="page"/>
      </w:r>
    </w:p>
    <w:p>
      <w:pPr>
        <w:keepNext/>
        <w:spacing w:after="0"/>
      </w:pPr>
      <w:r>
        <w:rPr>
          <w:b/>
          <w:color w:val="2E74B5"/>
          <w:sz w:val="18"/>
        </w:rPr>
        <w:t>FINAL REHEARSAL</w:t>
      </w:r>
    </w:p>
    <w:p>
      <w:pPr>
        <w:pStyle w:val="Title"/>
      </w:pPr>
      <w:r>
        <w:t>Before entering the room</w:t>
      </w:r>
    </w:p>
    <w:p>
      <w:pPr>
        <w:pStyle w:val="ListBullet"/>
      </w:pPr>
      <w:r>
        <w:t>Confirm that the title slide displays the current defense date and the correct institutional affiliation.</w:t>
      </w:r>
    </w:p>
    <w:p>
      <w:pPr>
        <w:pStyle w:val="ListBullet"/>
      </w:pPr>
      <w:r>
        <w:t>Practice the three explicit section openings—CompSuite, DataLoc, and MPChecker—and the transitions between them.</w:t>
      </w:r>
    </w:p>
    <w:p>
      <w:pPr>
        <w:pStyle w:val="ListBullet"/>
      </w:pPr>
      <w:r>
        <w:t>Use the exact result qualifiers: DataLoc is the fastest evaluated agentic method, not the fastest method overall.</w:t>
      </w:r>
    </w:p>
    <w:p>
      <w:pPr>
        <w:pStyle w:val="ListBullet"/>
      </w:pPr>
      <w:r>
        <w:t>Describe 25 query templates across 9 repositories as 225 instances.</w:t>
      </w:r>
    </w:p>
    <w:p>
      <w:pPr>
        <w:pStyle w:val="ListBullet"/>
      </w:pPr>
      <w:r>
        <w:t>Describe MPChecker’s evaluation set as 216 cases: 126 inconsistent and 90 consistent.</w:t>
      </w:r>
    </w:p>
    <w:p>
      <w:pPr>
        <w:pStyle w:val="ListBullet"/>
      </w:pPr>
      <w:r>
        <w:t>Keep limitations explicit: determinism is relative to extracted facts and synthesized rules.</w:t>
      </w:r>
    </w:p>
    <w:p>
      <w:pPr>
        <w:pStyle w:val="ListBullet"/>
      </w:pPr>
      <w:r>
        <w:t>End on the thesis claim, then stop. Do not dilute the close with a summary of every metric.</w:t>
      </w:r>
    </w:p>
    <w:sectPr w:rsidR="00FC693F" w:rsidRPr="0006063C" w:rsidSect="00034616">
      <w:headerReference w:type="default" r:id="rId9"/>
      <w:footerReference w:type="default" r:id="rId10"/>
      <w:pgSz w:w="12240" w:h="15840"/>
      <w:pgMar w:top="1181" w:right="1440" w:bottom="1066" w:left="1440"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667085"/>
        <w:sz w:val="17"/>
      </w:rPr>
      <w:t xml:space="preserve">Page </w:t>
    </w:r>
    <w:r>
      <w:fldChar w:fldCharType="begin"/>
      <w:instrText xml:space="preserve">PAGE</w:instrText>
      <w:fldChar w:fldCharType="end"/>
    </w:r>
    <w:r>
      <w:rPr>
        <w:color w:val="66708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Bdr>
        <w:bottom w:val="single" w:sz="6" w:space="8" w:color="D9E2F0"/>
      </w:pBdr>
    </w:pPr>
    <w:r>
      <w:rPr>
        <w:b/>
        <w:color w:val="2E74B5"/>
        <w:sz w:val="17"/>
      </w:rPr>
      <w:t>PhD Defense Script</w:t>
    </w:r>
    <w:r>
      <w:rPr>
        <w:color w:val="667085"/>
        <w:sz w:val="17"/>
      </w:rPr>
      <w:tab/>
      <w:t>Xiufeng Xu · NTU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A2E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Software Evolution Reliability through Neurosymbolic Reasoning</dc:title>
  <dc:subject>30-minute PhD defense verbatim script</dc:subject>
  <dc:creator>Xiufeng Xu</dc:creator>
  <cp:keywords>PhD defense, software evolution, neurosymbolic reasoning, CompSuite, DataLoc, MPChecker</cp:keywords>
  <dc:description>generated by python-docx</dc:description>
  <cp:lastModifiedBy/>
  <cp:revision>1</cp:revision>
  <dcterms:created xsi:type="dcterms:W3CDTF">2013-12-23T23:15:00Z</dcterms:created>
  <dcterms:modified xsi:type="dcterms:W3CDTF">2013-12-23T23:15:00Z</dcterms:modified>
  <cp:category/>
</cp:coreProperties>
</file>