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命名实体识别-基于对码业务终端数据</w:t>
      </w:r>
    </w:p>
    <w:p>
      <w:pPr>
        <w:pStyle w:val="r6kkvz"/>
        <w:pBdr/>
        <w:rPr/>
      </w:pPr>
      <w:r>
        <w:rPr/>
        <w:t>实体类型定义</w:t>
      </w:r>
    </w:p>
    <w:p>
      <w:pPr>
        <w:pStyle w:val="ablt93"/>
        <w:pBdr/>
        <w:rPr>
          <w:b/>
        </w:rPr>
      </w:pPr>
      <w:r>
        <w:rPr/>
        <w:t>一个标准终端名称由两个主体部分组成：</w:t>
      </w:r>
      <w:r>
        <w:rPr>
          <w:b/>
        </w:rPr>
        <w:t>品牌公司</w:t>
      </w:r>
      <w:r>
        <w:rPr/>
        <w:t xml:space="preserve"> + </w:t>
      </w:r>
      <w:r>
        <w:rPr>
          <w:b/>
        </w:rPr>
        <w:t>分店信息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对于品牌公司部分的实体规则设定参照相关法律文件中的规则，将其分为：</w:t>
      </w:r>
    </w:p>
    <w:p>
      <w:pPr>
        <w:pStyle w:val="ablt93"/>
        <w:pBdr/>
        <w:rPr>
          <w:b/>
        </w:rPr>
      </w:pPr>
      <w:r>
        <w:rPr>
          <w:b/>
        </w:rPr>
        <w:t>品牌地域、品牌名、行业、组织形式</w:t>
      </w:r>
    </w:p>
    <w:p>
      <w:pPr>
        <w:pStyle w:val="ablt93"/>
        <w:pBdr/>
        <w:rPr/>
      </w:pPr>
      <w:r>
        <w:rPr/>
        <w:t>而对分店信息通常可能包含两个部分：</w:t>
      </w:r>
    </w:p>
    <w:p>
      <w:pPr>
        <w:pStyle w:val="ablt93"/>
        <w:pBdr/>
        <w:rPr>
          <w:b/>
        </w:rPr>
      </w:pPr>
      <w:r>
        <w:rPr>
          <w:b/>
        </w:rPr>
        <w:t>店铺区域、店铺名称</w:t>
      </w:r>
    </w:p>
    <w:p>
      <w:pPr>
        <w:pStyle w:val="ablt93"/>
        <w:pBdr/>
        <w:rPr/>
      </w:pPr>
    </w:p>
    <w:p>
      <w:pPr>
        <w:pStyle w:val="ablt93"/>
        <w:pBdr>
          <w:bottom/>
        </w:pBdr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对码的处理过程中，我们将一个输入的终端名称及其ES（Elasticsearch）召回的结果进行拆分，分成六个实体要素，并逐一送入匹配环节进行匹配，并根据对应实体类别一一匹配赋予其相应得分。最终，通过综合考量两个终端的匹配得分，得出最终的匹配结果。</w:t>
      </w:r>
    </w:p>
    <w:p>
      <w:pPr>
        <w:pStyle w:val="ablt93"/>
        <w:pBdr/>
        <w:rPr/>
      </w:pPr>
    </w:p>
    <w:p>
      <w:pPr>
        <w:pStyle w:val="r6kkvz"/>
        <w:pBdr/>
        <w:rPr>
          <w:color w:val="000000"/>
        </w:rPr>
      </w:pPr>
      <w:r>
        <w:rPr>
          <w:color w:val="000000"/>
        </w:rPr>
        <w:t>数据标注</w:t>
      </w:r>
    </w:p>
    <w:p>
      <w:pPr>
        <w:pStyle w:val="ablt93"/>
        <w:pBdr/>
        <w:rPr/>
      </w:pPr>
      <w:r>
        <w:rPr/>
        <w:t>使用开源的标注系统</w:t>
      </w:r>
      <w:r>
        <w:rPr>
          <w:b/>
        </w:rPr>
        <w:t>Doccano</w:t>
      </w:r>
      <w:r>
        <w:rPr/>
        <w:t>对训练数据进行标注。对于每条终端数据，按照既定的实体规则进行数据标注。</w:t>
      </w:r>
    </w:p>
    <w:p>
      <w:pPr>
        <w:pStyle w:val="ablt93"/>
        <w:pBdr/>
        <w:rPr>
          <w:u w:val="single"/>
        </w:rPr>
      </w:pPr>
      <w:r>
        <w:rPr/>
        <w:t>导出的数据含</w:t>
      </w:r>
      <w:r>
        <w:rPr>
          <w:u w:val="single"/>
        </w:rPr>
        <w:t>样本id</w:t>
      </w:r>
      <w:r>
        <w:rPr/>
        <w:t>、</w:t>
      </w:r>
      <w:r>
        <w:rPr>
          <w:u w:val="single"/>
        </w:rPr>
        <w:t>原始文本text</w:t>
      </w:r>
      <w:r>
        <w:rPr/>
        <w:t>、以及每个实体部分的</w:t>
      </w:r>
      <w:r>
        <w:rPr>
          <w:u w:val="single"/>
        </w:rPr>
        <w:t>标注label</w:t>
      </w:r>
      <w:r>
        <w:rPr/>
        <w:t>和其</w:t>
      </w:r>
      <w:r>
        <w:rPr>
          <w:u w:val="single"/>
        </w:rPr>
        <w:t>开始及结束index</w:t>
      </w:r>
    </w:p>
    <w:p>
      <w:pPr>
        <w:pStyle w:val="ablt93"/>
        <w:pBdr/>
        <w:rPr/>
      </w:pPr>
      <w:r>
        <w:rPr/>
        <w:t>其格式为：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{</w:t>
      </w:r>
    </w:p>
    <w:p>
      <w:pPr>
        <w:pStyle w:val="ablt93"/>
        <w:pBdr/>
        <w:ind w:left="0" w:firstLineChars="20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"id":1,</w:t>
      </w:r>
    </w:p>
    <w:p>
      <w:pPr>
        <w:pStyle w:val="ablt93"/>
        <w:pBdr/>
        <w:ind w:left="0" w:firstLineChars="20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"text":"邓州市医药有限公司第一百八十六药店",</w:t>
      </w:r>
    </w:p>
    <w:p>
      <w:pPr>
        <w:pStyle w:val="ablt93"/>
        <w:pBdr>
          <w:bottom/>
        </w:pBdr>
        <w:ind w:left="0" w:firstLineChars="20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"label":[[0,3,"品牌地域"], [3,5,"行业"], [5,9,"组织形式"], [9,17,"店铺名称"]]</w:t>
      </w:r>
    </w:p>
    <w:p>
      <w:pPr>
        <w:pStyle w:val="ablt93"/>
        <w:pBdr/>
        <w:ind w:left="0" w:firstLineChars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}</w:t>
      </w:r>
    </w:p>
    <w:p>
      <w:pPr>
        <w:pStyle w:val="ablt93"/>
        <w:pBdr/>
        <w:ind w:left="0" w:firstLineChars="0"/>
        <w:rPr/>
      </w:pPr>
      <w:r>
        <w:rPr/>
        <w:t>doccano系统标注界面：</w:t>
      </w:r>
    </w:p>
    <w:p>
      <w:pPr>
        <w:pStyle w:val="ablt93"/>
        <w:pBdr>
          <w:bottom/>
        </w:pBdr>
        <w:rPr/>
      </w:pPr>
      <w:r>
        <w:rPr/>
        <w:drawing>
          <wp:inline distT="0" distB="0" distL="0" distR="0">
            <wp:extent cx="4581525" cy="19145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4581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rPr/>
      </w:pPr>
      <w:r>
        <w:rPr>
          <w:rStyle w:val="x6373l"/>
        </w:rPr>
        <w:fldChar w:fldCharType="begin"/>
      </w:r>
      <w:r>
        <w:rPr>
          <w:rStyle w:val="x6373l"/>
        </w:rPr>
        <w:instrText xml:space="preserve">HYPERLINK https://github.com/doccano/doccano normalLink \tdkey 2qsaec \tdfe -10 \tdfu https://github.com/doccano/doccano \tdfn GitHub%20-%20doccano/doccano%3A%20Open%20source%20annotation%20tool%20for%20machine%20learning%20practitioners. \tdlt text \tdds Open source annotation tool for machine learning practitioners. - GitHub - doccano/doccano: Open source annotation tool for machine learning practitioners. \tdfvi https://github.githubassets.com/favicons/favicon.svg \tdlf FromPaste </w:instrText>
      </w:r>
      <w:r>
        <w:rPr>
          <w:rStyle w:val="x6373l"/>
        </w:rPr>
        <w:fldChar w:fldCharType="separate"/>
      </w:r>
      <w:r>
        <w:rPr>
          <w:rStyle w:val="x6373l"/>
        </w:rPr>
        <w:t>GitHub - doccano/doccano: Open source annotation tool for machine learning practitioners.</w:t>
      </w:r>
      <w:r>
        <w:rPr>
          <w:rStyle w:val="x6373l"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r6kkvz"/>
        <w:pBdr/>
        <w:rPr/>
      </w:pPr>
      <w:r>
        <w:rPr/>
        <w:t>模型架构：UIE框架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UIE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(Universal Information Extraction)：Yaojie Lu等人在ACL-2022中提出了通用信息抽取统一框架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UIE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。该框架实现了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实体抽取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关系抽取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事件抽取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情感分析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等任务的统一建模，并使得不同任务间具备良好的迁移和泛化能力。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该模型可以支持不限定行业领域和抽取目标的关键信息抽取，实现零样本快速冷启动，并具备优秀的小样本微调能力，快速适配特定的抽取目标。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238337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3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/>
        <w:pBdr/>
        <w:ind w:left="0"/>
        <w:rPr/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 xml:space="preserve">UIE旨在通过单一框架统一建模不同IE任务的文本到结构的转换，也就是：不同的结构转换共享模型中 </w:t>
      </w: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</w:rPr>
        <w:t>相同的底层操作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 xml:space="preserve"> 和 </w:t>
      </w: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</w:rPr>
        <w:t>不同的转换能力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。</w:t>
      </w:r>
    </w:p>
    <w:p>
      <w:pPr>
        <w:snapToGrid/>
        <w:spacing w:line="24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具体来说，UIE：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通过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结构化抽取语言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对不同的信息抽取目标结构进行统一编码；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通过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结构化模式提示器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自适应生成目标结构；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通过大规模结构化/非结构化数据进行模型预训练捕获常见的IE能力；</w:t>
      </w:r>
    </w:p>
    <w:p>
      <w:pPr>
        <w:pStyle w:val="ablt93"/>
        <w:pBdr/>
        <w:ind w:left="0"/>
        <w:rPr/>
      </w:pPr>
    </w:p>
    <w:p>
      <w:pPr>
        <w:pStyle w:val="rszc5u"/>
        <w:rPr/>
      </w:pPr>
      <w:r>
        <w:rPr>
          <w:b/>
        </w:rPr>
        <w:t>UIE的整体框架：</w:t>
      </w:r>
    </w:p>
    <w:p>
      <w:pPr>
        <w:snapToGrid/>
        <w:spacing w:line="24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设计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结构化抽取语言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（SEL，Structured Extraction Language）来统一编码异构提取结构，即编码实体、关系、事件统一表示。</w:t>
      </w:r>
    </w:p>
    <w:p>
      <w:pPr>
        <w:pStyle w:val="ablt93"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构建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结构化模式提示器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（SSI，Structural Schema Instructor），一个基于schema的prompt机制，用于控制不同的生成需求。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58699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5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简单概括：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SSI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就是输入特定抽取任务的schema，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SEL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就是把不同任务的抽取结果统一用1种语言表示。</w:t>
      </w:r>
    </w:p>
    <w:p>
      <w:pPr>
        <w:pStyle w:val="ptmr2x"/>
        <w:pBdr/>
        <w:rPr>
          <w:b/>
        </w:rPr>
      </w:pPr>
    </w:p>
    <w:p>
      <w:pPr>
        <w:pStyle w:val="ptmr2x"/>
        <w:rPr>
          <w:b/>
        </w:rPr>
      </w:pPr>
      <w:r>
        <w:rPr>
          <w:b/>
        </w:rPr>
        <w:t>SEL</w:t>
      </w:r>
    </w:p>
    <w:p>
      <w:pPr>
        <w:pStyle w:val="ablt93"/>
        <w:pBdr/>
        <w:ind w:left="0"/>
        <w:rPr/>
      </w:pPr>
      <w:r>
        <w:rPr/>
        <w:t>SEL语言可以统一用</w:t>
      </w:r>
    </w:p>
    <w:p>
      <w:pPr>
        <w:pStyle w:val="ablt93"/>
        <w:pBdr/>
        <w:ind w:left="0"/>
        <w:rPr/>
      </w:pPr>
      <w:r>
        <w:rPr/>
        <w:t>（</w:t>
      </w:r>
    </w:p>
    <w:p>
      <w:pPr>
        <w:pStyle w:val="ablt93"/>
        <w:pBdr/>
        <w:ind w:left="0" w:firstLineChars="200"/>
        <w:rPr/>
      </w:pPr>
      <w:r>
        <w:rPr/>
        <w:t>Spot Name：Info Span</w:t>
      </w:r>
    </w:p>
    <w:p>
      <w:pPr>
        <w:pStyle w:val="ablt93"/>
        <w:pBdr/>
        <w:ind w:left="0" w:firstLineChars="200"/>
        <w:rPr/>
      </w:pPr>
      <w:r>
        <w:rPr/>
        <w:t>（Asso Name：Info Span）</w:t>
      </w:r>
    </w:p>
    <w:p>
      <w:pPr>
        <w:pStyle w:val="ablt93"/>
        <w:pBdr/>
        <w:ind w:left="0" w:firstLineChars="200"/>
        <w:rPr/>
      </w:pPr>
      <w:r>
        <w:rPr/>
        <w:t>（Asso Name：Info Span）</w:t>
      </w:r>
    </w:p>
    <w:p>
      <w:pPr>
        <w:pStyle w:val="ablt93"/>
        <w:pBdr/>
        <w:ind w:left="0" w:firstLineChars="0"/>
        <w:rPr/>
      </w:pPr>
      <w:r>
        <w:rPr/>
        <w:t>...）形式表示，具体地：</w:t>
      </w:r>
    </w:p>
    <w:p>
      <w:pPr>
        <w:pStyle w:val="ablt93"/>
        <w:pBdr/>
        <w:ind w:left="0"/>
        <w:rPr/>
      </w:pPr>
      <w:r>
        <w:rPr/>
        <w:t>Spot Name：Spotting操作的Info Span的类别信息，如实体类型；</w:t>
      </w:r>
    </w:p>
    <w:p>
      <w:pPr>
        <w:pStyle w:val="ablt93"/>
        <w:pBdr/>
        <w:ind w:left="0"/>
        <w:rPr/>
      </w:pPr>
      <w:r>
        <w:rPr/>
        <w:t>Asso Name: Associating操作的Info Span的类别信息，如关系类型、事件类型；</w:t>
      </w:r>
    </w:p>
    <w:p>
      <w:pPr>
        <w:pStyle w:val="ablt93"/>
        <w:pBdr/>
        <w:ind w:left="0"/>
        <w:rPr/>
      </w:pPr>
      <w:r>
        <w:rPr/>
        <w:t>Info Span：Spotting或Associating操作相关的文本Span；</w:t>
      </w:r>
    </w:p>
    <w:p>
      <w:pPr>
        <w:pStyle w:val="ablt93"/>
        <w:pBdr>
          <w:bottom/>
        </w:pBdr>
        <w:ind w:left="0"/>
        <w:rPr/>
      </w:pPr>
      <w:r>
        <w:rPr/>
        <w:drawing>
          <wp:inline distT="0" distB="0" distL="0" distR="0">
            <wp:extent cx="5760085" cy="222183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22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tmr2x"/>
        <w:rPr>
          <w:b/>
        </w:rPr>
      </w:pPr>
      <w:r>
        <w:rPr>
          <w:b/>
        </w:rPr>
        <w:t>SSI</w:t>
      </w:r>
    </w:p>
    <w:p>
      <w:pPr>
        <w:pStyle w:val="ablt93"/>
        <w:pBdr/>
        <w:ind w:left="0"/>
        <w:rPr/>
      </w:pPr>
      <w:r>
        <w:rPr/>
        <w:t>SSI的本质一个基于schema的prompt机制，用于控制不同的生成需求：在Text前拼接上相应的Schema Prompt，输出相应的SEL结构语言。</w:t>
      </w:r>
    </w:p>
    <w:p>
      <w:pPr>
        <w:pStyle w:val="ablt93"/>
        <w:pBdr/>
        <w:ind w:left="0"/>
        <w:rPr/>
      </w:pPr>
      <w:r>
        <w:rPr/>
        <w:t>不同任务的的形式是：</w:t>
      </w:r>
    </w:p>
    <w:p>
      <w:pPr>
        <w:pStyle w:val="ablt93"/>
        <w:pBdr/>
        <w:ind w:left="0"/>
        <w:rPr/>
      </w:pPr>
      <w:r>
        <w:rPr>
          <w:b/>
        </w:rPr>
        <w:t>实体抽取</w:t>
      </w:r>
      <w:r>
        <w:rPr/>
        <w:t>：[spot] 实体类别 [text]</w:t>
      </w:r>
    </w:p>
    <w:p>
      <w:pPr>
        <w:pStyle w:val="ablt93"/>
        <w:pBdr/>
        <w:ind w:left="0"/>
        <w:rPr/>
      </w:pPr>
      <w:r>
        <w:rPr>
          <w:b/>
        </w:rPr>
        <w:t>关系抽取</w:t>
      </w:r>
      <w:r>
        <w:rPr/>
        <w:t>：[spot] 实体类别 [asso] 关系类别 [text]</w:t>
      </w:r>
    </w:p>
    <w:p>
      <w:pPr>
        <w:pStyle w:val="ablt93"/>
        <w:pBdr/>
        <w:ind w:left="0"/>
        <w:rPr/>
      </w:pPr>
      <w:r>
        <w:rPr>
          <w:b/>
        </w:rPr>
        <w:t>事件抽取</w:t>
      </w:r>
      <w:r>
        <w:rPr/>
        <w:t>：[spot] 事件类别 [asso] 论元类别 [text]</w:t>
      </w:r>
    </w:p>
    <w:p>
      <w:pPr>
        <w:pStyle w:val="ablt93"/>
        <w:pBdr/>
        <w:ind w:left="0"/>
        <w:rPr/>
      </w:pPr>
      <w:r>
        <w:rPr>
          <w:b/>
        </w:rPr>
        <w:t>观点抽取</w:t>
      </w:r>
      <w:r>
        <w:rPr/>
        <w:t>：[spot] 评价维度 [asso] 观点类别 [text]</w:t>
      </w:r>
    </w:p>
    <w:p>
      <w:pPr>
        <w:pStyle w:val="r6kkvz"/>
        <w:pBdr/>
        <w:rPr/>
      </w:pPr>
    </w:p>
    <w:p>
      <w:pPr>
        <w:pStyle w:val="r6kkvz"/>
        <w:pBdr/>
        <w:rPr/>
      </w:pPr>
      <w:r>
        <w:rPr/>
        <w:t>预训练</w:t>
      </w:r>
    </w:p>
    <w:p>
      <w:pPr>
        <w:pStyle w:val="ablt93"/>
        <w:pBdr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UIE框架基于开源模型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  <w:t>T5-v1.1-base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实现，在其预训练参数的基础上进行二次预训练，以实现在下游任务上取得出色的效果。</w:t>
      </w:r>
    </w:p>
    <w:p>
      <w:pPr>
        <w:pStyle w:val="ablt93"/>
        <w:pBdr/>
        <w:rPr>
          <w:b w:val="false"/>
        </w:rPr>
      </w:pPr>
    </w:p>
    <w:p>
      <w:pPr>
        <w:pStyle w:val="ablt93"/>
        <w:pBdr/>
        <w:rPr>
          <w:b w:val="false"/>
        </w:rPr>
      </w:pPr>
      <w:r>
        <w:rPr>
          <w:b w:val="false"/>
        </w:rPr>
        <w:t>使用</w:t>
      </w:r>
      <w:r>
        <w:rPr>
          <w:b/>
        </w:rPr>
        <w:t>终端名称（药店、企业、医疗机构）、商品、合同文件</w:t>
      </w:r>
      <w:r>
        <w:rPr>
          <w:b w:val="false"/>
        </w:rPr>
        <w:t>作为预训练语料，构建3种预训练数据：</w:t>
      </w:r>
    </w:p>
    <w:p>
      <w:pPr>
        <w:pStyle w:val="ablt93"/>
        <w:rPr/>
      </w:pPr>
      <w:r>
        <w:rPr/>
        <w:t>Data_pair: 构建text-to-struct的平行语料：（SSI，Text，SEL）</w:t>
      </w:r>
    </w:p>
    <w:p>
      <w:pPr>
        <w:pStyle w:val="ablt93"/>
        <w:rPr/>
      </w:pPr>
      <w:r>
        <w:rPr/>
        <w:t>Data_record: 构造只包含SEL语法结构化record数据：（None，None，SEL）</w:t>
      </w:r>
    </w:p>
    <w:p>
      <w:pPr>
        <w:pStyle w:val="ablt93"/>
        <w:pBdr/>
        <w:rPr/>
      </w:pPr>
      <w:r>
        <w:rPr/>
        <w:t>Data_text: 构造无结构的原始文本数据：（None，Text'，Text''）</w:t>
      </w:r>
    </w:p>
    <w:p>
      <w:pPr>
        <w:pStyle w:val="ablt93"/>
        <w:pBdr/>
        <w:rPr/>
      </w:pPr>
    </w:p>
    <w:p>
      <w:pPr>
        <w:pStyle w:val="ablt93"/>
        <w:rPr/>
      </w:pPr>
      <w:r>
        <w:rPr/>
        <w:t>针对上述数据，分别构造3种预训练任务，将大规模异构数据整合到一起进行预训练：</w:t>
      </w:r>
    </w:p>
    <w:p>
      <w:pPr>
        <w:pStyle w:val="ablt93"/>
        <w:rPr/>
      </w:pPr>
      <w:r>
        <w:rPr>
          <w:b/>
        </w:rPr>
        <w:t>Text-to-Structure Pre-training</w:t>
      </w:r>
      <w:r>
        <w:rPr/>
        <w:t>：为了构建基础的文本到结构的映射能力，对平行语料Data_pair训练，同时构建负样本作为噪声训练（引入negative schema）。</w:t>
      </w:r>
    </w:p>
    <w:p>
      <w:pPr>
        <w:pStyle w:val="ablt93"/>
        <w:rPr/>
      </w:pPr>
      <w:r>
        <w:rPr>
          <w:b/>
        </w:rPr>
        <w:t>Structure Generation Pre-training</w:t>
      </w:r>
      <w:r>
        <w:rPr/>
        <w:t>：为了具备SEL语言的结构化能力，对Data_pair数据只训练 UIE 的 decoder 部分。</w:t>
      </w:r>
    </w:p>
    <w:p>
      <w:pPr>
        <w:pStyle w:val="ablt93"/>
        <w:rPr/>
      </w:pPr>
      <w:r>
        <w:rPr>
          <w:b/>
        </w:rPr>
        <w:t>Retrofitting Semantic Representation</w:t>
      </w:r>
      <w:r>
        <w:rPr/>
        <w:t>：为了具备基础的语义编码能力，对Data_text数据进行 span corruption训练。(可以理解为Masked-Language Modeling任务)</w:t>
      </w:r>
    </w:p>
    <w:p>
      <w:pPr>
        <w:pBdr/>
        <w:rPr/>
      </w:pPr>
    </w:p>
    <w:p>
      <w:pPr>
        <w:pStyle w:val="r6kkvz"/>
        <w:pBdr/>
        <w:rPr/>
      </w:pPr>
      <w:r>
        <w:rPr/>
        <w:t>微调</w:t>
      </w:r>
    </w:p>
    <w:p>
      <w:pPr>
        <w:pStyle w:val="ablt93"/>
        <w:pBdr/>
        <w:rPr>
          <w:b w:val="false"/>
        </w:rPr>
      </w:pPr>
      <w:r>
        <w:rPr/>
        <w:t>在微调环节中加入</w:t>
      </w:r>
      <w:r>
        <w:rPr>
          <w:b/>
        </w:rPr>
        <w:t>拒识噪声注入的模型微调机制</w:t>
      </w:r>
      <w:r>
        <w:rPr>
          <w:b w:val="false"/>
        </w:rPr>
        <w:t>，随机采样SEL中不存在的SpotName类别和AssoName类别，即：(SPOTNAME, [NULL]) 和 (ASSONAME, [NULL])，使得模型学会</w:t>
      </w:r>
      <w:r>
        <w:rPr>
          <w:b/>
        </w:rPr>
        <w:t>拒绝生成错误结果的能力</w:t>
      </w:r>
    </w:p>
    <w:p>
      <w:pPr>
        <w:pStyle w:val="ablt93"/>
        <w:pBdr/>
        <w:rPr>
          <w:b w:val="false"/>
        </w:rPr>
      </w:pPr>
      <w:r>
        <w:rPr>
          <w:b w:val="false"/>
        </w:rPr>
        <w:t>如图：</w:t>
      </w:r>
    </w:p>
    <w:p>
      <w:pPr>
        <w:pStyle w:val="ablt93"/>
        <w:rPr>
          <w:b/>
        </w:rPr>
      </w:pPr>
      <w:r>
        <w:rPr>
          <w:b/>
        </w:rPr>
        <w:drawing>
          <wp:inline distT="0" distB="0" distL="0" distR="0">
            <wp:extent cx="5721918" cy="233497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-2350" t="18597" r="-2856" b="17564"/>
                    <a:stretch/>
                  </pic:blipFill>
                  <pic:spPr>
                    <a:xfrm rot="0">
                      <a:off x="0" y="0"/>
                      <a:ext cx="5721918" cy="233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r6kkvz"/>
        <w:rPr>
          <w:u w:val="none"/>
        </w:rPr>
      </w:pPr>
      <w:r>
        <w:rPr>
          <w:u w:val="none"/>
        </w:rPr>
        <w:t>投入生产环节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分词规则设定为：</w:t>
      </w:r>
      <w:r>
        <w:rPr>
          <w:u w:val="single"/>
        </w:rPr>
        <w:t>品牌名、品牌地址；店铺名、店铺地址</w:t>
      </w:r>
      <w:r>
        <w:rPr/>
        <w:t>。</w:t>
      </w:r>
    </w:p>
    <w:p>
      <w:pPr>
        <w:pStyle w:val="ablt93"/>
        <w:pBdr>
          <w:bottom/>
        </w:pBdr>
        <w:ind w:left="0" w:firstLineChars="200"/>
        <w:rPr/>
      </w:pPr>
      <w:r>
        <w:rPr/>
        <w:t>随机抽样20条数据，抽取实体测试效果。结果显示效果较好，且置信度高。 5/9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3295650" cy="5082815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6103" r="0" b="10387"/>
                    <a:stretch/>
                  </pic:blipFill>
                  <pic:spPr>
                    <a:xfrm rot="0">
                      <a:off x="0" y="0"/>
                      <a:ext cx="3295650" cy="508281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针对对码项目会议讨论的分词规则，对微调数据进行重新标注。分词规则调整为：</w:t>
      </w:r>
    </w:p>
    <w:p>
      <w:pPr>
        <w:pStyle w:val="ablt93"/>
        <w:pBdr/>
        <w:ind w:left="0"/>
        <w:rPr>
          <w:b/>
        </w:rPr>
      </w:pPr>
      <w:r>
        <w:rPr>
          <w:b/>
        </w:rPr>
        <w:tab/>
        <w:t xml:space="preserve"> 品牌区域；  品牌名；  行业词；  组织形式； 店铺区域；  店铺名称；</w:t>
      </w:r>
    </w:p>
    <w:p>
      <w:pPr>
        <w:pStyle w:val="ablt93"/>
        <w:pBdr>
          <w:bottom/>
        </w:pBdr>
        <w:ind w:left="0"/>
        <w:rPr/>
      </w:pP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调整标注后的数据微调uie-base，效果不佳。5/11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000625" cy="86677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000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846059" cy="3038135"/>
            <wp:effectExtent l="0" t="0" r="0" b="0"/>
            <wp:docPr id="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-444" b="25301"/>
                    <a:stretch/>
                  </pic:blipFill>
                  <pic:spPr>
                    <a:xfrm rot="0">
                      <a:off x="0" y="0"/>
                      <a:ext cx="3846059" cy="30381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 w:firstLineChars="200"/>
        <w:rPr/>
      </w:pPr>
      <w:r>
        <w:rPr/>
        <w:t>可能的原因：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/>
        <w:t>标注不够精确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/>
        <w:t>基线模型能力不足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/>
        <w:t>数据量不够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"/>
        </w:numPr>
        <w:pBdr>
          <w:bottom/>
        </w:pBdr>
        <w:ind/>
        <w:rPr/>
      </w:pPr>
      <w:r>
        <w:rPr/>
        <w:t>子龙用jieba分词工具生成1w条标注数据，对uie-base做fine tune。效果显著，且置信度高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4461304" cy="562808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-68" b="17"/>
                    <a:stretch/>
                  </pic:blipFill>
                  <pic:spPr>
                    <a:xfrm rot="0">
                      <a:off x="0" y="0"/>
                      <a:ext cx="4461304" cy="56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440"/>
        <w:rPr/>
      </w:pPr>
    </w:p>
    <w:p>
      <w:pPr>
        <w:pStyle w:val="r6kkvz"/>
        <w:pBdr/>
        <w:rPr/>
      </w:pPr>
      <w:r>
        <w:rPr/>
        <w:t>后续优化</w:t>
      </w:r>
    </w:p>
    <w:p>
      <w:pPr>
        <w:pStyle w:val="ablt93"/>
        <w:numPr>
          <w:ilvl w:val="0"/>
          <w:numId w:val="5"/>
        </w:numPr>
        <w:pBdr/>
        <w:ind/>
        <w:rPr>
          <w:strike w:val="false"/>
          <w:u w:val="none"/>
        </w:rPr>
      </w:pPr>
      <w:r>
        <w:rPr>
          <w:strike w:val="false"/>
          <w:u w:val="none"/>
        </w:rPr>
        <w:t>提升推理速度，视情况调整以下参数：</w:t>
      </w:r>
    </w:p>
    <w:p>
      <w:pPr>
        <w:pStyle w:val="ablt93"/>
        <w:numPr>
          <w:ilvl w:val="1"/>
          <w:numId w:val="6"/>
        </w:numPr>
        <w:pBdr/>
        <w:ind/>
        <w:rPr>
          <w:u w:val="none"/>
        </w:rPr>
      </w:pPr>
      <w:r>
        <w:rPr>
          <w:u w:val="none"/>
        </w:rPr>
        <w:t>batch size: 32/ 64/ 128</w:t>
      </w:r>
    </w:p>
    <w:p>
      <w:pPr>
        <w:pStyle w:val="ablt93"/>
        <w:numPr>
          <w:ilvl w:val="1"/>
          <w:numId w:val="6"/>
        </w:numPr>
        <w:pBdr/>
        <w:ind/>
        <w:rPr>
          <w:u w:val="none"/>
        </w:rPr>
      </w:pPr>
      <w:r>
        <w:rPr>
          <w:u w:val="none"/>
        </w:rPr>
        <w:t>precision：单精度或双精度</w:t>
      </w:r>
    </w:p>
    <w:p>
      <w:pPr>
        <w:pStyle w:val="ablt93"/>
        <w:numPr>
          <w:ilvl w:val="1"/>
          <w:numId w:val="6"/>
        </w:numPr>
        <w:pBdr/>
        <w:ind/>
        <w:rPr>
          <w:u w:val="single"/>
        </w:rPr>
      </w:pPr>
      <w:r>
        <w:rPr>
          <w:u w:val="none"/>
        </w:rPr>
        <w:t>use_fast：FastTokenizer工具加速预处理</w:t>
      </w:r>
    </w:p>
    <w:p>
      <w:pPr>
        <w:pStyle w:val="ablt93"/>
        <w:numPr/>
        <w:pBdr/>
        <w:ind w:left="440"/>
        <w:rPr>
          <w:u w:val="none"/>
        </w:rPr>
      </w:pPr>
      <w:r>
        <w:rPr>
          <w:u w:val="none"/>
        </w:rPr>
        <w:t>真实使用场景在50条左右，bs设为64，开启单精度和FastTokenizer，1s左右</w:t>
      </w:r>
    </w:p>
    <w:p>
      <w:pPr>
        <w:pStyle w:val="ablt93"/>
        <w:pBdr/>
        <w:ind w:left="0"/>
        <w:rPr>
          <w:u w:val="none"/>
        </w:rPr>
      </w:pPr>
    </w:p>
    <w:p>
      <w:pPr>
        <w:pStyle w:val="ablt93"/>
        <w:numPr>
          <w:ilvl w:val="0"/>
          <w:numId w:val="7"/>
        </w:numPr>
        <w:pBdr/>
        <w:ind/>
        <w:rPr>
          <w:u w:val="none"/>
        </w:rPr>
      </w:pPr>
      <w:r>
        <w:rPr>
          <w:u w:val="none"/>
        </w:rPr>
        <w:t>对训练数据进行细致的预处理，以及根据标注进行精准校对。添加更多数据，打散重组对UIE-base模型进行重新训练。</w:t>
      </w:r>
    </w:p>
    <w:p>
      <w:pPr>
        <w:pStyle w:val="ablt93"/>
        <w:pBdr/>
        <w:ind w:left="0"/>
        <w:rPr>
          <w:u w:val="none"/>
        </w:rPr>
      </w:pPr>
      <w:r>
        <w:rPr>
          <w:u w:val="none"/>
        </w:rPr>
        <w:t>模型精度展示如下图：</w:t>
      </w:r>
    </w:p>
    <w:p>
      <w:pPr>
        <w:pStyle w:val="ablt93"/>
        <w:pBdr/>
        <w:ind w:left="0"/>
        <w:rPr>
          <w:u w:val="none"/>
        </w:rPr>
      </w:pPr>
      <w:r>
        <w:rPr/>
        <w:drawing>
          <wp:inline distT="0" distB="0" distL="0" distR="0">
            <wp:extent cx="6002986" cy="2360687"/>
            <wp:effectExtent l="0" t="0" r="0" b="0"/>
            <wp:docPr id="2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47" b="-99"/>
                    <a:stretch/>
                  </pic:blipFill>
                  <pic:spPr>
                    <a:xfrm rot="0">
                      <a:off x="0" y="0"/>
                      <a:ext cx="6002986" cy="236068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>
          <w:bottom/>
        </w:pBdr>
        <w:ind w:left="0"/>
        <w:rPr>
          <w:u w:val="none"/>
        </w:rPr>
      </w:pPr>
    </w:p>
    <w:p>
      <w:pPr>
        <w:pStyle w:val="ablt93"/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3"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7"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num w:numId="1">
    <w:abstractNumId w:val="6"/>
  </w:num>
  <w:num w:numId="6">
    <w:abstractNumId w:val="1"/>
  </w:num>
  <w:num w:numId="3">
    <w:abstractNumId w:val="4"/>
  </w:num>
  <w:num w:numId="5">
    <w:abstractNumId w:val="7"/>
  </w:num>
  <w:num w:numId="2">
    <w:abstractNumId w:val="3"/>
  </w:num>
  <w:num w:numId="7">
    <w:abstractNumId w:val="2"/>
  </w:num>
  <w:num w:numId="4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character" w:styleId="x6373l">
    <w:name w:val="Hyperlink"/>
    <w:basedOn w:val="a7l8bd"/>
    <w:next w:val=""/>
    <w:uiPriority w:val="99"/>
    <w:unhideWhenUsed/>
    <w:rPr>
      <w:color w:val="1E6FFF" w:themeColor="hyperlink"/>
      <w:u w:val="single"/>
    </w:rPr>
  </w:style>
  <w:style w:type="paragraph" w:styleId="ptmr2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szc5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a7l8bd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r6kkv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8" Type="http://schemas.openxmlformats.org/officeDocument/2006/relationships/image" Target="media/image5.jpg" /><Relationship Id="rId5" Type="http://schemas.openxmlformats.org/officeDocument/2006/relationships/image" Target="media/image2.jpg" /><Relationship Id="rId9" Type="http://schemas.openxmlformats.org/officeDocument/2006/relationships/image" Target="media/image6.png" /><Relationship Id="rId4" Type="http://schemas.openxmlformats.org/officeDocument/2006/relationships/image" Target="media/image1.png" /><Relationship Id="rId6" Type="http://schemas.openxmlformats.org/officeDocument/2006/relationships/image" Target="media/image3.jp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12" Type="http://schemas.openxmlformats.org/officeDocument/2006/relationships/image" Target="media/image9.png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2026-06-30T11:31:11Z</dcterms:created>
  <dcterms:modified xsi:type="dcterms:W3CDTF">2026-06-30T11:31:11Z</dcterms:modified>
</cp:coreProperties>
</file>