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2FCD8C" w14:textId="77777777" w:rsidR="00600333" w:rsidRDefault="00600333" w:rsidP="00600333">
      <w:pPr>
        <w:pStyle w:val="NormalWeb"/>
        <w:spacing w:before="0" w:beforeAutospacing="0" w:after="0" w:afterAutospacing="0"/>
        <w:jc w:val="center"/>
      </w:pPr>
      <w:r>
        <w:rPr>
          <w:b/>
          <w:bCs/>
          <w:color w:val="000000"/>
        </w:rPr>
        <w:t>Acute Effects of Psilocybin on Attention and Executive Functioning in Healthy Volunteers: A Systematic Review and Multilevel Meta-Analysis</w:t>
      </w:r>
    </w:p>
    <w:p w14:paraId="29ED33A0" w14:textId="77777777" w:rsidR="00600333" w:rsidRDefault="00600333" w:rsidP="00600333"/>
    <w:p w14:paraId="0BE24AB5" w14:textId="77777777" w:rsidR="00600333" w:rsidRDefault="00600333" w:rsidP="00600333">
      <w:pPr>
        <w:pStyle w:val="NormalWeb"/>
        <w:spacing w:before="0" w:beforeAutospacing="0" w:after="0" w:afterAutospacing="0"/>
        <w:jc w:val="both"/>
      </w:pPr>
      <w:r>
        <w:rPr>
          <w:color w:val="000000"/>
        </w:rPr>
        <w:t xml:space="preserve">Yousefi, </w:t>
      </w:r>
      <w:proofErr w:type="spellStart"/>
      <w:r>
        <w:rPr>
          <w:color w:val="000000"/>
        </w:rPr>
        <w:t>P.</w:t>
      </w:r>
      <w:r>
        <w:rPr>
          <w:color w:val="000000"/>
          <w:sz w:val="14"/>
          <w:szCs w:val="14"/>
          <w:vertAlign w:val="superscript"/>
        </w:rPr>
        <w:t>a</w:t>
      </w:r>
      <w:proofErr w:type="spellEnd"/>
      <w:r>
        <w:rPr>
          <w:color w:val="000000"/>
          <w:sz w:val="14"/>
          <w:szCs w:val="14"/>
          <w:vertAlign w:val="superscript"/>
        </w:rPr>
        <w:t>*</w:t>
      </w:r>
      <w:r>
        <w:rPr>
          <w:color w:val="000000"/>
        </w:rPr>
        <w:t xml:space="preserve"> , Lietz, M.P.</w:t>
      </w:r>
      <w:r>
        <w:rPr>
          <w:color w:val="000000"/>
          <w:sz w:val="14"/>
          <w:szCs w:val="14"/>
          <w:vertAlign w:val="superscript"/>
        </w:rPr>
        <w:t xml:space="preserve"> </w:t>
      </w:r>
      <w:proofErr w:type="spellStart"/>
      <w:r>
        <w:rPr>
          <w:color w:val="000000"/>
          <w:sz w:val="14"/>
          <w:szCs w:val="14"/>
          <w:vertAlign w:val="superscript"/>
        </w:rPr>
        <w:t>b,c</w:t>
      </w:r>
      <w:proofErr w:type="spellEnd"/>
      <w:r>
        <w:rPr>
          <w:color w:val="000000"/>
          <w:sz w:val="14"/>
          <w:szCs w:val="14"/>
          <w:vertAlign w:val="superscript"/>
        </w:rPr>
        <w:t>*</w:t>
      </w:r>
      <w:r>
        <w:rPr>
          <w:color w:val="000000"/>
        </w:rPr>
        <w:t xml:space="preserve">, O’Higgins, F. </w:t>
      </w:r>
      <w:proofErr w:type="spellStart"/>
      <w:r>
        <w:rPr>
          <w:color w:val="000000"/>
        </w:rPr>
        <w:t>J.</w:t>
      </w:r>
      <w:r>
        <w:rPr>
          <w:color w:val="000000"/>
          <w:sz w:val="14"/>
          <w:szCs w:val="14"/>
          <w:vertAlign w:val="superscript"/>
        </w:rPr>
        <w:t>d</w:t>
      </w:r>
      <w:proofErr w:type="spellEnd"/>
      <w:r>
        <w:rPr>
          <w:color w:val="000000"/>
        </w:rPr>
        <w:t xml:space="preserve">,  Rippe, </w:t>
      </w:r>
      <w:proofErr w:type="spellStart"/>
      <w:r>
        <w:rPr>
          <w:color w:val="000000"/>
        </w:rPr>
        <w:t>R.C.A.</w:t>
      </w:r>
      <w:r>
        <w:rPr>
          <w:color w:val="000000"/>
          <w:sz w:val="14"/>
          <w:szCs w:val="14"/>
          <w:vertAlign w:val="superscript"/>
        </w:rPr>
        <w:t>e</w:t>
      </w:r>
      <w:proofErr w:type="spellEnd"/>
      <w:r>
        <w:rPr>
          <w:color w:val="000000"/>
        </w:rPr>
        <w:t xml:space="preserve">, Hasler, </w:t>
      </w:r>
      <w:proofErr w:type="spellStart"/>
      <w:r>
        <w:rPr>
          <w:color w:val="000000"/>
        </w:rPr>
        <w:t>G.</w:t>
      </w:r>
      <w:r>
        <w:rPr>
          <w:color w:val="000000"/>
          <w:sz w:val="14"/>
          <w:szCs w:val="14"/>
          <w:vertAlign w:val="superscript"/>
        </w:rPr>
        <w:t>b,f,g</w:t>
      </w:r>
      <w:proofErr w:type="spellEnd"/>
      <w:r>
        <w:rPr>
          <w:color w:val="000000"/>
        </w:rPr>
        <w:t xml:space="preserve">, van Elk, </w:t>
      </w:r>
      <w:proofErr w:type="spellStart"/>
      <w:r>
        <w:rPr>
          <w:color w:val="000000"/>
        </w:rPr>
        <w:t>M.</w:t>
      </w:r>
      <w:r>
        <w:rPr>
          <w:color w:val="000000"/>
          <w:sz w:val="14"/>
          <w:szCs w:val="14"/>
          <w:vertAlign w:val="superscript"/>
        </w:rPr>
        <w:t>a</w:t>
      </w:r>
      <w:proofErr w:type="spellEnd"/>
      <w:r>
        <w:rPr>
          <w:color w:val="000000"/>
        </w:rPr>
        <w:t xml:space="preserve">, Enriquez-Geppert, </w:t>
      </w:r>
      <w:proofErr w:type="spellStart"/>
      <w:r>
        <w:rPr>
          <w:color w:val="000000"/>
        </w:rPr>
        <w:t>S.</w:t>
      </w:r>
      <w:r>
        <w:rPr>
          <w:color w:val="000000"/>
          <w:sz w:val="14"/>
          <w:szCs w:val="14"/>
          <w:vertAlign w:val="superscript"/>
        </w:rPr>
        <w:t>c,g,f</w:t>
      </w:r>
      <w:proofErr w:type="spellEnd"/>
      <w:r>
        <w:rPr>
          <w:color w:val="000000"/>
          <w:sz w:val="14"/>
          <w:szCs w:val="14"/>
          <w:vertAlign w:val="superscript"/>
        </w:rPr>
        <w:t>  </w:t>
      </w:r>
    </w:p>
    <w:p w14:paraId="0358C378" w14:textId="77777777" w:rsidR="00600333" w:rsidRDefault="00600333" w:rsidP="00600333">
      <w:pPr>
        <w:pStyle w:val="NormalWeb"/>
        <w:spacing w:before="0" w:beforeAutospacing="0" w:after="0" w:afterAutospacing="0" w:line="480" w:lineRule="auto"/>
        <w:jc w:val="both"/>
      </w:pPr>
      <w:r>
        <w:rPr>
          <w:color w:val="000000"/>
          <w:sz w:val="14"/>
          <w:szCs w:val="14"/>
          <w:vertAlign w:val="superscript"/>
        </w:rPr>
        <w:t> </w:t>
      </w:r>
    </w:p>
    <w:p w14:paraId="7F4F9188" w14:textId="77777777" w:rsidR="00600333" w:rsidRDefault="00600333" w:rsidP="00600333">
      <w:pPr>
        <w:pStyle w:val="NormalWeb"/>
        <w:spacing w:before="0" w:beforeAutospacing="0" w:after="0" w:afterAutospacing="0"/>
        <w:jc w:val="both"/>
      </w:pPr>
      <w:r>
        <w:rPr>
          <w:color w:val="000000"/>
          <w:sz w:val="14"/>
          <w:szCs w:val="14"/>
          <w:vertAlign w:val="superscript"/>
        </w:rPr>
        <w:t xml:space="preserve">a </w:t>
      </w:r>
      <w:r>
        <w:rPr>
          <w:color w:val="000000"/>
        </w:rPr>
        <w:t>Cognitive Psychology Unit, Institute of Psychology, Leiden University, the Netherlands</w:t>
      </w:r>
    </w:p>
    <w:p w14:paraId="2A8EFE6D" w14:textId="77777777" w:rsidR="00600333" w:rsidRDefault="00600333" w:rsidP="00600333">
      <w:pPr>
        <w:pStyle w:val="NormalWeb"/>
        <w:spacing w:before="0" w:beforeAutospacing="0" w:after="0" w:afterAutospacing="0"/>
        <w:jc w:val="both"/>
      </w:pPr>
      <w:r>
        <w:rPr>
          <w:color w:val="000000"/>
          <w:sz w:val="14"/>
          <w:szCs w:val="14"/>
          <w:vertAlign w:val="superscript"/>
        </w:rPr>
        <w:t xml:space="preserve">b </w:t>
      </w:r>
      <w:r>
        <w:rPr>
          <w:color w:val="000000"/>
        </w:rPr>
        <w:t xml:space="preserve">University </w:t>
      </w:r>
      <w:proofErr w:type="spellStart"/>
      <w:r>
        <w:rPr>
          <w:color w:val="000000"/>
        </w:rPr>
        <w:t>Center</w:t>
      </w:r>
      <w:proofErr w:type="spellEnd"/>
      <w:r>
        <w:rPr>
          <w:color w:val="000000"/>
        </w:rPr>
        <w:t xml:space="preserve"> for Psychiatric Research, University of Fribourg, Villars-sur-</w:t>
      </w:r>
      <w:proofErr w:type="spellStart"/>
      <w:r>
        <w:rPr>
          <w:color w:val="000000"/>
        </w:rPr>
        <w:t>Glâne</w:t>
      </w:r>
      <w:proofErr w:type="spellEnd"/>
      <w:r>
        <w:rPr>
          <w:color w:val="000000"/>
        </w:rPr>
        <w:t>, Switzerland</w:t>
      </w:r>
    </w:p>
    <w:p w14:paraId="4AC3645A" w14:textId="77777777" w:rsidR="00600333" w:rsidRDefault="00600333" w:rsidP="00600333">
      <w:pPr>
        <w:pStyle w:val="NormalWeb"/>
        <w:spacing w:before="0" w:beforeAutospacing="0" w:after="0" w:afterAutospacing="0"/>
        <w:jc w:val="both"/>
      </w:pPr>
      <w:r>
        <w:rPr>
          <w:color w:val="000000"/>
          <w:sz w:val="14"/>
          <w:szCs w:val="14"/>
          <w:vertAlign w:val="superscript"/>
        </w:rPr>
        <w:t xml:space="preserve">c </w:t>
      </w:r>
      <w:r>
        <w:rPr>
          <w:color w:val="000000"/>
        </w:rPr>
        <w:t>Department of Clinical and Developmental Neuropsychology, University of Groningen, Groningen, the Netherlands</w:t>
      </w:r>
    </w:p>
    <w:p w14:paraId="44EDB8D8" w14:textId="77777777" w:rsidR="00600333" w:rsidRDefault="00600333" w:rsidP="00600333">
      <w:pPr>
        <w:pStyle w:val="NormalWeb"/>
        <w:spacing w:before="0" w:beforeAutospacing="0" w:after="0" w:afterAutospacing="0"/>
        <w:jc w:val="both"/>
      </w:pPr>
      <w:r>
        <w:rPr>
          <w:color w:val="000000"/>
          <w:sz w:val="14"/>
          <w:szCs w:val="14"/>
          <w:vertAlign w:val="superscript"/>
        </w:rPr>
        <w:t xml:space="preserve">d </w:t>
      </w:r>
      <w:r>
        <w:rPr>
          <w:color w:val="000000"/>
        </w:rPr>
        <w:t>Royal College of Surgeons in Ireland, Dublin, Ireland</w:t>
      </w:r>
    </w:p>
    <w:p w14:paraId="6ED922BD" w14:textId="77777777" w:rsidR="00600333" w:rsidRDefault="00600333" w:rsidP="00600333">
      <w:pPr>
        <w:pStyle w:val="NormalWeb"/>
        <w:spacing w:before="0" w:beforeAutospacing="0" w:after="0" w:afterAutospacing="0"/>
        <w:jc w:val="both"/>
      </w:pPr>
      <w:r>
        <w:rPr>
          <w:color w:val="000000"/>
          <w:sz w:val="14"/>
          <w:szCs w:val="14"/>
          <w:vertAlign w:val="superscript"/>
        </w:rPr>
        <w:t xml:space="preserve">e </w:t>
      </w:r>
      <w:r>
        <w:rPr>
          <w:color w:val="000000"/>
        </w:rPr>
        <w:t>Institute of Education and Child Studies, Leiden University, the Netherlands</w:t>
      </w:r>
    </w:p>
    <w:p w14:paraId="1B16988F" w14:textId="77777777" w:rsidR="00600333" w:rsidRPr="007802B3" w:rsidRDefault="00600333" w:rsidP="00600333">
      <w:pPr>
        <w:pStyle w:val="NormalWeb"/>
        <w:spacing w:before="0" w:beforeAutospacing="0" w:after="0" w:afterAutospacing="0"/>
        <w:jc w:val="both"/>
        <w:rPr>
          <w:rFonts w:cs="Times New Roman"/>
        </w:rPr>
      </w:pPr>
      <w:r>
        <w:rPr>
          <w:color w:val="000000"/>
          <w:sz w:val="14"/>
          <w:szCs w:val="14"/>
          <w:vertAlign w:val="superscript"/>
        </w:rPr>
        <w:t xml:space="preserve">f </w:t>
      </w:r>
      <w:r w:rsidRPr="007802B3">
        <w:rPr>
          <w:rFonts w:cs="Times New Roman"/>
          <w:color w:val="000000"/>
        </w:rPr>
        <w:t xml:space="preserve">Freiburger </w:t>
      </w:r>
      <w:proofErr w:type="spellStart"/>
      <w:r w:rsidRPr="007802B3">
        <w:rPr>
          <w:rFonts w:cs="Times New Roman"/>
          <w:color w:val="000000"/>
        </w:rPr>
        <w:t>Netzwerk</w:t>
      </w:r>
      <w:proofErr w:type="spellEnd"/>
      <w:r w:rsidRPr="007802B3">
        <w:rPr>
          <w:rFonts w:cs="Times New Roman"/>
          <w:color w:val="000000"/>
        </w:rPr>
        <w:t xml:space="preserve"> für </w:t>
      </w:r>
      <w:proofErr w:type="spellStart"/>
      <w:r w:rsidRPr="007802B3">
        <w:rPr>
          <w:rFonts w:cs="Times New Roman"/>
          <w:color w:val="000000"/>
        </w:rPr>
        <w:t>psychische</w:t>
      </w:r>
      <w:proofErr w:type="spellEnd"/>
      <w:r w:rsidRPr="007802B3">
        <w:rPr>
          <w:rFonts w:cs="Times New Roman"/>
          <w:color w:val="000000"/>
        </w:rPr>
        <w:t xml:space="preserve"> Gesundheit, Villars-sur-</w:t>
      </w:r>
      <w:proofErr w:type="spellStart"/>
      <w:r w:rsidRPr="007802B3">
        <w:rPr>
          <w:rFonts w:cs="Times New Roman"/>
          <w:color w:val="000000"/>
        </w:rPr>
        <w:t>Glâne</w:t>
      </w:r>
      <w:proofErr w:type="spellEnd"/>
      <w:r w:rsidRPr="007802B3">
        <w:rPr>
          <w:rFonts w:cs="Times New Roman"/>
          <w:color w:val="000000"/>
        </w:rPr>
        <w:t>, Switzerland</w:t>
      </w:r>
    </w:p>
    <w:p w14:paraId="4CE76F01" w14:textId="77777777" w:rsidR="00600333" w:rsidRPr="007802B3" w:rsidRDefault="00600333" w:rsidP="00600333">
      <w:pPr>
        <w:pStyle w:val="NormalWeb"/>
        <w:spacing w:before="0" w:beforeAutospacing="0" w:after="0" w:afterAutospacing="0"/>
        <w:jc w:val="both"/>
        <w:rPr>
          <w:rFonts w:cs="Times New Roman"/>
        </w:rPr>
      </w:pPr>
      <w:r w:rsidRPr="007802B3">
        <w:rPr>
          <w:rFonts w:cs="Times New Roman"/>
          <w:color w:val="000000"/>
          <w:sz w:val="14"/>
          <w:szCs w:val="14"/>
          <w:vertAlign w:val="superscript"/>
        </w:rPr>
        <w:t xml:space="preserve">g </w:t>
      </w:r>
      <w:r w:rsidRPr="007802B3">
        <w:rPr>
          <w:rFonts w:cs="Times New Roman"/>
          <w:color w:val="000000"/>
        </w:rPr>
        <w:t xml:space="preserve">Lake Lucerne Institute, </w:t>
      </w:r>
      <w:proofErr w:type="spellStart"/>
      <w:r w:rsidRPr="007802B3">
        <w:rPr>
          <w:rFonts w:cs="Times New Roman"/>
          <w:color w:val="000000"/>
        </w:rPr>
        <w:t>Vitznau</w:t>
      </w:r>
      <w:proofErr w:type="spellEnd"/>
      <w:r w:rsidRPr="007802B3">
        <w:rPr>
          <w:rFonts w:cs="Times New Roman"/>
          <w:color w:val="000000"/>
        </w:rPr>
        <w:t>, Switzerland</w:t>
      </w:r>
    </w:p>
    <w:p w14:paraId="659A5706" w14:textId="77777777" w:rsidR="00600333" w:rsidRPr="007802B3" w:rsidRDefault="00600333" w:rsidP="00600333">
      <w:pPr>
        <w:pStyle w:val="NormalWeb"/>
        <w:spacing w:before="0" w:beforeAutospacing="0" w:after="0" w:afterAutospacing="0"/>
        <w:jc w:val="both"/>
        <w:rPr>
          <w:rFonts w:cs="Times New Roman"/>
        </w:rPr>
      </w:pPr>
      <w:proofErr w:type="spellStart"/>
      <w:r w:rsidRPr="007802B3">
        <w:rPr>
          <w:rFonts w:cs="Times New Roman"/>
          <w:color w:val="000000"/>
          <w:sz w:val="14"/>
          <w:szCs w:val="14"/>
          <w:vertAlign w:val="superscript"/>
        </w:rPr>
        <w:t>i</w:t>
      </w:r>
      <w:proofErr w:type="spellEnd"/>
      <w:r w:rsidRPr="007802B3">
        <w:rPr>
          <w:rFonts w:cs="Times New Roman"/>
          <w:color w:val="000000"/>
          <w:sz w:val="14"/>
          <w:szCs w:val="14"/>
          <w:vertAlign w:val="superscript"/>
        </w:rPr>
        <w:t xml:space="preserve"> </w:t>
      </w:r>
      <w:r w:rsidRPr="007802B3">
        <w:rPr>
          <w:rFonts w:cs="Times New Roman"/>
          <w:color w:val="000000"/>
        </w:rPr>
        <w:t xml:space="preserve">Department of Biomedical Sciences of Cells &amp; Systems, University Medical </w:t>
      </w:r>
      <w:proofErr w:type="spellStart"/>
      <w:r w:rsidRPr="007802B3">
        <w:rPr>
          <w:rFonts w:cs="Times New Roman"/>
          <w:color w:val="000000"/>
        </w:rPr>
        <w:t>Center</w:t>
      </w:r>
      <w:proofErr w:type="spellEnd"/>
      <w:r w:rsidRPr="007802B3">
        <w:rPr>
          <w:rFonts w:cs="Times New Roman"/>
          <w:color w:val="000000"/>
        </w:rPr>
        <w:t xml:space="preserve"> Groningen, Groningen, the Netherlands </w:t>
      </w:r>
    </w:p>
    <w:p w14:paraId="6D095CF7" w14:textId="77777777" w:rsidR="00600333" w:rsidRPr="007802B3" w:rsidRDefault="00600333" w:rsidP="00600333">
      <w:pPr>
        <w:pStyle w:val="NormalWeb"/>
        <w:spacing w:before="0" w:beforeAutospacing="0" w:after="0" w:afterAutospacing="0"/>
        <w:jc w:val="both"/>
        <w:rPr>
          <w:rFonts w:cs="Times New Roman"/>
        </w:rPr>
      </w:pPr>
      <w:r w:rsidRPr="007802B3">
        <w:rPr>
          <w:rFonts w:cs="Times New Roman"/>
          <w:color w:val="000000"/>
          <w:sz w:val="14"/>
          <w:szCs w:val="14"/>
          <w:vertAlign w:val="superscript"/>
        </w:rPr>
        <w:t xml:space="preserve">j </w:t>
      </w:r>
      <w:r w:rsidRPr="007802B3">
        <w:rPr>
          <w:rFonts w:cs="Times New Roman"/>
          <w:color w:val="000000"/>
        </w:rPr>
        <w:t>Psychedelic Treatment and Mechanisms Group, University Centre of Psychiatry, Groningen, the Netherlands</w:t>
      </w:r>
    </w:p>
    <w:p w14:paraId="1B405D21" w14:textId="77777777" w:rsidR="00600333" w:rsidRPr="007802B3" w:rsidRDefault="00600333" w:rsidP="00600333">
      <w:pPr>
        <w:pStyle w:val="NormalWeb"/>
        <w:spacing w:before="0" w:beforeAutospacing="0" w:after="0" w:afterAutospacing="0"/>
        <w:jc w:val="both"/>
        <w:rPr>
          <w:rFonts w:cs="Times New Roman"/>
        </w:rPr>
      </w:pPr>
      <w:r w:rsidRPr="007802B3">
        <w:rPr>
          <w:rFonts w:cs="Times New Roman"/>
          <w:color w:val="000000"/>
          <w:sz w:val="14"/>
          <w:szCs w:val="14"/>
          <w:vertAlign w:val="superscript"/>
        </w:rPr>
        <w:t>*</w:t>
      </w:r>
      <w:r w:rsidRPr="007802B3">
        <w:rPr>
          <w:rFonts w:cs="Times New Roman"/>
          <w:color w:val="000000"/>
        </w:rPr>
        <w:t>These authors contributed equally.</w:t>
      </w:r>
    </w:p>
    <w:p w14:paraId="3703445A" w14:textId="0F4175F6" w:rsidR="00FB2956" w:rsidRPr="007802B3" w:rsidRDefault="00600333" w:rsidP="00600333">
      <w:pPr>
        <w:widowControl w:val="0"/>
        <w:tabs>
          <w:tab w:val="left" w:pos="360"/>
        </w:tabs>
        <w:rPr>
          <w:rFonts w:ascii="Times New Roman" w:eastAsia="Times New Roman" w:hAnsi="Times New Roman" w:cs="Times New Roman"/>
        </w:rPr>
      </w:pPr>
      <w:r w:rsidRPr="007802B3">
        <w:rPr>
          <w:rFonts w:ascii="Times New Roman" w:hAnsi="Times New Roman" w:cs="Times New Roman"/>
        </w:rPr>
        <w:br/>
      </w:r>
      <w:r w:rsidRPr="007802B3">
        <w:rPr>
          <w:rFonts w:ascii="Times New Roman" w:hAnsi="Times New Roman" w:cs="Times New Roman"/>
        </w:rPr>
        <w:br/>
      </w:r>
      <w:r w:rsidRPr="007802B3">
        <w:rPr>
          <w:rFonts w:ascii="Times New Roman" w:hAnsi="Times New Roman" w:cs="Times New Roman"/>
        </w:rPr>
        <w:br/>
      </w:r>
      <w:r w:rsidRPr="007802B3">
        <w:rPr>
          <w:rFonts w:ascii="Times New Roman" w:hAnsi="Times New Roman" w:cs="Times New Roman"/>
          <w:b/>
          <w:bCs/>
          <w:color w:val="000000"/>
        </w:rPr>
        <w:t>Correspondence:</w:t>
      </w:r>
      <w:r w:rsidRPr="007802B3">
        <w:rPr>
          <w:rFonts w:ascii="Times New Roman" w:hAnsi="Times New Roman" w:cs="Times New Roman"/>
          <w:color w:val="000000"/>
        </w:rPr>
        <w:br/>
        <w:t>Morten Lietz</w:t>
      </w:r>
      <w:r w:rsidRPr="007802B3">
        <w:rPr>
          <w:rFonts w:ascii="Times New Roman" w:hAnsi="Times New Roman" w:cs="Times New Roman"/>
          <w:color w:val="000000"/>
        </w:rPr>
        <w:br/>
        <w:t xml:space="preserve">Email: </w:t>
      </w:r>
      <w:hyperlink r:id="rId8" w:history="1">
        <w:r w:rsidRPr="007802B3">
          <w:rPr>
            <w:rStyle w:val="Hyperlink"/>
            <w:rFonts w:ascii="Times New Roman" w:hAnsi="Times New Roman" w:cs="Times New Roman"/>
            <w:color w:val="1155CC"/>
          </w:rPr>
          <w:t>morten.lietz@unifr.ch</w:t>
        </w:r>
      </w:hyperlink>
      <w:r w:rsidRPr="007802B3">
        <w:rPr>
          <w:rFonts w:ascii="Times New Roman" w:hAnsi="Times New Roman" w:cs="Times New Roman"/>
          <w:color w:val="000000"/>
        </w:rPr>
        <w:t>; mortenlietz@gmail.com</w:t>
      </w:r>
    </w:p>
    <w:p w14:paraId="30555CCF" w14:textId="77777777" w:rsidR="00FB2956" w:rsidRPr="007802B3" w:rsidRDefault="00FB2956" w:rsidP="00497BDC">
      <w:pPr>
        <w:widowControl w:val="0"/>
        <w:tabs>
          <w:tab w:val="left" w:pos="360"/>
        </w:tabs>
        <w:rPr>
          <w:rFonts w:ascii="Times New Roman" w:eastAsia="Times New Roman" w:hAnsi="Times New Roman" w:cs="Times New Roman"/>
        </w:rPr>
      </w:pPr>
    </w:p>
    <w:p w14:paraId="1754A3F7" w14:textId="77777777" w:rsidR="00FB2956" w:rsidRPr="007802B3" w:rsidRDefault="00FB2956" w:rsidP="00497BDC">
      <w:pPr>
        <w:widowControl w:val="0"/>
        <w:tabs>
          <w:tab w:val="left" w:pos="360"/>
        </w:tabs>
        <w:rPr>
          <w:rFonts w:ascii="Times New Roman" w:eastAsia="Times New Roman" w:hAnsi="Times New Roman" w:cs="Times New Roman"/>
        </w:rPr>
      </w:pPr>
    </w:p>
    <w:p w14:paraId="49EAE3FA" w14:textId="77777777" w:rsidR="00FB2956" w:rsidRPr="007802B3" w:rsidRDefault="00FB2956" w:rsidP="00497BDC">
      <w:pPr>
        <w:widowControl w:val="0"/>
        <w:tabs>
          <w:tab w:val="left" w:pos="360"/>
        </w:tabs>
        <w:rPr>
          <w:rFonts w:ascii="Times New Roman" w:eastAsia="Times New Roman" w:hAnsi="Times New Roman" w:cs="Times New Roman"/>
        </w:rPr>
      </w:pPr>
    </w:p>
    <w:p w14:paraId="5338B7C6" w14:textId="7EE87643" w:rsidR="00FB2956" w:rsidRPr="007802B3" w:rsidRDefault="00FB2956" w:rsidP="00FB2956">
      <w:pPr>
        <w:pBdr>
          <w:top w:val="nil"/>
          <w:left w:val="nil"/>
          <w:bottom w:val="nil"/>
          <w:right w:val="nil"/>
          <w:between w:val="nil"/>
        </w:pBdr>
        <w:spacing w:line="480" w:lineRule="auto"/>
        <w:jc w:val="both"/>
        <w:rPr>
          <w:rFonts w:ascii="Times New Roman" w:eastAsia="Times New Roman" w:hAnsi="Times New Roman" w:cs="Times New Roman"/>
          <w:b/>
          <w:iCs/>
          <w:color w:val="000000"/>
        </w:rPr>
      </w:pPr>
      <w:r w:rsidRPr="007802B3">
        <w:rPr>
          <w:rFonts w:ascii="Times New Roman" w:eastAsia="Times New Roman" w:hAnsi="Times New Roman" w:cs="Times New Roman"/>
          <w:b/>
          <w:iCs/>
          <w:color w:val="000000"/>
        </w:rPr>
        <w:t>Conflict of interest:</w:t>
      </w:r>
    </w:p>
    <w:p w14:paraId="41EF0B7C" w14:textId="77777777" w:rsidR="00FB2956" w:rsidRDefault="00FB2956" w:rsidP="00FB2956">
      <w:pPr>
        <w:pBdr>
          <w:top w:val="nil"/>
          <w:left w:val="nil"/>
          <w:bottom w:val="nil"/>
          <w:right w:val="nil"/>
          <w:between w:val="nil"/>
        </w:pBdr>
        <w:spacing w:line="480" w:lineRule="auto"/>
        <w:jc w:val="both"/>
        <w:rPr>
          <w:rFonts w:ascii="Times New Roman" w:eastAsia="Times New Roman" w:hAnsi="Times New Roman" w:cs="Times New Roman"/>
          <w:color w:val="000000"/>
        </w:rPr>
      </w:pPr>
      <w:r w:rsidRPr="007802B3">
        <w:rPr>
          <w:rFonts w:ascii="Times New Roman" w:eastAsia="Times New Roman" w:hAnsi="Times New Roman" w:cs="Times New Roman"/>
          <w:color w:val="000000"/>
        </w:rPr>
        <w:t>The authors declare no confli</w:t>
      </w:r>
      <w:r>
        <w:rPr>
          <w:rFonts w:ascii="Times New Roman" w:eastAsia="Times New Roman" w:hAnsi="Times New Roman" w:cs="Times New Roman"/>
          <w:color w:val="000000"/>
        </w:rPr>
        <w:t xml:space="preserve">ct of interest. </w:t>
      </w:r>
    </w:p>
    <w:p w14:paraId="5DEAA499" w14:textId="7B1DA6A6" w:rsidR="00FB2956" w:rsidRDefault="00FB2956" w:rsidP="00497BDC">
      <w:pPr>
        <w:widowControl w:val="0"/>
        <w:tabs>
          <w:tab w:val="left" w:pos="360"/>
        </w:tabs>
        <w:rPr>
          <w:rFonts w:ascii="Times New Roman" w:eastAsia="Times New Roman" w:hAnsi="Times New Roman" w:cs="Times New Roman"/>
        </w:rPr>
        <w:sectPr w:rsidR="00FB2956">
          <w:headerReference w:type="default" r:id="rId9"/>
          <w:footerReference w:type="default" r:id="rId10"/>
          <w:pgSz w:w="12240" w:h="15840"/>
          <w:pgMar w:top="1440" w:right="1440" w:bottom="1440" w:left="1440" w:header="720" w:footer="720" w:gutter="0"/>
          <w:pgNumType w:start="1"/>
          <w:cols w:space="720"/>
        </w:sectPr>
      </w:pPr>
    </w:p>
    <w:p w14:paraId="5DEAA49A" w14:textId="77777777" w:rsidR="00144611" w:rsidRDefault="003422DA" w:rsidP="0010407A">
      <w:pPr>
        <w:widowControl w:val="0"/>
        <w:tabs>
          <w:tab w:val="left" w:pos="360"/>
        </w:tabs>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Abstract</w:t>
      </w:r>
      <w:bookmarkStart w:id="0" w:name="bookmark=id.30j0zll" w:colFirst="0" w:colLast="0"/>
      <w:bookmarkEnd w:id="0"/>
    </w:p>
    <w:p w14:paraId="40F78008" w14:textId="31F45AAB" w:rsidR="00224874" w:rsidRDefault="009558B2">
      <w:pPr>
        <w:pBdr>
          <w:top w:val="nil"/>
          <w:left w:val="nil"/>
          <w:bottom w:val="nil"/>
          <w:right w:val="nil"/>
          <w:between w:val="nil"/>
        </w:pBdr>
        <w:spacing w:before="280" w:after="280" w:line="480" w:lineRule="auto"/>
        <w:jc w:val="both"/>
        <w:rPr>
          <w:rFonts w:ascii="Times New Roman" w:eastAsia="Times New Roman" w:hAnsi="Times New Roman" w:cs="Times New Roman"/>
        </w:rPr>
      </w:pPr>
      <w:r w:rsidRPr="00EE276E">
        <w:rPr>
          <w:rFonts w:ascii="Times New Roman" w:eastAsia="Times New Roman" w:hAnsi="Times New Roman" w:cs="Times New Roman"/>
          <w:bCs/>
          <w:i/>
          <w:iCs/>
          <w:color w:val="000000"/>
        </w:rPr>
        <w:t>Rationale</w:t>
      </w:r>
      <w:r w:rsidR="00A900DB" w:rsidRPr="00EE276E">
        <w:rPr>
          <w:rFonts w:ascii="Times New Roman" w:eastAsia="Times New Roman" w:hAnsi="Times New Roman" w:cs="Times New Roman"/>
          <w:bCs/>
          <w:i/>
          <w:iCs/>
          <w:color w:val="000000"/>
        </w:rPr>
        <w:t>:</w:t>
      </w:r>
      <w:r w:rsidR="003422DA" w:rsidRPr="00EE276E">
        <w:rPr>
          <w:rFonts w:ascii="Times New Roman" w:eastAsia="Times New Roman" w:hAnsi="Times New Roman" w:cs="Times New Roman"/>
          <w:b/>
          <w:color w:val="000000"/>
        </w:rPr>
        <w:t xml:space="preserve"> </w:t>
      </w:r>
      <w:r w:rsidR="003422DA" w:rsidRPr="00EE276E">
        <w:rPr>
          <w:rFonts w:ascii="Times New Roman" w:eastAsia="Times New Roman" w:hAnsi="Times New Roman" w:cs="Times New Roman"/>
          <w:color w:val="000000"/>
        </w:rPr>
        <w:t>Psilocybin shows promise for treating neuropsychiatric disorders</w:t>
      </w:r>
      <w:r w:rsidR="003422DA" w:rsidRPr="00EE276E">
        <w:rPr>
          <w:rFonts w:ascii="Times New Roman" w:eastAsia="Times New Roman" w:hAnsi="Times New Roman" w:cs="Times New Roman"/>
        </w:rPr>
        <w:t xml:space="preserve">. </w:t>
      </w:r>
      <w:r w:rsidR="00CA5FAC">
        <w:rPr>
          <w:rFonts w:ascii="Times New Roman" w:eastAsia="Times New Roman" w:hAnsi="Times New Roman" w:cs="Times New Roman"/>
        </w:rPr>
        <w:t>However</w:t>
      </w:r>
      <w:r w:rsidR="003422DA" w:rsidRPr="00EE276E">
        <w:rPr>
          <w:rFonts w:ascii="Times New Roman" w:eastAsia="Times New Roman" w:hAnsi="Times New Roman" w:cs="Times New Roman"/>
        </w:rPr>
        <w:t xml:space="preserve">, insight  into its acute effects on cognition is lacking. Given the significant role of executive functions in daily life and treatment efficacy, it is crucial to evaluate how psilocybin influences these cognitive domains. </w:t>
      </w:r>
      <w:r w:rsidR="00A900DB" w:rsidRPr="00EE276E">
        <w:rPr>
          <w:rFonts w:ascii="Times New Roman" w:eastAsia="Times New Roman" w:hAnsi="Times New Roman" w:cs="Times New Roman"/>
          <w:i/>
          <w:iCs/>
        </w:rPr>
        <w:t>Objective</w:t>
      </w:r>
      <w:r w:rsidR="00B94E87" w:rsidRPr="00EE276E">
        <w:rPr>
          <w:rFonts w:ascii="Times New Roman" w:eastAsia="Times New Roman" w:hAnsi="Times New Roman" w:cs="Times New Roman"/>
          <w:i/>
          <w:iCs/>
        </w:rPr>
        <w:t xml:space="preserve">s: </w:t>
      </w:r>
      <w:r w:rsidR="008B43D8" w:rsidRPr="00EE276E">
        <w:rPr>
          <w:rFonts w:ascii="Times New Roman" w:eastAsia="Times New Roman" w:hAnsi="Times New Roman" w:cs="Times New Roman"/>
        </w:rPr>
        <w:t>This meta-analysis aims to quantify the acute effects of psilocybin on executive functions and attention, while examining how dosage, timing of administration, cognitive domain, and task characteristics moderate these effects.</w:t>
      </w:r>
      <w:r w:rsidR="003422DA" w:rsidRPr="00EE276E">
        <w:rPr>
          <w:rFonts w:ascii="Times New Roman" w:eastAsia="Times New Roman" w:hAnsi="Times New Roman" w:cs="Times New Roman"/>
        </w:rPr>
        <w:t xml:space="preserve"> </w:t>
      </w:r>
      <w:r w:rsidR="00EE276E" w:rsidRPr="00EE276E">
        <w:rPr>
          <w:rFonts w:ascii="Times New Roman" w:eastAsia="Times New Roman" w:hAnsi="Times New Roman" w:cs="Times New Roman"/>
          <w:i/>
          <w:iCs/>
        </w:rPr>
        <w:t>Methods</w:t>
      </w:r>
      <w:r w:rsidR="003422DA" w:rsidRPr="00EE276E">
        <w:rPr>
          <w:rFonts w:ascii="Times New Roman" w:eastAsia="Times New Roman" w:hAnsi="Times New Roman" w:cs="Times New Roman"/>
          <w:b/>
          <w:color w:val="000000"/>
        </w:rPr>
        <w:t xml:space="preserve">: </w:t>
      </w:r>
      <w:r w:rsidR="003422DA" w:rsidRPr="00EE276E">
        <w:rPr>
          <w:rFonts w:ascii="Times New Roman" w:eastAsia="Times New Roman" w:hAnsi="Times New Roman" w:cs="Times New Roman"/>
        </w:rPr>
        <w:t>A systematic review and multilevel meta-analysis were conducted on empirical studies assessing psilocybin's acute effects on working memory, conflict monitoring, response inhibition, cognitive flexibility, and attention. Effect sizes for reaction time (RT) and accuracy (ACC) were calculated, exploring the effects of timing (on-peak defined as 90-180 minutes post-administration), dosage, cognitive function categories, and task sensitivity to executive functions as potential moderators.</w:t>
      </w:r>
      <w:r w:rsidR="0013006A">
        <w:rPr>
          <w:rFonts w:ascii="Times New Roman" w:eastAsia="Times New Roman" w:hAnsi="Times New Roman" w:cs="Times New Roman"/>
        </w:rPr>
        <w:t xml:space="preserve"> </w:t>
      </w:r>
      <w:r w:rsidR="003422DA" w:rsidRPr="0013006A">
        <w:rPr>
          <w:rFonts w:ascii="Times New Roman" w:eastAsia="Times New Roman" w:hAnsi="Times New Roman" w:cs="Times New Roman"/>
          <w:bCs/>
          <w:i/>
          <w:iCs/>
          <w:color w:val="000000"/>
        </w:rPr>
        <w:t>Results</w:t>
      </w:r>
      <w:r w:rsidR="003422DA">
        <w:rPr>
          <w:rFonts w:ascii="Times New Roman" w:eastAsia="Times New Roman" w:hAnsi="Times New Roman" w:cs="Times New Roman"/>
          <w:b/>
          <w:color w:val="000000"/>
        </w:rPr>
        <w:t xml:space="preserve">: </w:t>
      </w:r>
      <w:r w:rsidR="003422DA">
        <w:rPr>
          <w:rFonts w:ascii="Times New Roman" w:eastAsia="Times New Roman" w:hAnsi="Times New Roman" w:cs="Times New Roman"/>
          <w:color w:val="000000"/>
        </w:rPr>
        <w:t>Thirteen studies (42 effect sizes) were included. In the acu</w:t>
      </w:r>
      <w:r w:rsidR="003422DA">
        <w:rPr>
          <w:rFonts w:ascii="Times New Roman" w:eastAsia="Times New Roman" w:hAnsi="Times New Roman" w:cs="Times New Roman"/>
        </w:rPr>
        <w:t>te phase, p</w:t>
      </w:r>
      <w:r w:rsidR="003422DA">
        <w:rPr>
          <w:rFonts w:ascii="Times New Roman" w:eastAsia="Times New Roman" w:hAnsi="Times New Roman" w:cs="Times New Roman"/>
          <w:color w:val="000000"/>
        </w:rPr>
        <w:t xml:space="preserve">silocybin increased </w:t>
      </w:r>
      <w:r w:rsidR="003422DA">
        <w:rPr>
          <w:rFonts w:ascii="Times New Roman" w:eastAsia="Times New Roman" w:hAnsi="Times New Roman" w:cs="Times New Roman"/>
        </w:rPr>
        <w:t>RT</w:t>
      </w:r>
      <w:r w:rsidR="003422DA">
        <w:rPr>
          <w:rFonts w:ascii="Times New Roman" w:eastAsia="Times New Roman" w:hAnsi="Times New Roman" w:cs="Times New Roman"/>
          <w:color w:val="000000"/>
        </w:rPr>
        <w:t>s (Hedges' g = 1.13, p = 0.0007) and did not</w:t>
      </w:r>
      <w:r w:rsidR="003422DA">
        <w:rPr>
          <w:rFonts w:ascii="Times New Roman" w:eastAsia="Times New Roman" w:hAnsi="Times New Roman" w:cs="Times New Roman"/>
        </w:rPr>
        <w:t xml:space="preserve"> significantly affect ACC</w:t>
      </w:r>
      <w:r w:rsidR="003422DA">
        <w:rPr>
          <w:rFonts w:ascii="Times New Roman" w:eastAsia="Times New Roman" w:hAnsi="Times New Roman" w:cs="Times New Roman"/>
          <w:color w:val="000000"/>
        </w:rPr>
        <w:t xml:space="preserve"> (Hedges' g = -0.45, p = 0.0681). Effects on RT were dose-dependent. Significant between-study heterogeneity was found for both RT and ACC. Task sensitivity to executive functions moderated RT effects. Publication bias was evident, but the overall effect remained significant after adjustment for this.</w:t>
      </w:r>
      <w:r w:rsidR="0013006A">
        <w:rPr>
          <w:rFonts w:ascii="Times New Roman" w:eastAsia="Times New Roman" w:hAnsi="Times New Roman" w:cs="Times New Roman"/>
          <w:color w:val="000000"/>
        </w:rPr>
        <w:t xml:space="preserve"> </w:t>
      </w:r>
      <w:r w:rsidR="0013006A" w:rsidRPr="0013006A">
        <w:rPr>
          <w:rFonts w:ascii="Times New Roman" w:eastAsia="Times New Roman" w:hAnsi="Times New Roman" w:cs="Times New Roman"/>
          <w:i/>
          <w:iCs/>
          <w:color w:val="000000"/>
        </w:rPr>
        <w:t>Conclusions</w:t>
      </w:r>
      <w:r w:rsidR="003422DA">
        <w:rPr>
          <w:rFonts w:ascii="Times New Roman" w:eastAsia="Times New Roman" w:hAnsi="Times New Roman" w:cs="Times New Roman"/>
          <w:b/>
          <w:color w:val="000000"/>
        </w:rPr>
        <w:t xml:space="preserve">: </w:t>
      </w:r>
      <w:r w:rsidR="003422DA">
        <w:rPr>
          <w:rFonts w:ascii="Times New Roman" w:eastAsia="Times New Roman" w:hAnsi="Times New Roman" w:cs="Times New Roman"/>
        </w:rPr>
        <w:t xml:space="preserve">Our meta-analysis shows that psilocybin impairs executive functions and results in a slowing down of RT. We discuss potential neurochemical mechanisms underlying the observed effects as well as implications for the safe use of psilocybin in clinical and experimental contexts. </w:t>
      </w:r>
    </w:p>
    <w:p w14:paraId="36576014" w14:textId="6F72A881" w:rsidR="00224874" w:rsidRDefault="008100EB" w:rsidP="00F37DAC">
      <w:pPr>
        <w:pBdr>
          <w:top w:val="nil"/>
          <w:left w:val="nil"/>
          <w:bottom w:val="nil"/>
          <w:right w:val="nil"/>
          <w:between w:val="nil"/>
        </w:pBdr>
        <w:spacing w:before="280" w:after="280" w:line="480" w:lineRule="auto"/>
        <w:jc w:val="both"/>
        <w:rPr>
          <w:rFonts w:ascii="Times New Roman" w:eastAsia="Times New Roman" w:hAnsi="Times New Roman" w:cs="Times New Roman"/>
        </w:rPr>
      </w:pPr>
      <w:r w:rsidRPr="008100EB">
        <w:rPr>
          <w:rFonts w:ascii="Times New Roman" w:eastAsia="Times New Roman" w:hAnsi="Times New Roman" w:cs="Times New Roman"/>
          <w:i/>
          <w:iCs/>
        </w:rPr>
        <w:t xml:space="preserve">Keywords: </w:t>
      </w:r>
      <w:r w:rsidR="00AE19AC" w:rsidRPr="0015360D">
        <w:rPr>
          <w:rFonts w:ascii="Times New Roman" w:eastAsia="Times New Roman" w:hAnsi="Times New Roman" w:cs="Times New Roman"/>
          <w:color w:val="000000"/>
        </w:rPr>
        <w:t>Psilocybin</w:t>
      </w:r>
      <w:r w:rsidR="00C10A53" w:rsidRPr="0015360D">
        <w:rPr>
          <w:rFonts w:ascii="Times New Roman" w:eastAsia="Times New Roman" w:hAnsi="Times New Roman" w:cs="Times New Roman"/>
          <w:color w:val="000000"/>
        </w:rPr>
        <w:t>, Executive function, Attention, Cognitive performance, Reaction time, Accuracy, Meta-analysis</w:t>
      </w:r>
      <w:r w:rsidR="008B3623" w:rsidRPr="0015360D">
        <w:rPr>
          <w:rFonts w:ascii="Times New Roman" w:eastAsia="Times New Roman" w:hAnsi="Times New Roman" w:cs="Times New Roman"/>
          <w:color w:val="000000"/>
        </w:rPr>
        <w:t xml:space="preserve">, </w:t>
      </w:r>
      <w:r w:rsidR="007A6468" w:rsidRPr="0015360D">
        <w:rPr>
          <w:rFonts w:ascii="Times New Roman" w:eastAsia="Times New Roman" w:hAnsi="Times New Roman" w:cs="Times New Roman"/>
          <w:color w:val="000000"/>
        </w:rPr>
        <w:t>Working memory</w:t>
      </w:r>
      <w:r w:rsidR="0015360D" w:rsidRPr="0015360D">
        <w:rPr>
          <w:rFonts w:ascii="Times New Roman" w:eastAsia="Times New Roman" w:hAnsi="Times New Roman" w:cs="Times New Roman"/>
          <w:color w:val="000000"/>
        </w:rPr>
        <w:t>, Psychedelics, Acute effects</w:t>
      </w:r>
      <w:r w:rsidR="00224874">
        <w:rPr>
          <w:rFonts w:ascii="Times New Roman" w:eastAsia="Times New Roman" w:hAnsi="Times New Roman" w:cs="Times New Roman"/>
        </w:rPr>
        <w:br w:type="page"/>
      </w:r>
    </w:p>
    <w:p w14:paraId="5DEAA49F" w14:textId="135BA973" w:rsidR="00144611" w:rsidRPr="00496F24" w:rsidRDefault="00496F24" w:rsidP="00496F24">
      <w:pPr>
        <w:widowControl w:val="0"/>
        <w:tabs>
          <w:tab w:val="left" w:pos="360"/>
        </w:tabs>
        <w:spacing w:before="240"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Acute Effects of Psilocybin on Attention and Executive Functioning in Healthy Volunteers: A Systematic Review and Multilevel Meta-Analysis</w:t>
      </w:r>
    </w:p>
    <w:p w14:paraId="18FFA316" w14:textId="77777777" w:rsidR="00B04E3B" w:rsidRPr="00B04E3B" w:rsidRDefault="00B04E3B" w:rsidP="00B04E3B">
      <w:pPr>
        <w:spacing w:line="480" w:lineRule="auto"/>
        <w:ind w:firstLine="720"/>
        <w:jc w:val="both"/>
        <w:rPr>
          <w:rFonts w:ascii="Times New Roman" w:eastAsia="Times New Roman" w:hAnsi="Times New Roman" w:cs="Times New Roman"/>
          <w:lang w:val="en-DE" w:eastAsia="en-DE"/>
        </w:rPr>
      </w:pPr>
      <w:bookmarkStart w:id="1" w:name="bookmark=id.1fob9te" w:colFirst="0" w:colLast="0"/>
      <w:bookmarkEnd w:id="1"/>
      <w:r w:rsidRPr="00B04E3B">
        <w:rPr>
          <w:rFonts w:ascii="Times New Roman" w:eastAsia="Times New Roman" w:hAnsi="Times New Roman" w:cs="Times New Roman"/>
          <w:color w:val="000000"/>
          <w:lang w:val="en-DE" w:eastAsia="en-DE"/>
        </w:rPr>
        <w:t xml:space="preserve">Psilocybin , has gained increasing interest in recent years due to its potential therapeutic effects on various neuropsychiatric disorders, including depression (Carhart-Harris et al., 2021; Li et al., 2022; McCartney et al., 2022; </w:t>
      </w:r>
      <w:proofErr w:type="spellStart"/>
      <w:r w:rsidRPr="00B04E3B">
        <w:rPr>
          <w:rFonts w:ascii="Times New Roman" w:eastAsia="Times New Roman" w:hAnsi="Times New Roman" w:cs="Times New Roman"/>
          <w:color w:val="000000"/>
          <w:lang w:val="en-DE" w:eastAsia="en-DE"/>
        </w:rPr>
        <w:t>Więckiewicz</w:t>
      </w:r>
      <w:proofErr w:type="spellEnd"/>
      <w:r w:rsidRPr="00B04E3B">
        <w:rPr>
          <w:rFonts w:ascii="Times New Roman" w:eastAsia="Times New Roman" w:hAnsi="Times New Roman" w:cs="Times New Roman"/>
          <w:color w:val="000000"/>
          <w:lang w:val="en-DE" w:eastAsia="en-DE"/>
        </w:rPr>
        <w:t xml:space="preserve"> et al., 2021), anxiety (Griffiths et al., 2016; Ross et al., 2016) and substance use disorder (Bogenschutz et al., 2022, Johnson 2016). While the effects of psilocybin on emotions and psychological functioning are widely studied (Barrett et al., 2020; Basedow et al., 2021; Irizarry et al., 2022; Nutt &amp; Carhart-Harris, 2021), research is increasingly focusing on its effects on cognition (</w:t>
      </w:r>
      <w:proofErr w:type="spellStart"/>
      <w:r w:rsidRPr="00B04E3B">
        <w:rPr>
          <w:rFonts w:ascii="Times New Roman" w:eastAsia="Times New Roman" w:hAnsi="Times New Roman" w:cs="Times New Roman"/>
          <w:color w:val="000000"/>
          <w:lang w:val="en-DE" w:eastAsia="en-DE"/>
        </w:rPr>
        <w:t>Bonnieux</w:t>
      </w:r>
      <w:proofErr w:type="spellEnd"/>
      <w:r w:rsidRPr="00B04E3B">
        <w:rPr>
          <w:rFonts w:ascii="Times New Roman" w:eastAsia="Times New Roman" w:hAnsi="Times New Roman" w:cs="Times New Roman"/>
          <w:color w:val="000000"/>
          <w:lang w:val="en-DE" w:eastAsia="en-DE"/>
        </w:rPr>
        <w:t xml:space="preserve"> et al., 2023; </w:t>
      </w:r>
      <w:proofErr w:type="spellStart"/>
      <w:r w:rsidRPr="00B04E3B">
        <w:rPr>
          <w:rFonts w:ascii="Times New Roman" w:eastAsia="Times New Roman" w:hAnsi="Times New Roman" w:cs="Times New Roman"/>
          <w:color w:val="000000"/>
          <w:lang w:val="en-DE" w:eastAsia="en-DE"/>
        </w:rPr>
        <w:t>Sayalı</w:t>
      </w:r>
      <w:proofErr w:type="spellEnd"/>
      <w:r w:rsidRPr="00B04E3B">
        <w:rPr>
          <w:rFonts w:ascii="Times New Roman" w:eastAsia="Times New Roman" w:hAnsi="Times New Roman" w:cs="Times New Roman"/>
          <w:color w:val="000000"/>
          <w:lang w:val="en-DE" w:eastAsia="en-DE"/>
        </w:rPr>
        <w:t xml:space="preserve"> &amp; Barrett, 2023). Insight in this will help to understand the mechanisms of action of therapeutic approaches using psychedelics, to assess safety and the potential of cognitive enhancement </w:t>
      </w:r>
    </w:p>
    <w:p w14:paraId="22203E6A" w14:textId="77777777" w:rsidR="00B04E3B" w:rsidRPr="00B04E3B" w:rsidRDefault="00B04E3B" w:rsidP="00B04E3B">
      <w:pPr>
        <w:spacing w:line="480" w:lineRule="auto"/>
        <w:ind w:firstLine="720"/>
        <w:jc w:val="both"/>
        <w:rPr>
          <w:rFonts w:ascii="Times New Roman" w:eastAsia="Times New Roman" w:hAnsi="Times New Roman" w:cs="Times New Roman"/>
          <w:lang w:val="en-DE" w:eastAsia="en-DE"/>
        </w:rPr>
      </w:pPr>
      <w:r w:rsidRPr="00B04E3B">
        <w:rPr>
          <w:rFonts w:ascii="Times New Roman" w:eastAsia="Times New Roman" w:hAnsi="Times New Roman" w:cs="Times New Roman"/>
          <w:color w:val="000000"/>
          <w:lang w:val="en-DE" w:eastAsia="en-DE"/>
        </w:rPr>
        <w:t xml:space="preserve">Cognitive impairments, in particular in the domain of executive functioning, are commonly observed across various forms of psychopathology, underscoring their transdiagnostic significance (Abramovitch et al., 2021; Snyder et al., 2015). Executive functions are top-down mental processes that coordinate other, lower level cognitive abilities (e.g., attention) to enable goal-oriented actions and flexibly adjust </w:t>
      </w:r>
      <w:proofErr w:type="spellStart"/>
      <w:r w:rsidRPr="00B04E3B">
        <w:rPr>
          <w:rFonts w:ascii="Times New Roman" w:eastAsia="Times New Roman" w:hAnsi="Times New Roman" w:cs="Times New Roman"/>
          <w:color w:val="000000"/>
          <w:lang w:val="en-DE" w:eastAsia="en-DE"/>
        </w:rPr>
        <w:t>behavior</w:t>
      </w:r>
      <w:proofErr w:type="spellEnd"/>
      <w:r w:rsidRPr="00B04E3B">
        <w:rPr>
          <w:rFonts w:ascii="Times New Roman" w:eastAsia="Times New Roman" w:hAnsi="Times New Roman" w:cs="Times New Roman"/>
          <w:color w:val="000000"/>
          <w:lang w:val="en-DE" w:eastAsia="en-DE"/>
        </w:rPr>
        <w:t xml:space="preserve"> in novel and challenging environments (Friedman and Miyake, 2017). Given the role of executive dysfunctions in various psychopathologies, it is crucial to evaluate how psychedelics may influence these cognitive functions over different time points and understand how moderating factors such as dose and time point of measurement play a role, to elucidate the potentially harmful or beneficial effects of psilocybin on cognition, thus furthering clinical applicability (</w:t>
      </w:r>
      <w:proofErr w:type="spellStart"/>
      <w:r w:rsidRPr="00B04E3B">
        <w:rPr>
          <w:rFonts w:ascii="Times New Roman" w:eastAsia="Times New Roman" w:hAnsi="Times New Roman" w:cs="Times New Roman"/>
          <w:color w:val="000000"/>
          <w:lang w:val="en-DE" w:eastAsia="en-DE"/>
        </w:rPr>
        <w:t>Bălăeţ</w:t>
      </w:r>
      <w:proofErr w:type="spellEnd"/>
      <w:r w:rsidRPr="00B04E3B">
        <w:rPr>
          <w:rFonts w:ascii="Times New Roman" w:eastAsia="Times New Roman" w:hAnsi="Times New Roman" w:cs="Times New Roman"/>
          <w:color w:val="000000"/>
          <w:lang w:val="en-DE" w:eastAsia="en-DE"/>
        </w:rPr>
        <w:t>, 2022). </w:t>
      </w:r>
    </w:p>
    <w:p w14:paraId="4A071D8F" w14:textId="77777777" w:rsidR="00B04E3B" w:rsidRPr="00B04E3B" w:rsidRDefault="00B04E3B" w:rsidP="00B04E3B">
      <w:pPr>
        <w:spacing w:line="480" w:lineRule="auto"/>
        <w:ind w:firstLine="720"/>
        <w:jc w:val="both"/>
        <w:rPr>
          <w:rFonts w:ascii="Times New Roman" w:eastAsia="Times New Roman" w:hAnsi="Times New Roman" w:cs="Times New Roman"/>
          <w:lang w:val="en-DE" w:eastAsia="en-DE"/>
        </w:rPr>
      </w:pPr>
      <w:r w:rsidRPr="00B04E3B">
        <w:rPr>
          <w:rFonts w:ascii="Times New Roman" w:eastAsia="Times New Roman" w:hAnsi="Times New Roman" w:cs="Times New Roman"/>
          <w:color w:val="000000"/>
          <w:lang w:val="en-DE" w:eastAsia="en-DE"/>
        </w:rPr>
        <w:t xml:space="preserve">Given the therapeutic potential of psilocybin for various neuropsychiatric disorders and the transdiagnostic significance of executive function impairments, understanding psilocybin's effects on cognition is crucial. However, psychedelic research and specifically research on the effects of </w:t>
      </w:r>
      <w:r w:rsidRPr="00B04E3B">
        <w:rPr>
          <w:rFonts w:ascii="Times New Roman" w:eastAsia="Times New Roman" w:hAnsi="Times New Roman" w:cs="Times New Roman"/>
          <w:color w:val="000000"/>
          <w:lang w:val="en-DE" w:eastAsia="en-DE"/>
        </w:rPr>
        <w:lastRenderedPageBreak/>
        <w:t>psychedelics on cognition, faces significant methodological challenges, including variability in placebo groups, potential expectancy effects, dosages, and administration protocols (Hendy, 2018; Van Elk &amp; Fried, 2023). The use of different cognitive assessment measures across studies further complicates result interpretation. Additionally, individual factors such as "set and setting" can influence cognitive outcomes (</w:t>
      </w:r>
      <w:proofErr w:type="spellStart"/>
      <w:r w:rsidRPr="00B04E3B">
        <w:rPr>
          <w:rFonts w:ascii="Times New Roman" w:eastAsia="Times New Roman" w:hAnsi="Times New Roman" w:cs="Times New Roman"/>
          <w:color w:val="000000"/>
          <w:lang w:val="en-DE" w:eastAsia="en-DE"/>
        </w:rPr>
        <w:t>Studerus</w:t>
      </w:r>
      <w:proofErr w:type="spellEnd"/>
      <w:r w:rsidRPr="00B04E3B">
        <w:rPr>
          <w:rFonts w:ascii="Times New Roman" w:eastAsia="Times New Roman" w:hAnsi="Times New Roman" w:cs="Times New Roman"/>
          <w:color w:val="000000"/>
          <w:lang w:val="en-DE" w:eastAsia="en-DE"/>
        </w:rPr>
        <w:t xml:space="preserve"> et al., 2012; Viktorin et al., 2022). These challenges, combined with the need to elucidate potentially harmful or beneficial effects of psilocybin on cognition for clinical applicability (</w:t>
      </w:r>
      <w:proofErr w:type="spellStart"/>
      <w:r w:rsidRPr="00B04E3B">
        <w:rPr>
          <w:rFonts w:ascii="Times New Roman" w:eastAsia="Times New Roman" w:hAnsi="Times New Roman" w:cs="Times New Roman"/>
          <w:color w:val="000000"/>
          <w:lang w:val="en-DE" w:eastAsia="en-DE"/>
        </w:rPr>
        <w:t>Bălăeţ</w:t>
      </w:r>
      <w:proofErr w:type="spellEnd"/>
      <w:r w:rsidRPr="00B04E3B">
        <w:rPr>
          <w:rFonts w:ascii="Times New Roman" w:eastAsia="Times New Roman" w:hAnsi="Times New Roman" w:cs="Times New Roman"/>
          <w:color w:val="000000"/>
          <w:lang w:val="en-DE" w:eastAsia="en-DE"/>
        </w:rPr>
        <w:t>, 2022), underscore the necessity for a comprehensive and critical review of psilocybin's effects on cognition and that is the aim of the current study. </w:t>
      </w:r>
    </w:p>
    <w:p w14:paraId="0E05C182" w14:textId="77777777" w:rsidR="00B04E3B" w:rsidRPr="00B04E3B" w:rsidRDefault="00B04E3B" w:rsidP="00B04E3B">
      <w:pPr>
        <w:spacing w:after="160"/>
        <w:jc w:val="both"/>
        <w:rPr>
          <w:rFonts w:ascii="Times New Roman" w:eastAsia="Times New Roman" w:hAnsi="Times New Roman" w:cs="Times New Roman"/>
          <w:lang w:val="en-DE" w:eastAsia="en-DE"/>
        </w:rPr>
      </w:pPr>
      <w:r w:rsidRPr="00B04E3B">
        <w:rPr>
          <w:rFonts w:ascii="Times New Roman" w:eastAsia="Times New Roman" w:hAnsi="Times New Roman" w:cs="Times New Roman"/>
          <w:b/>
          <w:bCs/>
          <w:color w:val="000000"/>
          <w:lang w:val="en-DE" w:eastAsia="en-DE"/>
        </w:rPr>
        <w:t>Effects of psilocybin on Executive Functions and Attention</w:t>
      </w:r>
    </w:p>
    <w:p w14:paraId="0DDD4171" w14:textId="77777777" w:rsidR="00B04E3B" w:rsidRPr="00B04E3B" w:rsidRDefault="00B04E3B" w:rsidP="00B04E3B">
      <w:pPr>
        <w:spacing w:line="480" w:lineRule="auto"/>
        <w:ind w:firstLine="720"/>
        <w:jc w:val="both"/>
        <w:rPr>
          <w:rFonts w:ascii="Times New Roman" w:eastAsia="Times New Roman" w:hAnsi="Times New Roman" w:cs="Times New Roman"/>
          <w:lang w:val="en-DE" w:eastAsia="en-DE"/>
        </w:rPr>
      </w:pPr>
      <w:r w:rsidRPr="00B04E3B">
        <w:rPr>
          <w:rFonts w:ascii="Times New Roman" w:eastAsia="Times New Roman" w:hAnsi="Times New Roman" w:cs="Times New Roman"/>
          <w:color w:val="000000"/>
          <w:lang w:val="en-DE" w:eastAsia="en-DE"/>
        </w:rPr>
        <w:t xml:space="preserve">A prominent data-driven model of executive functions (Miyake et al., 2000) identifies basic subcomponents: working memory updating, response inhibition, and shifting (cognitive flexibility). Neuroscientific findings further distinguish conflict monitoring from response inhibition as a distinct and vital aspect of executive function, (e.g. Enriquez-Geppert et al. (2010). These subcomponents support planning and problem solving abilities (Miyake et al., 2000).Although most current studies have not focused on cognitive processes as a primary outcome, they   have nevertheless made assessments of the effect of psilocybin on cognitive processes, such as attention (Cavanna et al., 2022), working memory (Barrett et al., 2018), and inhibition (Doss et al., 2021; </w:t>
      </w:r>
      <w:proofErr w:type="spellStart"/>
      <w:r w:rsidRPr="00B04E3B">
        <w:rPr>
          <w:rFonts w:ascii="Times New Roman" w:eastAsia="Times New Roman" w:hAnsi="Times New Roman" w:cs="Times New Roman"/>
          <w:color w:val="000000"/>
          <w:lang w:val="en-DE" w:eastAsia="en-DE"/>
        </w:rPr>
        <w:t>Kometer</w:t>
      </w:r>
      <w:proofErr w:type="spellEnd"/>
      <w:r w:rsidRPr="00B04E3B">
        <w:rPr>
          <w:rFonts w:ascii="Times New Roman" w:eastAsia="Times New Roman" w:hAnsi="Times New Roman" w:cs="Times New Roman"/>
          <w:color w:val="000000"/>
          <w:lang w:val="en-DE" w:eastAsia="en-DE"/>
        </w:rPr>
        <w:t xml:space="preserve"> et al., 2012; Marschall et al., 2021), using computerized or pen-and-paper-based cognitive tasks.</w:t>
      </w:r>
    </w:p>
    <w:p w14:paraId="7C243BC7" w14:textId="77777777" w:rsidR="00B04E3B" w:rsidRPr="00B04E3B" w:rsidRDefault="00B04E3B" w:rsidP="00B04E3B">
      <w:pPr>
        <w:spacing w:line="480" w:lineRule="auto"/>
        <w:ind w:firstLine="720"/>
        <w:jc w:val="both"/>
        <w:rPr>
          <w:rFonts w:ascii="Times New Roman" w:eastAsia="Times New Roman" w:hAnsi="Times New Roman" w:cs="Times New Roman"/>
          <w:lang w:val="en-DE" w:eastAsia="en-DE"/>
        </w:rPr>
      </w:pPr>
      <w:r w:rsidRPr="00B04E3B">
        <w:rPr>
          <w:rFonts w:ascii="Times New Roman" w:eastAsia="Times New Roman" w:hAnsi="Times New Roman" w:cs="Times New Roman"/>
          <w:color w:val="000000"/>
          <w:lang w:val="en-DE" w:eastAsia="en-DE"/>
        </w:rPr>
        <w:t xml:space="preserve">However, there are methodological challenges in traditional clinical measures of executive functions, known as the task impurity problem (Miyake et al., XX). Many tasks designed to assess specific executive functions are inevitably influenced by other cognitive processes. For instance, Luciana and colleagues (2009) found that inattention is negatively correlated with Tower of London task performance, highlighting how attention can impact tasks meant to measure planning </w:t>
      </w:r>
      <w:r w:rsidRPr="00B04E3B">
        <w:rPr>
          <w:rFonts w:ascii="Times New Roman" w:eastAsia="Times New Roman" w:hAnsi="Times New Roman" w:cs="Times New Roman"/>
          <w:color w:val="000000"/>
          <w:lang w:val="en-DE" w:eastAsia="en-DE"/>
        </w:rPr>
        <w:lastRenderedPageBreak/>
        <w:t>and problem-solving. Additionally, motor abilities can play a significant role in executive function tasks. Van Den Heuvel et al. (2003) demonstrated that Tower of London task performance was associated with activation not only in the expected dorsolateral prefrontal cortex but also in motor-related areas such as the striatum, premotor cortex, and supplementary motor area. This complexity of measuring executive functions becomes especially relevant when studying the effects of psychoactive substances like psilocybin, which may have broad impacts across multiple cognitive domains. Therefore, when interpreting the results of executive function tasks under the acute influence of psilocybin, it's crucial to consider that observed changes in performance might reflect alterations in attention, motor function, or other basic cognitive processes, rather than, or in addition to, changes in the specific executive function being targeted.</w:t>
      </w:r>
    </w:p>
    <w:p w14:paraId="1516362F" w14:textId="77777777" w:rsidR="00B04E3B" w:rsidRPr="00B04E3B" w:rsidRDefault="00B04E3B" w:rsidP="00B04E3B">
      <w:pPr>
        <w:spacing w:line="480" w:lineRule="auto"/>
        <w:ind w:firstLine="720"/>
        <w:jc w:val="both"/>
        <w:rPr>
          <w:rFonts w:ascii="Times New Roman" w:eastAsia="Times New Roman" w:hAnsi="Times New Roman" w:cs="Times New Roman"/>
          <w:lang w:val="en-DE" w:eastAsia="en-DE"/>
        </w:rPr>
      </w:pPr>
      <w:r w:rsidRPr="00B04E3B">
        <w:rPr>
          <w:rFonts w:ascii="Times New Roman" w:eastAsia="Times New Roman" w:hAnsi="Times New Roman" w:cs="Times New Roman"/>
          <w:color w:val="000000"/>
          <w:lang w:val="en-DE" w:eastAsia="en-DE"/>
        </w:rPr>
        <w:t>This systematic review and meta-analysis evaluates the effects of psilocybin on cognition, focusing on executive functions (Miyake and Friedman's CC). Using advanced meta-analysis methods, we aim to determine psilocybin’s acute pooled effects on RTand ACC across cognitive tasks measuring executive functions. We will also examine dose, measurement timing, cognitive subcomponents, and task measurement sensitivity as potential moderators of these effects. This is the first meta-analysis to comprehensively assess psilocybin's impact on cognitive performance.</w:t>
      </w:r>
    </w:p>
    <w:p w14:paraId="5DEAA4A7" w14:textId="77777777" w:rsidR="00144611" w:rsidRDefault="003422DA" w:rsidP="004B7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Courier New" w:eastAsia="Courier New" w:hAnsi="Courier New" w:cs="Courier New"/>
        </w:rPr>
      </w:pPr>
      <w:r>
        <w:rPr>
          <w:rFonts w:ascii="Times New Roman" w:eastAsia="Times New Roman" w:hAnsi="Times New Roman" w:cs="Times New Roman"/>
          <w:b/>
        </w:rPr>
        <w:t>Methods</w:t>
      </w:r>
    </w:p>
    <w:p w14:paraId="5DEAA4A8" w14:textId="77777777" w:rsidR="00144611" w:rsidRDefault="00342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Courier New" w:eastAsia="Courier New" w:hAnsi="Courier New" w:cs="Courier New"/>
        </w:rPr>
      </w:pPr>
      <w:bookmarkStart w:id="2" w:name="bookmark=id.3znysh7" w:colFirst="0" w:colLast="0"/>
      <w:bookmarkEnd w:id="2"/>
      <w:r>
        <w:rPr>
          <w:rFonts w:ascii="Times New Roman" w:eastAsia="Times New Roman" w:hAnsi="Times New Roman" w:cs="Times New Roman"/>
          <w:b/>
        </w:rPr>
        <w:t>Literature Search</w:t>
      </w:r>
    </w:p>
    <w:p w14:paraId="5DEAA4A9"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A systematic review was conducted by searching multiple electronic databases, including PubMed, </w:t>
      </w:r>
      <w:proofErr w:type="spellStart"/>
      <w:r>
        <w:rPr>
          <w:rFonts w:ascii="Times New Roman" w:eastAsia="Times New Roman" w:hAnsi="Times New Roman" w:cs="Times New Roman"/>
        </w:rPr>
        <w:t>PsychInfo</w:t>
      </w:r>
      <w:proofErr w:type="spellEnd"/>
      <w:r>
        <w:rPr>
          <w:rFonts w:ascii="Times New Roman" w:eastAsia="Times New Roman" w:hAnsi="Times New Roman" w:cs="Times New Roman"/>
        </w:rPr>
        <w:t>, Web of Science, and Cochrane) to identify empirical articles on psilocybin and executive functions using the key search terms </w:t>
      </w:r>
      <w:r>
        <w:rPr>
          <w:rFonts w:ascii="Times New Roman" w:eastAsia="Times New Roman" w:hAnsi="Times New Roman" w:cs="Times New Roman"/>
          <w:i/>
        </w:rPr>
        <w:t>cognition</w:t>
      </w:r>
      <w:r>
        <w:rPr>
          <w:rFonts w:ascii="Times New Roman" w:eastAsia="Times New Roman" w:hAnsi="Times New Roman" w:cs="Times New Roman"/>
        </w:rPr>
        <w:t xml:space="preserve"> or </w:t>
      </w:r>
      <w:r>
        <w:rPr>
          <w:rFonts w:ascii="Times New Roman" w:eastAsia="Times New Roman" w:hAnsi="Times New Roman" w:cs="Times New Roman"/>
          <w:i/>
        </w:rPr>
        <w:t>cognitive function*</w:t>
      </w:r>
      <w:r>
        <w:rPr>
          <w:rFonts w:ascii="Times New Roman" w:eastAsia="Times New Roman" w:hAnsi="Times New Roman" w:cs="Times New Roman"/>
        </w:rPr>
        <w:t xml:space="preserve"> or </w:t>
      </w:r>
      <w:r>
        <w:rPr>
          <w:rFonts w:ascii="Times New Roman" w:eastAsia="Times New Roman" w:hAnsi="Times New Roman" w:cs="Times New Roman"/>
          <w:i/>
        </w:rPr>
        <w:t>executive function</w:t>
      </w:r>
      <w:r>
        <w:rPr>
          <w:rFonts w:ascii="Times New Roman" w:eastAsia="Times New Roman" w:hAnsi="Times New Roman" w:cs="Times New Roman"/>
        </w:rPr>
        <w:t xml:space="preserve">* or </w:t>
      </w:r>
      <w:r>
        <w:rPr>
          <w:rFonts w:ascii="Times New Roman" w:eastAsia="Times New Roman" w:hAnsi="Times New Roman" w:cs="Times New Roman"/>
          <w:i/>
        </w:rPr>
        <w:t>cognitive control</w:t>
      </w:r>
      <w:r>
        <w:rPr>
          <w:rFonts w:ascii="Times New Roman" w:eastAsia="Times New Roman" w:hAnsi="Times New Roman" w:cs="Times New Roman"/>
        </w:rPr>
        <w:t xml:space="preserve"> or </w:t>
      </w:r>
      <w:r>
        <w:rPr>
          <w:rFonts w:ascii="Times New Roman" w:eastAsia="Times New Roman" w:hAnsi="Times New Roman" w:cs="Times New Roman"/>
          <w:i/>
        </w:rPr>
        <w:t>inhibition</w:t>
      </w:r>
      <w:r>
        <w:rPr>
          <w:rFonts w:ascii="Times New Roman" w:eastAsia="Times New Roman" w:hAnsi="Times New Roman" w:cs="Times New Roman"/>
        </w:rPr>
        <w:t xml:space="preserve"> or </w:t>
      </w:r>
      <w:r>
        <w:rPr>
          <w:rFonts w:ascii="Times New Roman" w:eastAsia="Times New Roman" w:hAnsi="Times New Roman" w:cs="Times New Roman"/>
          <w:i/>
        </w:rPr>
        <w:t>memory updating</w:t>
      </w:r>
      <w:r>
        <w:rPr>
          <w:rFonts w:ascii="Times New Roman" w:eastAsia="Times New Roman" w:hAnsi="Times New Roman" w:cs="Times New Roman"/>
        </w:rPr>
        <w:t xml:space="preserve"> or </w:t>
      </w:r>
      <w:r>
        <w:rPr>
          <w:rFonts w:ascii="Times New Roman" w:eastAsia="Times New Roman" w:hAnsi="Times New Roman" w:cs="Times New Roman"/>
          <w:i/>
        </w:rPr>
        <w:t>conflict monitoring</w:t>
      </w:r>
      <w:r>
        <w:rPr>
          <w:rFonts w:ascii="Times New Roman" w:eastAsia="Times New Roman" w:hAnsi="Times New Roman" w:cs="Times New Roman"/>
        </w:rPr>
        <w:t xml:space="preserve"> or </w:t>
      </w:r>
      <w:r>
        <w:rPr>
          <w:rFonts w:ascii="Times New Roman" w:eastAsia="Times New Roman" w:hAnsi="Times New Roman" w:cs="Times New Roman"/>
          <w:i/>
        </w:rPr>
        <w:t>task switching</w:t>
      </w:r>
      <w:r>
        <w:rPr>
          <w:rFonts w:ascii="Times New Roman" w:eastAsia="Times New Roman" w:hAnsi="Times New Roman" w:cs="Times New Roman"/>
        </w:rPr>
        <w:t xml:space="preserve"> or </w:t>
      </w:r>
      <w:r>
        <w:rPr>
          <w:rFonts w:ascii="Times New Roman" w:eastAsia="Times New Roman" w:hAnsi="Times New Roman" w:cs="Times New Roman"/>
          <w:i/>
        </w:rPr>
        <w:t>set-shifting</w:t>
      </w:r>
      <w:r>
        <w:rPr>
          <w:rFonts w:ascii="Times New Roman" w:eastAsia="Times New Roman" w:hAnsi="Times New Roman" w:cs="Times New Roman"/>
        </w:rPr>
        <w:t xml:space="preserve">, combined with one of the following terms: </w:t>
      </w:r>
      <w:r>
        <w:rPr>
          <w:rFonts w:ascii="Times New Roman" w:eastAsia="Times New Roman" w:hAnsi="Times New Roman" w:cs="Times New Roman"/>
          <w:i/>
        </w:rPr>
        <w:t>psychedelic</w:t>
      </w:r>
      <w:r>
        <w:rPr>
          <w:rFonts w:ascii="Times New Roman" w:eastAsia="Times New Roman" w:hAnsi="Times New Roman" w:cs="Times New Roman"/>
        </w:rPr>
        <w:t xml:space="preserve">* or </w:t>
      </w:r>
      <w:r>
        <w:rPr>
          <w:rFonts w:ascii="Times New Roman" w:eastAsia="Times New Roman" w:hAnsi="Times New Roman" w:cs="Times New Roman"/>
          <w:i/>
        </w:rPr>
        <w:t>hallucinogen</w:t>
      </w:r>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or </w:t>
      </w:r>
      <w:proofErr w:type="spellStart"/>
      <w:r>
        <w:rPr>
          <w:rFonts w:ascii="Times New Roman" w:eastAsia="Times New Roman" w:hAnsi="Times New Roman" w:cs="Times New Roman"/>
          <w:i/>
        </w:rPr>
        <w:t>psiloc</w:t>
      </w:r>
      <w:proofErr w:type="spellEnd"/>
      <w:r>
        <w:rPr>
          <w:rFonts w:ascii="Times New Roman" w:eastAsia="Times New Roman" w:hAnsi="Times New Roman" w:cs="Times New Roman"/>
        </w:rPr>
        <w:t xml:space="preserve">* or </w:t>
      </w:r>
      <w:r>
        <w:rPr>
          <w:rFonts w:ascii="Times New Roman" w:eastAsia="Times New Roman" w:hAnsi="Times New Roman" w:cs="Times New Roman"/>
          <w:i/>
        </w:rPr>
        <w:t>psychotomimetic</w:t>
      </w:r>
      <w:r>
        <w:rPr>
          <w:rFonts w:ascii="Times New Roman" w:eastAsia="Times New Roman" w:hAnsi="Times New Roman" w:cs="Times New Roman"/>
        </w:rPr>
        <w:t xml:space="preserve"> or </w:t>
      </w:r>
      <w:proofErr w:type="spellStart"/>
      <w:r>
        <w:rPr>
          <w:rFonts w:ascii="Times New Roman" w:eastAsia="Times New Roman" w:hAnsi="Times New Roman" w:cs="Times New Roman"/>
          <w:i/>
        </w:rPr>
        <w:t>entheog</w:t>
      </w:r>
      <w:proofErr w:type="spellEnd"/>
      <w:r>
        <w:rPr>
          <w:rFonts w:ascii="Times New Roman" w:eastAsia="Times New Roman" w:hAnsi="Times New Roman" w:cs="Times New Roman"/>
        </w:rPr>
        <w:t>* or *</w:t>
      </w:r>
      <w:r>
        <w:rPr>
          <w:rFonts w:ascii="Times New Roman" w:eastAsia="Times New Roman" w:hAnsi="Times New Roman" w:cs="Times New Roman"/>
          <w:i/>
        </w:rPr>
        <w:t>shrooms</w:t>
      </w:r>
      <w:r>
        <w:rPr>
          <w:rFonts w:ascii="Times New Roman" w:eastAsia="Times New Roman" w:hAnsi="Times New Roman" w:cs="Times New Roman"/>
        </w:rPr>
        <w:t>*. We searched for articles during the months of July and August 2022. The search was updated once in July 2023.</w:t>
      </w:r>
    </w:p>
    <w:p w14:paraId="5DEAA4AA"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To meet the inclusion criteria, articles reporting on original studies had to meet the following requirements: They had to measure at least one of the following cognitive domains under the influence of psilocybin: (a) working memory (updating) (b) conflict monitoring c) response inhibition (d) cognitive flexibility or (e) attention.</w:t>
      </w:r>
    </w:p>
    <w:p w14:paraId="5DEAA4AB"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Exclusion criteria encompassed studies that (1) were not written in English, (2) did not involve psilocybin administration, (3) used an inappropriate study design that did not fulfill our objective criteria (animal models, or lack of executive function measures), (4) were of an incorrect publication type (background article, reviews, dissertation) or (5) were inaccessible. </w:t>
      </w:r>
    </w:p>
    <w:p w14:paraId="5DEAA4AC"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The software Rayyan (</w:t>
      </w:r>
      <w:proofErr w:type="spellStart"/>
      <w:r>
        <w:rPr>
          <w:rFonts w:ascii="Times New Roman" w:eastAsia="Times New Roman" w:hAnsi="Times New Roman" w:cs="Times New Roman"/>
        </w:rPr>
        <w:t>Ouzzani</w:t>
      </w:r>
      <w:proofErr w:type="spellEnd"/>
      <w:r>
        <w:rPr>
          <w:rFonts w:ascii="Times New Roman" w:eastAsia="Times New Roman" w:hAnsi="Times New Roman" w:cs="Times New Roman"/>
        </w:rPr>
        <w:t xml:space="preserve"> et al., 2016) was used for screening abstracts, and the detection of duplicates. Three authors (PY, ML, FO) were responsible for independently screening abstracts of each study. For the exclusion of a study, the assessment of only one author was sufficient. However, for the inclusion of the study, at least two authors had to include the study. Disagreements were addressed by the decision of the third author. </w:t>
      </w:r>
    </w:p>
    <w:p w14:paraId="5DEAA4AD" w14:textId="77777777" w:rsidR="00144611" w:rsidRDefault="00342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Courier New" w:eastAsia="Courier New" w:hAnsi="Courier New" w:cs="Courier New"/>
        </w:rPr>
      </w:pPr>
      <w:r>
        <w:rPr>
          <w:rFonts w:ascii="Times New Roman" w:eastAsia="Times New Roman" w:hAnsi="Times New Roman" w:cs="Times New Roman"/>
          <w:b/>
        </w:rPr>
        <w:t>Data Extraction</w:t>
      </w:r>
    </w:p>
    <w:p w14:paraId="5DEAA4AE"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To systematically collect data, four authors (PY, ML, FOH, SEG) investigated the full-text articles of the selected studies from September to November 2023. For data extraction, multiple outcome domains were targeted: cognitive function, specific cognitive measures, sample size, dependent variables for each cognitive measure, dosage, measurement time points, and either pre-calculated effect sizes or the raw data required to calculate them. For labeling purposes, the dosages of the included studies were categorized according to the following categories: 1-5 mg micro, 6-19 mg: low, 20-30 mg: medium, &gt;30 mg: high (all per 70kg). In case of missing data for </w:t>
      </w:r>
      <w:r>
        <w:rPr>
          <w:rFonts w:ascii="Times New Roman" w:eastAsia="Times New Roman" w:hAnsi="Times New Roman" w:cs="Times New Roman"/>
        </w:rPr>
        <w:lastRenderedPageBreak/>
        <w:t>calculating effect sizes, the corresponding author of the respective study was contacted via email.</w:t>
      </w:r>
    </w:p>
    <w:p w14:paraId="5DEAA4AF"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For the meta analytical procedures, the focus was on specific cognitive outcome measures of RTs and ACC. Effect measures for outcomes were given as means and median differences, which were converted into standardized values and as the basis for the calculation of Cohen's d for each study. The scripts for the calculation of the effect sizes for each study and the extracted data used for these calculations can be found in the supplementary material. For the extraction of data from graphical representations in individual studies, the software </w:t>
      </w:r>
      <w:proofErr w:type="spellStart"/>
      <w:r>
        <w:rPr>
          <w:rFonts w:ascii="Times New Roman" w:eastAsia="Times New Roman" w:hAnsi="Times New Roman" w:cs="Times New Roman"/>
        </w:rPr>
        <w:t>WebPlotDigitizer</w:t>
      </w:r>
      <w:proofErr w:type="spellEnd"/>
      <w:r>
        <w:rPr>
          <w:rFonts w:ascii="Times New Roman" w:eastAsia="Times New Roman" w:hAnsi="Times New Roman" w:cs="Times New Roman"/>
        </w:rPr>
        <w:t xml:space="preserve"> (Rohatgi, 2022) was utilized (PY and FOH), and results were double checked by a second rater (ML).</w:t>
      </w:r>
    </w:p>
    <w:p w14:paraId="5DEAA4B0" w14:textId="77777777" w:rsidR="00144611" w:rsidRDefault="00342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Courier New" w:eastAsia="Courier New" w:hAnsi="Courier New" w:cs="Courier New"/>
        </w:rPr>
      </w:pPr>
      <w:r>
        <w:rPr>
          <w:rFonts w:ascii="Times New Roman" w:eastAsia="Times New Roman" w:hAnsi="Times New Roman" w:cs="Times New Roman"/>
          <w:b/>
        </w:rPr>
        <w:t>Risk of bias assessment</w:t>
      </w:r>
    </w:p>
    <w:p w14:paraId="5DEAA4B1"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Two independent authors (FOH and ML) employed the Cochrane Risk of Bias 2 assessment tool (Higgins et al., 2023) to systematically evaluate the risk of bias in trials included in this study. They assessed each trial across five domains: randomization, deviations from intended intervention, missing data, measurement of outcome, and selection of the reported outcome, with each domain classified as having low, some concern, or high risk of bias. The assessments of both raters were combined and visualized using the Risk-of-Bias Visualization software (</w:t>
      </w:r>
      <w:proofErr w:type="spellStart"/>
      <w:r>
        <w:rPr>
          <w:rFonts w:ascii="Times New Roman" w:eastAsia="Times New Roman" w:hAnsi="Times New Roman" w:cs="Times New Roman"/>
        </w:rPr>
        <w:t>robvis</w:t>
      </w:r>
      <w:proofErr w:type="spellEnd"/>
      <w:r>
        <w:rPr>
          <w:rFonts w:ascii="Times New Roman" w:eastAsia="Times New Roman" w:hAnsi="Times New Roman" w:cs="Times New Roman"/>
        </w:rPr>
        <w:t xml:space="preserve">) developed by McGuinness and Higgins (2020). Following the evaluations, an interrater reliability analysis was conducted to determine the consistency of the presence and level of bias identified. The evaluated bias domains included the categories ‘randomization process’, ‘deviations from intended interventions’, ‘missing outcome data’, the ‘measurement of the outcome’, the ‘selection of the reported result’, and the ‘overall risk of bias’. The risk of bias was assessed for each study and each domain across all trials. Studies with a high risk of bias in any single domain were noted as having some concerns regarding bias in the overall evaluation. Studies with some risk of bias in one or more domains were classified as having some concerns overall in </w:t>
      </w:r>
      <w:r>
        <w:rPr>
          <w:rFonts w:ascii="Times New Roman" w:eastAsia="Times New Roman" w:hAnsi="Times New Roman" w:cs="Times New Roman"/>
        </w:rPr>
        <w:lastRenderedPageBreak/>
        <w:t xml:space="preserve">terms of risk of bias. Risk of bias plots were created using the Excel-based Risk of Bias Tool (version 2) for randomized trials from Cochrane (ref). </w:t>
      </w:r>
    </w:p>
    <w:p w14:paraId="5DEAA4B2"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To assess the potential risk of publication bias, funnel plot analysis complemented by Kendall’s rank correlation test were used. Additionally, Rosenthal’s, Rosenberg’s, and Orwin’s fail-safe numbers were calculated to determine the number of unpublished studies required to negate the observed effect size.</w:t>
      </w:r>
      <w:bookmarkStart w:id="3" w:name="bookmark=id.1t3h5sf" w:colFirst="0" w:colLast="0"/>
      <w:bookmarkEnd w:id="3"/>
    </w:p>
    <w:p w14:paraId="5DEAA4B3" w14:textId="77777777" w:rsidR="00144611" w:rsidRDefault="00342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Courier New" w:eastAsia="Courier New" w:hAnsi="Courier New" w:cs="Courier New"/>
        </w:rPr>
      </w:pPr>
      <w:r>
        <w:rPr>
          <w:rFonts w:ascii="Times New Roman" w:eastAsia="Times New Roman" w:hAnsi="Times New Roman" w:cs="Times New Roman"/>
          <w:b/>
        </w:rPr>
        <w:t>Meta Analysis</w:t>
      </w:r>
    </w:p>
    <w:p w14:paraId="5DEAA4B4"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A multilevel meta-analysis was chosen to accommodate the complex structure of the data, specifically the fact that multiple effect sizes were extracted from single studies. The analysis was initiated with a multilevel random-effects model, allowing for the assessment of within-study and between-study variances. Hedges' g was selected as the effect size measure. For model comparisons, Bayesian information criterion (BIC) and Akaike information criterion (AIC) were used.</w:t>
      </w:r>
    </w:p>
    <w:p w14:paraId="5DEAA4B5" w14:textId="718C8AD8"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Heterogeneity among study results was quantified using the I² statistic and the Q statistic. The robustness of the findings was tested by comparing results from the multilevel model with those from a simpler non-nested random-effects model. Further analysis involved exploring potential moderators such as dosage, cognitive functional categories, and timing relative to peak psilocybin. Furthermore, we categorized each effect size based on its sensitivity to measure executive functioning or attention: 1 = pure (e.g., RT</w:t>
      </w:r>
      <w:r w:rsidR="000F1AE2">
        <w:rPr>
          <w:rFonts w:ascii="Times New Roman" w:eastAsia="Times New Roman" w:hAnsi="Times New Roman" w:cs="Times New Roman"/>
        </w:rPr>
        <w:t xml:space="preserve"> </w:t>
      </w:r>
      <w:r>
        <w:rPr>
          <w:rFonts w:ascii="Times New Roman" w:eastAsia="Times New Roman" w:hAnsi="Times New Roman" w:cs="Times New Roman"/>
        </w:rPr>
        <w:t xml:space="preserve">of a incongruent condition subtracted from congruent condition to reflect a rather ‘pure’ conflict monitoring time), 2 = specific executive function condition (e.g., incongruent), and 3 = executive and other cognitive functions (e.g., main effect of drug averaged across incongruent and congruent conditions). This variation may impact the validity of the results, as it complicates the precision by which aspects of executive functioning </w:t>
      </w:r>
      <w:r>
        <w:rPr>
          <w:rFonts w:ascii="Times New Roman" w:eastAsia="Times New Roman" w:hAnsi="Times New Roman" w:cs="Times New Roman"/>
        </w:rPr>
        <w:lastRenderedPageBreak/>
        <w:t>are actually being measured. An overview of each task in our dataset and the corresponding sensitivity value, judged based on the data available to us, is presented in Table 1.</w:t>
      </w:r>
    </w:p>
    <w:p w14:paraId="5DEAA4B6"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Statistical procedures were conducted using R (v4.3.2; R Core Team, 2020), RStudio (</w:t>
      </w:r>
      <w:proofErr w:type="spellStart"/>
      <w:r>
        <w:rPr>
          <w:rFonts w:ascii="Times New Roman" w:eastAsia="Times New Roman" w:hAnsi="Times New Roman" w:cs="Times New Roman"/>
        </w:rPr>
        <w:t>Rstudio</w:t>
      </w:r>
      <w:proofErr w:type="spellEnd"/>
      <w:r>
        <w:rPr>
          <w:rFonts w:ascii="Times New Roman" w:eastAsia="Times New Roman" w:hAnsi="Times New Roman" w:cs="Times New Roman"/>
        </w:rPr>
        <w:t xml:space="preserve"> Team, 2020), the main multilevel analysis with the </w:t>
      </w:r>
      <w:proofErr w:type="spellStart"/>
      <w:r>
        <w:rPr>
          <w:rFonts w:ascii="Times New Roman" w:eastAsia="Times New Roman" w:hAnsi="Times New Roman" w:cs="Times New Roman"/>
        </w:rPr>
        <w:t>metafor</w:t>
      </w:r>
      <w:proofErr w:type="spellEnd"/>
      <w:r>
        <w:rPr>
          <w:rFonts w:ascii="Times New Roman" w:eastAsia="Times New Roman" w:hAnsi="Times New Roman" w:cs="Times New Roman"/>
        </w:rPr>
        <w:t xml:space="preserve"> package (</w:t>
      </w:r>
      <w:proofErr w:type="spellStart"/>
      <w:r>
        <w:rPr>
          <w:rFonts w:ascii="Times New Roman" w:eastAsia="Times New Roman" w:hAnsi="Times New Roman" w:cs="Times New Roman"/>
        </w:rPr>
        <w:t>Viechtbauer</w:t>
      </w:r>
      <w:proofErr w:type="spellEnd"/>
      <w:r>
        <w:rPr>
          <w:rFonts w:ascii="Times New Roman" w:eastAsia="Times New Roman" w:hAnsi="Times New Roman" w:cs="Times New Roman"/>
        </w:rPr>
        <w:t>, 2010). For further details on other used packages referrer to the supplementary code.</w:t>
      </w:r>
    </w:p>
    <w:p w14:paraId="5DEAA4B7" w14:textId="77777777" w:rsidR="00144611" w:rsidRDefault="003422DA">
      <w:pPr>
        <w:widowControl w:val="0"/>
        <w:tabs>
          <w:tab w:val="left" w:pos="1440"/>
          <w:tab w:val="left" w:pos="2160"/>
          <w:tab w:val="left" w:pos="2880"/>
        </w:tabs>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Following the approach suggested by </w:t>
      </w:r>
      <w:proofErr w:type="spellStart"/>
      <w:r>
        <w:rPr>
          <w:rFonts w:ascii="Times New Roman" w:eastAsia="Times New Roman" w:hAnsi="Times New Roman" w:cs="Times New Roman"/>
        </w:rPr>
        <w:t>Viechtbauer</w:t>
      </w:r>
      <w:proofErr w:type="spellEnd"/>
      <w:r>
        <w:rPr>
          <w:rFonts w:ascii="Times New Roman" w:eastAsia="Times New Roman" w:hAnsi="Times New Roman" w:cs="Times New Roman"/>
        </w:rPr>
        <w:t xml:space="preserve"> and Cheung (2010), a study was considered an outlier if its confidence interval did not overlap with the confidence interval of the pooled effect (</w:t>
      </w:r>
      <w:proofErr w:type="spellStart"/>
      <w:r>
        <w:rPr>
          <w:rFonts w:ascii="Times New Roman" w:eastAsia="Times New Roman" w:hAnsi="Times New Roman" w:cs="Times New Roman"/>
        </w:rPr>
        <w:t>Viechtbauer</w:t>
      </w:r>
      <w:proofErr w:type="spellEnd"/>
      <w:r>
        <w:rPr>
          <w:rFonts w:ascii="Times New Roman" w:eastAsia="Times New Roman" w:hAnsi="Times New Roman" w:cs="Times New Roman"/>
        </w:rPr>
        <w:t xml:space="preserve"> and Cheung (2010). To identify influential cases, we employed three diagnostic measures: Cook's distance, hat values (leverage), and DFBETAS. Cook's distance assesses the influence of each study on the overall meta-analysis results, with values greater than 4/(n-2) considered potential outliers, where n is the number of studies. Hat values measure the influence of each study on the fitted values, and studies with hat values exceeding twice the mean </w:t>
      </w:r>
      <w:proofErr w:type="spellStart"/>
      <w:r>
        <w:rPr>
          <w:rFonts w:ascii="Times New Roman" w:eastAsia="Times New Roman" w:hAnsi="Times New Roman" w:cs="Times New Roman"/>
        </w:rPr>
        <w:t>hat</w:t>
      </w:r>
      <w:proofErr w:type="spellEnd"/>
      <w:r>
        <w:rPr>
          <w:rFonts w:ascii="Times New Roman" w:eastAsia="Times New Roman" w:hAnsi="Times New Roman" w:cs="Times New Roman"/>
        </w:rPr>
        <w:t xml:space="preserve"> value were deemed potential outliers. DFBETAS evaluates the influence of each study on the estimated coefficients, and studies with absolute DFBETAS values larger than 2/sqrt(n) were considered potential outliers.</w:t>
      </w:r>
    </w:p>
    <w:p w14:paraId="612067F8" w14:textId="78D47523" w:rsidR="003F0E6F" w:rsidRPr="003F0E6F" w:rsidRDefault="003422DA" w:rsidP="003F0E6F">
      <w:pPr>
        <w:widowControl w:val="0"/>
        <w:tabs>
          <w:tab w:val="left" w:pos="1440"/>
          <w:tab w:val="left" w:pos="2160"/>
          <w:tab w:val="left" w:pos="2880"/>
        </w:tabs>
        <w:spacing w:line="480" w:lineRule="auto"/>
        <w:jc w:val="both"/>
        <w:rPr>
          <w:rFonts w:ascii="Times New Roman" w:eastAsia="Times New Roman" w:hAnsi="Times New Roman" w:cs="Times New Roman"/>
        </w:rPr>
      </w:pPr>
      <w:r>
        <w:br w:type="page"/>
      </w:r>
    </w:p>
    <w:tbl>
      <w:tblPr>
        <w:tblpPr w:leftFromText="180" w:rightFromText="180" w:tblpY="476"/>
        <w:tblW w:w="9180" w:type="dxa"/>
        <w:tblCellMar>
          <w:top w:w="15" w:type="dxa"/>
          <w:left w:w="15" w:type="dxa"/>
          <w:bottom w:w="15" w:type="dxa"/>
          <w:right w:w="15" w:type="dxa"/>
        </w:tblCellMar>
        <w:tblLook w:val="04A0" w:firstRow="1" w:lastRow="0" w:firstColumn="1" w:lastColumn="0" w:noHBand="0" w:noVBand="1"/>
      </w:tblPr>
      <w:tblGrid>
        <w:gridCol w:w="3804"/>
        <w:gridCol w:w="2766"/>
        <w:gridCol w:w="2610"/>
      </w:tblGrid>
      <w:tr w:rsidR="00AF517B" w:rsidRPr="002B4198" w14:paraId="7CE74A9E" w14:textId="67A4F883" w:rsidTr="00AF517B">
        <w:trPr>
          <w:trHeight w:val="315"/>
        </w:trPr>
        <w:tc>
          <w:tcPr>
            <w:tcW w:w="0" w:type="auto"/>
            <w:tcBorders>
              <w:top w:val="single" w:sz="6" w:space="0" w:color="000000"/>
            </w:tcBorders>
            <w:shd w:val="clear" w:color="auto" w:fill="FFFFFF"/>
            <w:tcMar>
              <w:top w:w="0" w:type="dxa"/>
              <w:left w:w="40" w:type="dxa"/>
              <w:bottom w:w="0" w:type="dxa"/>
              <w:right w:w="40" w:type="dxa"/>
            </w:tcMar>
          </w:tcPr>
          <w:p w14:paraId="4116D4AD" w14:textId="77777777" w:rsidR="00AF517B" w:rsidRPr="002B4198" w:rsidRDefault="00AF517B" w:rsidP="006A60F8">
            <w:pPr>
              <w:ind w:left="-40"/>
              <w:jc w:val="both"/>
              <w:rPr>
                <w:rFonts w:ascii="Times New Roman" w:eastAsia="Times New Roman" w:hAnsi="Times New Roman" w:cs="Times New Roman"/>
                <w:color w:val="000000"/>
                <w:lang w:val="en-DE" w:eastAsia="en-DE"/>
              </w:rPr>
            </w:pPr>
          </w:p>
        </w:tc>
        <w:tc>
          <w:tcPr>
            <w:tcW w:w="2766" w:type="dxa"/>
            <w:tcBorders>
              <w:top w:val="single" w:sz="6" w:space="0" w:color="000000"/>
            </w:tcBorders>
            <w:shd w:val="clear" w:color="auto" w:fill="FFFFFF"/>
            <w:tcMar>
              <w:top w:w="0" w:type="dxa"/>
              <w:left w:w="40" w:type="dxa"/>
              <w:bottom w:w="0" w:type="dxa"/>
              <w:right w:w="40" w:type="dxa"/>
            </w:tcMar>
            <w:vAlign w:val="bottom"/>
          </w:tcPr>
          <w:p w14:paraId="23E9BFF9" w14:textId="24698D7E" w:rsidR="00AF517B" w:rsidRPr="002B4198" w:rsidRDefault="00AF517B" w:rsidP="006A60F8">
            <w:pPr>
              <w:ind w:left="-40"/>
              <w:rPr>
                <w:rFonts w:ascii="Times New Roman" w:eastAsia="Times New Roman" w:hAnsi="Times New Roman" w:cs="Times New Roman"/>
                <w:color w:val="000000"/>
                <w:lang w:val="en-DE" w:eastAsia="en-DE"/>
              </w:rPr>
            </w:pPr>
            <w:r w:rsidRPr="002B4198">
              <w:rPr>
                <w:rFonts w:ascii="Times New Roman" w:eastAsia="Times New Roman" w:hAnsi="Times New Roman" w:cs="Times New Roman"/>
                <w:color w:val="000000"/>
                <w:lang w:val="en-DE" w:eastAsia="en-DE"/>
              </w:rPr>
              <w:t xml:space="preserve">Nr of extracted </w:t>
            </w:r>
            <w:proofErr w:type="spellStart"/>
            <w:r w:rsidRPr="002B4198">
              <w:rPr>
                <w:rFonts w:ascii="Times New Roman" w:eastAsia="Times New Roman" w:hAnsi="Times New Roman" w:cs="Times New Roman"/>
                <w:color w:val="000000"/>
                <w:lang w:val="en-DE" w:eastAsia="en-DE"/>
              </w:rPr>
              <w:t>EFs</w:t>
            </w:r>
            <w:proofErr w:type="spellEnd"/>
          </w:p>
        </w:tc>
        <w:tc>
          <w:tcPr>
            <w:tcW w:w="2610" w:type="dxa"/>
            <w:tcBorders>
              <w:top w:val="single" w:sz="6" w:space="0" w:color="000000"/>
            </w:tcBorders>
            <w:shd w:val="clear" w:color="auto" w:fill="FFFFFF"/>
            <w:tcMar>
              <w:top w:w="0" w:type="dxa"/>
              <w:left w:w="40" w:type="dxa"/>
              <w:bottom w:w="0" w:type="dxa"/>
              <w:right w:w="40" w:type="dxa"/>
            </w:tcMar>
            <w:vAlign w:val="bottom"/>
          </w:tcPr>
          <w:p w14:paraId="2786E40B" w14:textId="20D2D4DC" w:rsidR="00AF517B" w:rsidRPr="002B4198" w:rsidRDefault="00AF517B" w:rsidP="006A60F8">
            <w:pPr>
              <w:ind w:left="-40"/>
              <w:jc w:val="both"/>
              <w:rPr>
                <w:rFonts w:ascii="Times New Roman" w:eastAsia="Times New Roman" w:hAnsi="Times New Roman" w:cs="Times New Roman"/>
                <w:color w:val="000000"/>
                <w:lang w:val="en-DE" w:eastAsia="en-DE"/>
              </w:rPr>
            </w:pPr>
            <w:r w:rsidRPr="002B4198">
              <w:rPr>
                <w:rFonts w:ascii="Times New Roman" w:eastAsia="Times New Roman" w:hAnsi="Times New Roman" w:cs="Times New Roman"/>
                <w:color w:val="000000"/>
                <w:lang w:val="en-DE" w:eastAsia="en-DE"/>
              </w:rPr>
              <w:t>Sensitivity</w:t>
            </w:r>
          </w:p>
        </w:tc>
      </w:tr>
      <w:tr w:rsidR="00AF517B" w:rsidRPr="002B4198" w14:paraId="4613C1AF" w14:textId="48323F13" w:rsidTr="00AF517B">
        <w:trPr>
          <w:trHeight w:val="315"/>
        </w:trPr>
        <w:tc>
          <w:tcPr>
            <w:tcW w:w="0" w:type="auto"/>
            <w:tcBorders>
              <w:top w:val="single" w:sz="6" w:space="0" w:color="000000"/>
            </w:tcBorders>
            <w:shd w:val="clear" w:color="auto" w:fill="FFFFFF"/>
            <w:tcMar>
              <w:top w:w="0" w:type="dxa"/>
              <w:left w:w="40" w:type="dxa"/>
              <w:bottom w:w="0" w:type="dxa"/>
              <w:right w:w="40" w:type="dxa"/>
            </w:tcMar>
            <w:hideMark/>
          </w:tcPr>
          <w:p w14:paraId="77128660"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Letter-N-Back</w:t>
            </w:r>
          </w:p>
        </w:tc>
        <w:tc>
          <w:tcPr>
            <w:tcW w:w="2766" w:type="dxa"/>
            <w:tcBorders>
              <w:top w:val="single" w:sz="6" w:space="0" w:color="000000"/>
            </w:tcBorders>
            <w:shd w:val="clear" w:color="auto" w:fill="FFFFFF"/>
            <w:tcMar>
              <w:top w:w="0" w:type="dxa"/>
              <w:left w:w="40" w:type="dxa"/>
              <w:bottom w:w="0" w:type="dxa"/>
              <w:right w:w="40" w:type="dxa"/>
            </w:tcMar>
            <w:vAlign w:val="bottom"/>
            <w:hideMark/>
          </w:tcPr>
          <w:p w14:paraId="1CBA0D8F" w14:textId="77777777" w:rsidR="00AF517B" w:rsidRPr="003F0E6F" w:rsidRDefault="00AF517B" w:rsidP="006A60F8">
            <w:pPr>
              <w:ind w:left="-40"/>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3</w:t>
            </w:r>
          </w:p>
        </w:tc>
        <w:tc>
          <w:tcPr>
            <w:tcW w:w="2610" w:type="dxa"/>
            <w:tcBorders>
              <w:top w:val="single" w:sz="6" w:space="0" w:color="000000"/>
            </w:tcBorders>
            <w:shd w:val="clear" w:color="auto" w:fill="FFFFFF"/>
            <w:tcMar>
              <w:top w:w="0" w:type="dxa"/>
              <w:left w:w="40" w:type="dxa"/>
              <w:bottom w:w="0" w:type="dxa"/>
              <w:right w:w="40" w:type="dxa"/>
            </w:tcMar>
            <w:vAlign w:val="bottom"/>
            <w:hideMark/>
          </w:tcPr>
          <w:p w14:paraId="2BA07776"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1</w:t>
            </w:r>
          </w:p>
        </w:tc>
      </w:tr>
      <w:tr w:rsidR="00AF517B" w:rsidRPr="002B4198" w14:paraId="07359129" w14:textId="74212A14" w:rsidTr="00AF517B">
        <w:trPr>
          <w:trHeight w:val="315"/>
        </w:trPr>
        <w:tc>
          <w:tcPr>
            <w:tcW w:w="0" w:type="auto"/>
            <w:shd w:val="clear" w:color="auto" w:fill="FFFFFF"/>
            <w:tcMar>
              <w:top w:w="0" w:type="dxa"/>
              <w:left w:w="40" w:type="dxa"/>
              <w:bottom w:w="0" w:type="dxa"/>
              <w:right w:w="40" w:type="dxa"/>
            </w:tcMar>
            <w:hideMark/>
          </w:tcPr>
          <w:p w14:paraId="7EFA2BEA"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Emotional Stroop</w:t>
            </w:r>
          </w:p>
        </w:tc>
        <w:tc>
          <w:tcPr>
            <w:tcW w:w="2766" w:type="dxa"/>
            <w:shd w:val="clear" w:color="auto" w:fill="FFFFFF"/>
            <w:tcMar>
              <w:top w:w="0" w:type="dxa"/>
              <w:left w:w="40" w:type="dxa"/>
              <w:bottom w:w="0" w:type="dxa"/>
              <w:right w:w="40" w:type="dxa"/>
            </w:tcMar>
            <w:vAlign w:val="bottom"/>
            <w:hideMark/>
          </w:tcPr>
          <w:p w14:paraId="5E73ABF0" w14:textId="77777777" w:rsidR="00AF517B" w:rsidRPr="003F0E6F" w:rsidRDefault="00AF517B" w:rsidP="006A60F8">
            <w:pPr>
              <w:ind w:left="-40"/>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3</w:t>
            </w:r>
          </w:p>
        </w:tc>
        <w:tc>
          <w:tcPr>
            <w:tcW w:w="2610" w:type="dxa"/>
            <w:shd w:val="clear" w:color="auto" w:fill="FFFFFF"/>
            <w:tcMar>
              <w:top w:w="0" w:type="dxa"/>
              <w:left w:w="40" w:type="dxa"/>
              <w:bottom w:w="0" w:type="dxa"/>
              <w:right w:w="40" w:type="dxa"/>
            </w:tcMar>
            <w:vAlign w:val="bottom"/>
            <w:hideMark/>
          </w:tcPr>
          <w:p w14:paraId="752AD4E0"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3</w:t>
            </w:r>
          </w:p>
        </w:tc>
      </w:tr>
      <w:tr w:rsidR="00AF517B" w:rsidRPr="002B4198" w14:paraId="31B29A96" w14:textId="7F747F69" w:rsidTr="00AF517B">
        <w:trPr>
          <w:trHeight w:val="315"/>
        </w:trPr>
        <w:tc>
          <w:tcPr>
            <w:tcW w:w="0" w:type="auto"/>
            <w:shd w:val="clear" w:color="auto" w:fill="FFFFFF"/>
            <w:tcMar>
              <w:top w:w="0" w:type="dxa"/>
              <w:left w:w="40" w:type="dxa"/>
              <w:bottom w:w="0" w:type="dxa"/>
              <w:right w:w="40" w:type="dxa"/>
            </w:tcMar>
            <w:hideMark/>
          </w:tcPr>
          <w:p w14:paraId="2D0E8812"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Digit Symbol Substitution Test </w:t>
            </w:r>
          </w:p>
        </w:tc>
        <w:tc>
          <w:tcPr>
            <w:tcW w:w="2766" w:type="dxa"/>
            <w:shd w:val="clear" w:color="auto" w:fill="FFFFFF"/>
            <w:tcMar>
              <w:top w:w="0" w:type="dxa"/>
              <w:left w:w="40" w:type="dxa"/>
              <w:bottom w:w="0" w:type="dxa"/>
              <w:right w:w="40" w:type="dxa"/>
            </w:tcMar>
            <w:vAlign w:val="bottom"/>
            <w:hideMark/>
          </w:tcPr>
          <w:p w14:paraId="2186DA88" w14:textId="77777777" w:rsidR="00AF517B" w:rsidRPr="003F0E6F" w:rsidRDefault="00AF517B" w:rsidP="006A60F8">
            <w:pPr>
              <w:ind w:left="-40"/>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10</w:t>
            </w:r>
          </w:p>
        </w:tc>
        <w:tc>
          <w:tcPr>
            <w:tcW w:w="2610" w:type="dxa"/>
            <w:shd w:val="clear" w:color="auto" w:fill="FFFFFF"/>
            <w:tcMar>
              <w:top w:w="0" w:type="dxa"/>
              <w:left w:w="40" w:type="dxa"/>
              <w:bottom w:w="0" w:type="dxa"/>
              <w:right w:w="40" w:type="dxa"/>
            </w:tcMar>
            <w:vAlign w:val="bottom"/>
            <w:hideMark/>
          </w:tcPr>
          <w:p w14:paraId="72D6B38A"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3</w:t>
            </w:r>
          </w:p>
        </w:tc>
      </w:tr>
      <w:tr w:rsidR="00AF517B" w:rsidRPr="002B4198" w14:paraId="526D9635" w14:textId="61BF05A1" w:rsidTr="00AF517B">
        <w:trPr>
          <w:trHeight w:val="315"/>
        </w:trPr>
        <w:tc>
          <w:tcPr>
            <w:tcW w:w="0" w:type="auto"/>
            <w:shd w:val="clear" w:color="auto" w:fill="FFFFFF"/>
            <w:tcMar>
              <w:top w:w="0" w:type="dxa"/>
              <w:left w:w="40" w:type="dxa"/>
              <w:bottom w:w="0" w:type="dxa"/>
              <w:right w:w="40" w:type="dxa"/>
            </w:tcMar>
            <w:hideMark/>
          </w:tcPr>
          <w:p w14:paraId="2BE1443C"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Spatial Span Test</w:t>
            </w:r>
          </w:p>
        </w:tc>
        <w:tc>
          <w:tcPr>
            <w:tcW w:w="2766" w:type="dxa"/>
            <w:shd w:val="clear" w:color="auto" w:fill="FFFFFF"/>
            <w:tcMar>
              <w:top w:w="0" w:type="dxa"/>
              <w:left w:w="40" w:type="dxa"/>
              <w:bottom w:w="0" w:type="dxa"/>
              <w:right w:w="40" w:type="dxa"/>
            </w:tcMar>
            <w:vAlign w:val="bottom"/>
            <w:hideMark/>
          </w:tcPr>
          <w:p w14:paraId="7C03802B" w14:textId="77777777" w:rsidR="00AF517B" w:rsidRPr="003F0E6F" w:rsidRDefault="00AF517B" w:rsidP="006A60F8">
            <w:pPr>
              <w:ind w:left="-40"/>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5</w:t>
            </w:r>
          </w:p>
        </w:tc>
        <w:tc>
          <w:tcPr>
            <w:tcW w:w="2610" w:type="dxa"/>
            <w:shd w:val="clear" w:color="auto" w:fill="FFFFFF"/>
            <w:tcMar>
              <w:top w:w="0" w:type="dxa"/>
              <w:left w:w="40" w:type="dxa"/>
              <w:bottom w:w="0" w:type="dxa"/>
              <w:right w:w="40" w:type="dxa"/>
            </w:tcMar>
            <w:vAlign w:val="bottom"/>
            <w:hideMark/>
          </w:tcPr>
          <w:p w14:paraId="4A163EA1"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2</w:t>
            </w:r>
          </w:p>
        </w:tc>
      </w:tr>
      <w:tr w:rsidR="00AF517B" w:rsidRPr="002B4198" w14:paraId="301ADD6C" w14:textId="013B9FE3" w:rsidTr="00AF517B">
        <w:trPr>
          <w:trHeight w:val="331"/>
        </w:trPr>
        <w:tc>
          <w:tcPr>
            <w:tcW w:w="0" w:type="auto"/>
            <w:shd w:val="clear" w:color="auto" w:fill="FFFFFF"/>
            <w:tcMar>
              <w:top w:w="0" w:type="dxa"/>
              <w:left w:w="40" w:type="dxa"/>
              <w:bottom w:w="0" w:type="dxa"/>
              <w:right w:w="40" w:type="dxa"/>
            </w:tcMar>
            <w:hideMark/>
          </w:tcPr>
          <w:p w14:paraId="5128426C"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Attentional Object Tracking</w:t>
            </w:r>
          </w:p>
        </w:tc>
        <w:tc>
          <w:tcPr>
            <w:tcW w:w="2766" w:type="dxa"/>
            <w:shd w:val="clear" w:color="auto" w:fill="FFFFFF"/>
            <w:tcMar>
              <w:top w:w="0" w:type="dxa"/>
              <w:left w:w="40" w:type="dxa"/>
              <w:bottom w:w="0" w:type="dxa"/>
              <w:right w:w="40" w:type="dxa"/>
            </w:tcMar>
            <w:vAlign w:val="bottom"/>
            <w:hideMark/>
          </w:tcPr>
          <w:p w14:paraId="10891AE7" w14:textId="77777777" w:rsidR="00AF517B" w:rsidRPr="003F0E6F" w:rsidRDefault="00AF517B" w:rsidP="006A60F8">
            <w:pPr>
              <w:ind w:left="-40"/>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1</w:t>
            </w:r>
          </w:p>
        </w:tc>
        <w:tc>
          <w:tcPr>
            <w:tcW w:w="2610" w:type="dxa"/>
            <w:shd w:val="clear" w:color="auto" w:fill="FFFFFF"/>
            <w:tcMar>
              <w:top w:w="0" w:type="dxa"/>
              <w:left w:w="40" w:type="dxa"/>
              <w:bottom w:w="0" w:type="dxa"/>
              <w:right w:w="40" w:type="dxa"/>
            </w:tcMar>
            <w:vAlign w:val="bottom"/>
            <w:hideMark/>
          </w:tcPr>
          <w:p w14:paraId="38B5C387"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1</w:t>
            </w:r>
          </w:p>
        </w:tc>
      </w:tr>
      <w:tr w:rsidR="00AF517B" w:rsidRPr="002B4198" w14:paraId="17E0D382" w14:textId="4F6B5957" w:rsidTr="00AF517B">
        <w:trPr>
          <w:trHeight w:val="315"/>
        </w:trPr>
        <w:tc>
          <w:tcPr>
            <w:tcW w:w="0" w:type="auto"/>
            <w:shd w:val="clear" w:color="auto" w:fill="FFFFFF"/>
            <w:tcMar>
              <w:top w:w="0" w:type="dxa"/>
              <w:left w:w="40" w:type="dxa"/>
              <w:bottom w:w="0" w:type="dxa"/>
              <w:right w:w="40" w:type="dxa"/>
            </w:tcMar>
            <w:hideMark/>
          </w:tcPr>
          <w:p w14:paraId="11AD47BD"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Stroop</w:t>
            </w:r>
          </w:p>
        </w:tc>
        <w:tc>
          <w:tcPr>
            <w:tcW w:w="2766" w:type="dxa"/>
            <w:shd w:val="clear" w:color="auto" w:fill="FFFFFF"/>
            <w:tcMar>
              <w:top w:w="0" w:type="dxa"/>
              <w:left w:w="40" w:type="dxa"/>
              <w:bottom w:w="0" w:type="dxa"/>
              <w:right w:w="40" w:type="dxa"/>
            </w:tcMar>
            <w:vAlign w:val="bottom"/>
            <w:hideMark/>
          </w:tcPr>
          <w:p w14:paraId="3FA5C66C" w14:textId="77777777" w:rsidR="00AF517B" w:rsidRPr="003F0E6F" w:rsidRDefault="00AF517B" w:rsidP="006A60F8">
            <w:pPr>
              <w:ind w:left="-40"/>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4</w:t>
            </w:r>
          </w:p>
        </w:tc>
        <w:tc>
          <w:tcPr>
            <w:tcW w:w="2610" w:type="dxa"/>
            <w:shd w:val="clear" w:color="auto" w:fill="FFFFFF"/>
            <w:tcMar>
              <w:top w:w="0" w:type="dxa"/>
              <w:left w:w="40" w:type="dxa"/>
              <w:bottom w:w="0" w:type="dxa"/>
              <w:right w:w="40" w:type="dxa"/>
            </w:tcMar>
            <w:vAlign w:val="bottom"/>
            <w:hideMark/>
          </w:tcPr>
          <w:p w14:paraId="4C05DC4A"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1 &amp; 2*</w:t>
            </w:r>
          </w:p>
        </w:tc>
      </w:tr>
      <w:tr w:rsidR="00AF517B" w:rsidRPr="002B4198" w14:paraId="29439351" w14:textId="22D2B6DC" w:rsidTr="00AF517B">
        <w:trPr>
          <w:trHeight w:val="315"/>
        </w:trPr>
        <w:tc>
          <w:tcPr>
            <w:tcW w:w="0" w:type="auto"/>
            <w:shd w:val="clear" w:color="auto" w:fill="FFFFFF"/>
            <w:tcMar>
              <w:top w:w="0" w:type="dxa"/>
              <w:left w:w="40" w:type="dxa"/>
              <w:bottom w:w="0" w:type="dxa"/>
              <w:right w:w="40" w:type="dxa"/>
            </w:tcMar>
            <w:hideMark/>
          </w:tcPr>
          <w:p w14:paraId="271EE6CA"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Go/NoGo</w:t>
            </w:r>
          </w:p>
        </w:tc>
        <w:tc>
          <w:tcPr>
            <w:tcW w:w="2766" w:type="dxa"/>
            <w:shd w:val="clear" w:color="auto" w:fill="FFFFFF"/>
            <w:tcMar>
              <w:top w:w="0" w:type="dxa"/>
              <w:left w:w="40" w:type="dxa"/>
              <w:bottom w:w="0" w:type="dxa"/>
              <w:right w:w="40" w:type="dxa"/>
            </w:tcMar>
            <w:vAlign w:val="bottom"/>
            <w:hideMark/>
          </w:tcPr>
          <w:p w14:paraId="67888E93" w14:textId="77777777" w:rsidR="00AF517B" w:rsidRPr="003F0E6F" w:rsidRDefault="00AF517B" w:rsidP="006A60F8">
            <w:pPr>
              <w:ind w:left="-40"/>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1</w:t>
            </w:r>
          </w:p>
        </w:tc>
        <w:tc>
          <w:tcPr>
            <w:tcW w:w="2610" w:type="dxa"/>
            <w:shd w:val="clear" w:color="auto" w:fill="FFFFFF"/>
            <w:tcMar>
              <w:top w:w="0" w:type="dxa"/>
              <w:left w:w="40" w:type="dxa"/>
              <w:bottom w:w="0" w:type="dxa"/>
              <w:right w:w="40" w:type="dxa"/>
            </w:tcMar>
            <w:vAlign w:val="bottom"/>
            <w:hideMark/>
          </w:tcPr>
          <w:p w14:paraId="503C02C8"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1</w:t>
            </w:r>
          </w:p>
        </w:tc>
      </w:tr>
      <w:tr w:rsidR="00AF517B" w:rsidRPr="002B4198" w14:paraId="07EE3EB5" w14:textId="22FFBA60" w:rsidTr="00AF517B">
        <w:trPr>
          <w:trHeight w:val="315"/>
        </w:trPr>
        <w:tc>
          <w:tcPr>
            <w:tcW w:w="0" w:type="auto"/>
            <w:shd w:val="clear" w:color="auto" w:fill="FFFFFF"/>
            <w:tcMar>
              <w:top w:w="0" w:type="dxa"/>
              <w:left w:w="40" w:type="dxa"/>
              <w:bottom w:w="0" w:type="dxa"/>
              <w:right w:w="40" w:type="dxa"/>
            </w:tcMar>
            <w:hideMark/>
          </w:tcPr>
          <w:p w14:paraId="20774A0B" w14:textId="5F5B64C2"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Emotional Go/NoGo</w:t>
            </w:r>
          </w:p>
        </w:tc>
        <w:tc>
          <w:tcPr>
            <w:tcW w:w="2766" w:type="dxa"/>
            <w:shd w:val="clear" w:color="auto" w:fill="FFFFFF"/>
            <w:tcMar>
              <w:top w:w="0" w:type="dxa"/>
              <w:left w:w="40" w:type="dxa"/>
              <w:bottom w:w="0" w:type="dxa"/>
              <w:right w:w="40" w:type="dxa"/>
            </w:tcMar>
            <w:vAlign w:val="bottom"/>
            <w:hideMark/>
          </w:tcPr>
          <w:p w14:paraId="1B6043A4" w14:textId="77777777" w:rsidR="00AF517B" w:rsidRPr="003F0E6F" w:rsidRDefault="00AF517B" w:rsidP="006A60F8">
            <w:pPr>
              <w:ind w:left="-40"/>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4</w:t>
            </w:r>
          </w:p>
        </w:tc>
        <w:tc>
          <w:tcPr>
            <w:tcW w:w="2610" w:type="dxa"/>
            <w:shd w:val="clear" w:color="auto" w:fill="FFFFFF"/>
            <w:tcMar>
              <w:top w:w="0" w:type="dxa"/>
              <w:left w:w="40" w:type="dxa"/>
              <w:bottom w:w="0" w:type="dxa"/>
              <w:right w:w="40" w:type="dxa"/>
            </w:tcMar>
            <w:vAlign w:val="bottom"/>
            <w:hideMark/>
          </w:tcPr>
          <w:p w14:paraId="25BE1311"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3 &amp; 1**</w:t>
            </w:r>
          </w:p>
        </w:tc>
      </w:tr>
      <w:tr w:rsidR="00AF517B" w:rsidRPr="002B4198" w14:paraId="6F447022" w14:textId="172FD7D9" w:rsidTr="00AF517B">
        <w:trPr>
          <w:trHeight w:val="315"/>
        </w:trPr>
        <w:tc>
          <w:tcPr>
            <w:tcW w:w="0" w:type="auto"/>
            <w:shd w:val="clear" w:color="auto" w:fill="FFFFFF"/>
            <w:tcMar>
              <w:top w:w="0" w:type="dxa"/>
              <w:left w:w="40" w:type="dxa"/>
              <w:bottom w:w="0" w:type="dxa"/>
              <w:right w:w="40" w:type="dxa"/>
            </w:tcMar>
            <w:hideMark/>
          </w:tcPr>
          <w:p w14:paraId="59E85CD3"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Attentional Blink</w:t>
            </w:r>
          </w:p>
        </w:tc>
        <w:tc>
          <w:tcPr>
            <w:tcW w:w="2766" w:type="dxa"/>
            <w:shd w:val="clear" w:color="auto" w:fill="FFFFFF"/>
            <w:tcMar>
              <w:top w:w="0" w:type="dxa"/>
              <w:left w:w="40" w:type="dxa"/>
              <w:bottom w:w="0" w:type="dxa"/>
              <w:right w:w="40" w:type="dxa"/>
            </w:tcMar>
            <w:vAlign w:val="bottom"/>
            <w:hideMark/>
          </w:tcPr>
          <w:p w14:paraId="423DF7E6" w14:textId="77777777" w:rsidR="00AF517B" w:rsidRPr="003F0E6F" w:rsidRDefault="00AF517B" w:rsidP="006A60F8">
            <w:pPr>
              <w:ind w:left="-40"/>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2</w:t>
            </w:r>
          </w:p>
        </w:tc>
        <w:tc>
          <w:tcPr>
            <w:tcW w:w="2610" w:type="dxa"/>
            <w:shd w:val="clear" w:color="auto" w:fill="FFFFFF"/>
            <w:tcMar>
              <w:top w:w="0" w:type="dxa"/>
              <w:left w:w="40" w:type="dxa"/>
              <w:bottom w:w="0" w:type="dxa"/>
              <w:right w:w="40" w:type="dxa"/>
            </w:tcMar>
            <w:vAlign w:val="bottom"/>
            <w:hideMark/>
          </w:tcPr>
          <w:p w14:paraId="0DF44695"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1</w:t>
            </w:r>
          </w:p>
        </w:tc>
      </w:tr>
      <w:tr w:rsidR="00AF517B" w:rsidRPr="002B4198" w14:paraId="344D807A" w14:textId="7A11F4A3" w:rsidTr="00AF517B">
        <w:trPr>
          <w:trHeight w:val="315"/>
        </w:trPr>
        <w:tc>
          <w:tcPr>
            <w:tcW w:w="0" w:type="auto"/>
            <w:shd w:val="clear" w:color="auto" w:fill="FFFFFF"/>
            <w:tcMar>
              <w:top w:w="0" w:type="dxa"/>
              <w:left w:w="40" w:type="dxa"/>
              <w:bottom w:w="0" w:type="dxa"/>
              <w:right w:w="40" w:type="dxa"/>
            </w:tcMar>
            <w:hideMark/>
          </w:tcPr>
          <w:p w14:paraId="2F8EB66C"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Trail Making Test</w:t>
            </w:r>
          </w:p>
        </w:tc>
        <w:tc>
          <w:tcPr>
            <w:tcW w:w="2766" w:type="dxa"/>
            <w:shd w:val="clear" w:color="auto" w:fill="FFFFFF"/>
            <w:tcMar>
              <w:top w:w="0" w:type="dxa"/>
              <w:left w:w="40" w:type="dxa"/>
              <w:bottom w:w="0" w:type="dxa"/>
              <w:right w:w="40" w:type="dxa"/>
            </w:tcMar>
            <w:vAlign w:val="bottom"/>
            <w:hideMark/>
          </w:tcPr>
          <w:p w14:paraId="10F920A2" w14:textId="77777777" w:rsidR="00AF517B" w:rsidRPr="003F0E6F" w:rsidRDefault="00AF517B" w:rsidP="006A60F8">
            <w:pPr>
              <w:ind w:left="-40"/>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1</w:t>
            </w:r>
          </w:p>
        </w:tc>
        <w:tc>
          <w:tcPr>
            <w:tcW w:w="2610" w:type="dxa"/>
            <w:shd w:val="clear" w:color="auto" w:fill="FFFFFF"/>
            <w:tcMar>
              <w:top w:w="0" w:type="dxa"/>
              <w:left w:w="40" w:type="dxa"/>
              <w:bottom w:w="0" w:type="dxa"/>
              <w:right w:w="40" w:type="dxa"/>
            </w:tcMar>
            <w:vAlign w:val="bottom"/>
            <w:hideMark/>
          </w:tcPr>
          <w:p w14:paraId="4E97E588"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2</w:t>
            </w:r>
          </w:p>
        </w:tc>
      </w:tr>
      <w:tr w:rsidR="00AF517B" w:rsidRPr="002B4198" w14:paraId="6FF653F8" w14:textId="70538E5B" w:rsidTr="00AF517B">
        <w:trPr>
          <w:trHeight w:val="315"/>
        </w:trPr>
        <w:tc>
          <w:tcPr>
            <w:tcW w:w="0" w:type="auto"/>
            <w:shd w:val="clear" w:color="auto" w:fill="FFFFFF"/>
            <w:tcMar>
              <w:top w:w="0" w:type="dxa"/>
              <w:left w:w="40" w:type="dxa"/>
              <w:bottom w:w="0" w:type="dxa"/>
              <w:right w:w="40" w:type="dxa"/>
            </w:tcMar>
            <w:hideMark/>
          </w:tcPr>
          <w:p w14:paraId="1C469BA5"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Covert Orienting of Attention Task</w:t>
            </w:r>
          </w:p>
        </w:tc>
        <w:tc>
          <w:tcPr>
            <w:tcW w:w="2766" w:type="dxa"/>
            <w:shd w:val="clear" w:color="auto" w:fill="FFFFFF"/>
            <w:tcMar>
              <w:top w:w="0" w:type="dxa"/>
              <w:left w:w="40" w:type="dxa"/>
              <w:bottom w:w="0" w:type="dxa"/>
              <w:right w:w="40" w:type="dxa"/>
            </w:tcMar>
            <w:vAlign w:val="bottom"/>
            <w:hideMark/>
          </w:tcPr>
          <w:p w14:paraId="5BCDBBD1" w14:textId="77777777" w:rsidR="00AF517B" w:rsidRPr="003F0E6F" w:rsidRDefault="00AF517B" w:rsidP="006A60F8">
            <w:pPr>
              <w:ind w:left="-40"/>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1</w:t>
            </w:r>
          </w:p>
        </w:tc>
        <w:tc>
          <w:tcPr>
            <w:tcW w:w="2610" w:type="dxa"/>
            <w:shd w:val="clear" w:color="auto" w:fill="FFFFFF"/>
            <w:tcMar>
              <w:top w:w="0" w:type="dxa"/>
              <w:left w:w="40" w:type="dxa"/>
              <w:bottom w:w="0" w:type="dxa"/>
              <w:right w:w="40" w:type="dxa"/>
            </w:tcMar>
            <w:vAlign w:val="bottom"/>
            <w:hideMark/>
          </w:tcPr>
          <w:p w14:paraId="12340025"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1</w:t>
            </w:r>
          </w:p>
        </w:tc>
      </w:tr>
      <w:tr w:rsidR="00AF517B" w:rsidRPr="002B4198" w14:paraId="427CDFF7" w14:textId="296125BA" w:rsidTr="00AF517B">
        <w:trPr>
          <w:trHeight w:val="315"/>
        </w:trPr>
        <w:tc>
          <w:tcPr>
            <w:tcW w:w="0" w:type="auto"/>
            <w:shd w:val="clear" w:color="auto" w:fill="FFFFFF"/>
            <w:tcMar>
              <w:top w:w="0" w:type="dxa"/>
              <w:left w:w="40" w:type="dxa"/>
              <w:bottom w:w="0" w:type="dxa"/>
              <w:right w:w="40" w:type="dxa"/>
            </w:tcMar>
            <w:hideMark/>
          </w:tcPr>
          <w:p w14:paraId="58004AB4"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Frankfurt Attention Inventory</w:t>
            </w:r>
          </w:p>
        </w:tc>
        <w:tc>
          <w:tcPr>
            <w:tcW w:w="2766" w:type="dxa"/>
            <w:shd w:val="clear" w:color="auto" w:fill="FFFFFF"/>
            <w:tcMar>
              <w:top w:w="0" w:type="dxa"/>
              <w:left w:w="40" w:type="dxa"/>
              <w:bottom w:w="0" w:type="dxa"/>
              <w:right w:w="40" w:type="dxa"/>
            </w:tcMar>
            <w:vAlign w:val="bottom"/>
            <w:hideMark/>
          </w:tcPr>
          <w:p w14:paraId="1E3EADBD" w14:textId="77777777" w:rsidR="00AF517B" w:rsidRPr="003F0E6F" w:rsidRDefault="00AF517B" w:rsidP="006A60F8">
            <w:pPr>
              <w:ind w:left="-40"/>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5</w:t>
            </w:r>
          </w:p>
        </w:tc>
        <w:tc>
          <w:tcPr>
            <w:tcW w:w="2610" w:type="dxa"/>
            <w:shd w:val="clear" w:color="auto" w:fill="FFFFFF"/>
            <w:tcMar>
              <w:top w:w="0" w:type="dxa"/>
              <w:left w:w="40" w:type="dxa"/>
              <w:bottom w:w="0" w:type="dxa"/>
              <w:right w:w="40" w:type="dxa"/>
            </w:tcMar>
            <w:vAlign w:val="bottom"/>
            <w:hideMark/>
          </w:tcPr>
          <w:p w14:paraId="44CE897A"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2</w:t>
            </w:r>
          </w:p>
        </w:tc>
      </w:tr>
      <w:tr w:rsidR="00AF517B" w:rsidRPr="002B4198" w14:paraId="425EBC5E" w14:textId="68DAA897" w:rsidTr="00AF517B">
        <w:trPr>
          <w:trHeight w:val="315"/>
        </w:trPr>
        <w:tc>
          <w:tcPr>
            <w:tcW w:w="0" w:type="auto"/>
            <w:shd w:val="clear" w:color="auto" w:fill="FFFFFF"/>
            <w:tcMar>
              <w:top w:w="0" w:type="dxa"/>
              <w:left w:w="40" w:type="dxa"/>
              <w:bottom w:w="0" w:type="dxa"/>
              <w:right w:w="40" w:type="dxa"/>
            </w:tcMar>
            <w:hideMark/>
          </w:tcPr>
          <w:p w14:paraId="4BA8EDFB"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Psychomotor Vigilance Task</w:t>
            </w:r>
          </w:p>
        </w:tc>
        <w:tc>
          <w:tcPr>
            <w:tcW w:w="2766" w:type="dxa"/>
            <w:shd w:val="clear" w:color="auto" w:fill="FFFFFF"/>
            <w:tcMar>
              <w:top w:w="0" w:type="dxa"/>
              <w:left w:w="40" w:type="dxa"/>
              <w:bottom w:w="0" w:type="dxa"/>
              <w:right w:w="40" w:type="dxa"/>
            </w:tcMar>
            <w:vAlign w:val="bottom"/>
            <w:hideMark/>
          </w:tcPr>
          <w:p w14:paraId="2ABE9B90" w14:textId="77777777" w:rsidR="00AF517B" w:rsidRPr="003F0E6F" w:rsidRDefault="00AF517B" w:rsidP="006A60F8">
            <w:pPr>
              <w:ind w:left="-40"/>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1</w:t>
            </w:r>
          </w:p>
        </w:tc>
        <w:tc>
          <w:tcPr>
            <w:tcW w:w="2610" w:type="dxa"/>
            <w:shd w:val="clear" w:color="auto" w:fill="FFFFFF"/>
            <w:tcMar>
              <w:top w:w="0" w:type="dxa"/>
              <w:left w:w="40" w:type="dxa"/>
              <w:bottom w:w="0" w:type="dxa"/>
              <w:right w:w="40" w:type="dxa"/>
            </w:tcMar>
            <w:vAlign w:val="bottom"/>
            <w:hideMark/>
          </w:tcPr>
          <w:p w14:paraId="0544FB06"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2</w:t>
            </w:r>
          </w:p>
        </w:tc>
      </w:tr>
      <w:tr w:rsidR="00AF517B" w:rsidRPr="002B4198" w14:paraId="701A0751" w14:textId="5543FBEF" w:rsidTr="00AF517B">
        <w:trPr>
          <w:trHeight w:val="315"/>
        </w:trPr>
        <w:tc>
          <w:tcPr>
            <w:tcW w:w="0" w:type="auto"/>
            <w:shd w:val="clear" w:color="auto" w:fill="FFFFFF"/>
            <w:tcMar>
              <w:top w:w="0" w:type="dxa"/>
              <w:left w:w="40" w:type="dxa"/>
              <w:bottom w:w="0" w:type="dxa"/>
              <w:right w:w="40" w:type="dxa"/>
            </w:tcMar>
            <w:hideMark/>
          </w:tcPr>
          <w:p w14:paraId="476D3BEA"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Spatial Memory Test </w:t>
            </w:r>
          </w:p>
        </w:tc>
        <w:tc>
          <w:tcPr>
            <w:tcW w:w="2766" w:type="dxa"/>
            <w:shd w:val="clear" w:color="auto" w:fill="FFFFFF"/>
            <w:tcMar>
              <w:top w:w="0" w:type="dxa"/>
              <w:left w:w="40" w:type="dxa"/>
              <w:bottom w:w="0" w:type="dxa"/>
              <w:right w:w="40" w:type="dxa"/>
            </w:tcMar>
            <w:vAlign w:val="bottom"/>
            <w:hideMark/>
          </w:tcPr>
          <w:p w14:paraId="44A04AB6" w14:textId="77777777" w:rsidR="00AF517B" w:rsidRPr="003F0E6F" w:rsidRDefault="00AF517B" w:rsidP="006A60F8">
            <w:pPr>
              <w:ind w:left="-40"/>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1</w:t>
            </w:r>
          </w:p>
        </w:tc>
        <w:tc>
          <w:tcPr>
            <w:tcW w:w="2610" w:type="dxa"/>
            <w:shd w:val="clear" w:color="auto" w:fill="FFFFFF"/>
            <w:tcMar>
              <w:top w:w="0" w:type="dxa"/>
              <w:left w:w="40" w:type="dxa"/>
              <w:bottom w:w="0" w:type="dxa"/>
              <w:right w:w="40" w:type="dxa"/>
            </w:tcMar>
            <w:vAlign w:val="bottom"/>
            <w:hideMark/>
          </w:tcPr>
          <w:p w14:paraId="13243BE2"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2</w:t>
            </w:r>
          </w:p>
        </w:tc>
      </w:tr>
      <w:tr w:rsidR="00AF517B" w:rsidRPr="002B4198" w14:paraId="4104E49A" w14:textId="7DABA5DA" w:rsidTr="00AF517B">
        <w:trPr>
          <w:trHeight w:val="315"/>
        </w:trPr>
        <w:tc>
          <w:tcPr>
            <w:tcW w:w="0" w:type="auto"/>
            <w:shd w:val="clear" w:color="auto" w:fill="FFFFFF"/>
            <w:tcMar>
              <w:top w:w="0" w:type="dxa"/>
              <w:left w:w="40" w:type="dxa"/>
              <w:bottom w:w="0" w:type="dxa"/>
              <w:right w:w="40" w:type="dxa"/>
            </w:tcMar>
            <w:hideMark/>
          </w:tcPr>
          <w:p w14:paraId="3197B3CD"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Tower of London</w:t>
            </w:r>
          </w:p>
        </w:tc>
        <w:tc>
          <w:tcPr>
            <w:tcW w:w="2766" w:type="dxa"/>
            <w:shd w:val="clear" w:color="auto" w:fill="FFFFFF"/>
            <w:tcMar>
              <w:top w:w="0" w:type="dxa"/>
              <w:left w:w="40" w:type="dxa"/>
              <w:bottom w:w="0" w:type="dxa"/>
              <w:right w:w="40" w:type="dxa"/>
            </w:tcMar>
            <w:vAlign w:val="bottom"/>
            <w:hideMark/>
          </w:tcPr>
          <w:p w14:paraId="23D97F3D" w14:textId="77777777" w:rsidR="00AF517B" w:rsidRPr="003F0E6F" w:rsidRDefault="00AF517B" w:rsidP="006A60F8">
            <w:pPr>
              <w:ind w:left="-40"/>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1</w:t>
            </w:r>
          </w:p>
        </w:tc>
        <w:tc>
          <w:tcPr>
            <w:tcW w:w="2610" w:type="dxa"/>
            <w:shd w:val="clear" w:color="auto" w:fill="FFFFFF"/>
            <w:tcMar>
              <w:top w:w="0" w:type="dxa"/>
              <w:left w:w="40" w:type="dxa"/>
              <w:bottom w:w="0" w:type="dxa"/>
              <w:right w:w="40" w:type="dxa"/>
            </w:tcMar>
            <w:vAlign w:val="bottom"/>
            <w:hideMark/>
          </w:tcPr>
          <w:p w14:paraId="2A66B39A"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3</w:t>
            </w:r>
          </w:p>
        </w:tc>
      </w:tr>
      <w:tr w:rsidR="00AF517B" w:rsidRPr="002B4198" w14:paraId="0E696ECB" w14:textId="45219795" w:rsidTr="00AF517B">
        <w:trPr>
          <w:trHeight w:val="315"/>
        </w:trPr>
        <w:tc>
          <w:tcPr>
            <w:tcW w:w="0" w:type="auto"/>
            <w:tcBorders>
              <w:bottom w:val="single" w:sz="6" w:space="0" w:color="000000"/>
            </w:tcBorders>
            <w:shd w:val="clear" w:color="auto" w:fill="FFFFFF"/>
            <w:tcMar>
              <w:top w:w="0" w:type="dxa"/>
              <w:left w:w="40" w:type="dxa"/>
              <w:bottom w:w="0" w:type="dxa"/>
              <w:right w:w="40" w:type="dxa"/>
            </w:tcMar>
            <w:hideMark/>
          </w:tcPr>
          <w:p w14:paraId="73C2B09F"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Delayed Response Task</w:t>
            </w:r>
          </w:p>
        </w:tc>
        <w:tc>
          <w:tcPr>
            <w:tcW w:w="2766" w:type="dxa"/>
            <w:tcBorders>
              <w:bottom w:val="single" w:sz="6" w:space="0" w:color="000000"/>
            </w:tcBorders>
            <w:shd w:val="clear" w:color="auto" w:fill="FFFFFF"/>
            <w:tcMar>
              <w:top w:w="0" w:type="dxa"/>
              <w:left w:w="40" w:type="dxa"/>
              <w:bottom w:w="0" w:type="dxa"/>
              <w:right w:w="40" w:type="dxa"/>
            </w:tcMar>
            <w:vAlign w:val="bottom"/>
            <w:hideMark/>
          </w:tcPr>
          <w:p w14:paraId="0EFECB4F" w14:textId="77777777" w:rsidR="00AF517B" w:rsidRPr="003F0E6F" w:rsidRDefault="00AF517B" w:rsidP="006A60F8">
            <w:pPr>
              <w:ind w:left="-40"/>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1</w:t>
            </w:r>
          </w:p>
        </w:tc>
        <w:tc>
          <w:tcPr>
            <w:tcW w:w="2610" w:type="dxa"/>
            <w:tcBorders>
              <w:bottom w:val="single" w:sz="6" w:space="0" w:color="000000"/>
            </w:tcBorders>
            <w:shd w:val="clear" w:color="auto" w:fill="FFFFFF"/>
            <w:tcMar>
              <w:top w:w="0" w:type="dxa"/>
              <w:left w:w="40" w:type="dxa"/>
              <w:bottom w:w="0" w:type="dxa"/>
              <w:right w:w="40" w:type="dxa"/>
            </w:tcMar>
            <w:vAlign w:val="bottom"/>
            <w:hideMark/>
          </w:tcPr>
          <w:p w14:paraId="7452252F" w14:textId="77777777" w:rsidR="00AF517B" w:rsidRPr="003F0E6F" w:rsidRDefault="00AF517B" w:rsidP="006A60F8">
            <w:pPr>
              <w:ind w:left="-40"/>
              <w:jc w:val="both"/>
              <w:rPr>
                <w:rFonts w:ascii="Times New Roman" w:eastAsia="Times New Roman" w:hAnsi="Times New Roman" w:cs="Times New Roman"/>
                <w:lang w:val="en-DE" w:eastAsia="en-DE"/>
              </w:rPr>
            </w:pPr>
            <w:r w:rsidRPr="003F0E6F">
              <w:rPr>
                <w:rFonts w:ascii="Times New Roman" w:eastAsia="Times New Roman" w:hAnsi="Times New Roman" w:cs="Times New Roman"/>
                <w:color w:val="000000"/>
                <w:lang w:val="en-DE" w:eastAsia="en-DE"/>
              </w:rPr>
              <w:t>3</w:t>
            </w:r>
          </w:p>
        </w:tc>
      </w:tr>
    </w:tbl>
    <w:p w14:paraId="03A3C17E" w14:textId="2087C0E8" w:rsidR="004564C6" w:rsidRPr="003C7450" w:rsidRDefault="003C7450" w:rsidP="00DB06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 New Roman" w:eastAsia="Times New Roman" w:hAnsi="Times New Roman" w:cs="Times New Roman"/>
          <w:b/>
          <w:bCs/>
        </w:rPr>
      </w:pPr>
      <w:r w:rsidRPr="003C7450">
        <w:rPr>
          <w:rFonts w:ascii="Times New Roman" w:hAnsi="Times New Roman" w:cs="Times New Roman"/>
          <w:b/>
          <w:bCs/>
          <w:color w:val="000000"/>
        </w:rPr>
        <w:t>Table 1: Cognitive Tasks and their evaluated sensitivity to executive functions</w:t>
      </w:r>
    </w:p>
    <w:p w14:paraId="2B3292F1" w14:textId="77777777" w:rsidR="0082035E" w:rsidRPr="0082035E" w:rsidRDefault="0082035E" w:rsidP="0082035E">
      <w:pPr>
        <w:ind w:left="-40"/>
        <w:jc w:val="both"/>
        <w:rPr>
          <w:rFonts w:ascii="Times New Roman" w:eastAsia="Times New Roman" w:hAnsi="Times New Roman" w:cs="Times New Roman"/>
          <w:lang w:val="en-DE" w:eastAsia="en-DE"/>
        </w:rPr>
      </w:pPr>
      <w:r w:rsidRPr="0082035E">
        <w:rPr>
          <w:rFonts w:ascii="Times New Roman" w:eastAsia="Times New Roman" w:hAnsi="Times New Roman" w:cs="Times New Roman"/>
          <w:color w:val="000000"/>
          <w:sz w:val="22"/>
          <w:szCs w:val="22"/>
          <w:lang w:val="en-DE" w:eastAsia="en-DE"/>
        </w:rPr>
        <w:t xml:space="preserve">* 2 for </w:t>
      </w:r>
      <w:proofErr w:type="spellStart"/>
      <w:r w:rsidRPr="0082035E">
        <w:rPr>
          <w:rFonts w:ascii="Times New Roman" w:eastAsia="Times New Roman" w:hAnsi="Times New Roman" w:cs="Times New Roman"/>
          <w:color w:val="000000"/>
          <w:sz w:val="22"/>
          <w:szCs w:val="22"/>
          <w:lang w:val="en-DE" w:eastAsia="en-DE"/>
        </w:rPr>
        <w:t>Study_ID</w:t>
      </w:r>
      <w:proofErr w:type="spellEnd"/>
      <w:r w:rsidRPr="0082035E">
        <w:rPr>
          <w:rFonts w:ascii="Times New Roman" w:eastAsia="Times New Roman" w:hAnsi="Times New Roman" w:cs="Times New Roman"/>
          <w:color w:val="000000"/>
          <w:sz w:val="22"/>
          <w:szCs w:val="22"/>
          <w:lang w:val="en-DE" w:eastAsia="en-DE"/>
        </w:rPr>
        <w:t xml:space="preserve"> = 8</w:t>
      </w:r>
    </w:p>
    <w:p w14:paraId="7F47E63C" w14:textId="5DA58E25" w:rsidR="003C7450" w:rsidRDefault="0082035E" w:rsidP="0082035E">
      <w:pPr>
        <w:ind w:left="-40"/>
        <w:jc w:val="both"/>
        <w:rPr>
          <w:rFonts w:ascii="Times New Roman" w:eastAsia="Times New Roman" w:hAnsi="Times New Roman" w:cs="Times New Roman"/>
          <w:lang w:val="en-DE" w:eastAsia="en-DE"/>
        </w:rPr>
      </w:pPr>
      <w:r w:rsidRPr="0082035E">
        <w:rPr>
          <w:rFonts w:ascii="Times New Roman" w:eastAsia="Times New Roman" w:hAnsi="Times New Roman" w:cs="Times New Roman"/>
          <w:color w:val="000000"/>
          <w:sz w:val="22"/>
          <w:szCs w:val="22"/>
          <w:lang w:val="en-DE" w:eastAsia="en-DE"/>
        </w:rPr>
        <w:t>** 1 for ES_ID= 31</w:t>
      </w:r>
    </w:p>
    <w:p w14:paraId="444282BB" w14:textId="77777777" w:rsidR="0082035E" w:rsidRPr="0082035E" w:rsidRDefault="0082035E" w:rsidP="0082035E">
      <w:pPr>
        <w:ind w:left="-40"/>
        <w:jc w:val="both"/>
        <w:rPr>
          <w:rFonts w:ascii="Times New Roman" w:eastAsia="Times New Roman" w:hAnsi="Times New Roman" w:cs="Times New Roman"/>
          <w:lang w:val="en-DE" w:eastAsia="en-DE"/>
        </w:rPr>
      </w:pPr>
    </w:p>
    <w:p w14:paraId="5DEAA52E" w14:textId="392944F9" w:rsidR="00144611" w:rsidRDefault="003422DA" w:rsidP="00456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Times New Roman" w:hAnsi="Times New Roman" w:cs="Times New Roman"/>
          <w:b/>
        </w:rPr>
      </w:pPr>
      <w:r>
        <w:rPr>
          <w:rFonts w:ascii="Times New Roman" w:eastAsia="Times New Roman" w:hAnsi="Times New Roman" w:cs="Times New Roman"/>
          <w:b/>
        </w:rPr>
        <w:t>Results</w:t>
      </w:r>
    </w:p>
    <w:p w14:paraId="5DEAA52F" w14:textId="7EEBD506" w:rsidR="00144611" w:rsidRDefault="00342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 New Roman" w:eastAsia="Times New Roman" w:hAnsi="Times New Roman" w:cs="Times New Roman"/>
        </w:rPr>
      </w:pPr>
      <w:r>
        <w:rPr>
          <w:rFonts w:ascii="Times New Roman" w:eastAsia="Times New Roman" w:hAnsi="Times New Roman" w:cs="Times New Roman"/>
        </w:rPr>
        <w:tab/>
        <w:t>We first discuss study selection and present a narrative review of psilocybin's effects on various cognitive domains. We then report the results of our meta-analysis, examining psilocybin's acute effects on reaction times and accuracy across different cognitive tasks, including moderation analyses for factors such as dosage, timing, and task sensitivity. F</w:t>
      </w:r>
      <w:r w:rsidR="00853966">
        <w:rPr>
          <w:rFonts w:ascii="Times New Roman" w:eastAsia="Times New Roman" w:hAnsi="Times New Roman" w:cs="Times New Roman"/>
        </w:rPr>
        <w:t>i</w:t>
      </w:r>
      <w:r>
        <w:rPr>
          <w:rFonts w:ascii="Times New Roman" w:eastAsia="Times New Roman" w:hAnsi="Times New Roman" w:cs="Times New Roman"/>
        </w:rPr>
        <w:t>nally, we assess the publication bias.</w:t>
      </w:r>
    </w:p>
    <w:p w14:paraId="5DEAA530" w14:textId="77777777" w:rsidR="00144611" w:rsidRDefault="00342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Courier New" w:eastAsia="Courier New" w:hAnsi="Courier New" w:cs="Courier New"/>
        </w:rPr>
      </w:pPr>
      <w:bookmarkStart w:id="4" w:name="bookmark=id.17dp8vu" w:colFirst="0" w:colLast="0"/>
      <w:bookmarkEnd w:id="4"/>
      <w:r>
        <w:rPr>
          <w:rFonts w:ascii="Times New Roman" w:eastAsia="Times New Roman" w:hAnsi="Times New Roman" w:cs="Times New Roman"/>
          <w:b/>
        </w:rPr>
        <w:t>Study Selection</w:t>
      </w:r>
    </w:p>
    <w:p w14:paraId="473D531F" w14:textId="77777777" w:rsidR="00530473" w:rsidRDefault="003422DA" w:rsidP="00530473">
      <w:pPr>
        <w:widowControl w:val="0"/>
        <w:tabs>
          <w:tab w:val="left" w:pos="1440"/>
          <w:tab w:val="left" w:pos="2160"/>
          <w:tab w:val="left" w:pos="2880"/>
        </w:tabs>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The search yielded a total of 2543 articles, which were screened by title (Figure 1). Articles that did not meet the inclusion criteria were excluded at this stage. The remaining articles were uploaded into Rayaan (</w:t>
      </w:r>
      <w:proofErr w:type="spellStart"/>
      <w:r>
        <w:rPr>
          <w:rFonts w:ascii="Times New Roman" w:eastAsia="Times New Roman" w:hAnsi="Times New Roman" w:cs="Times New Roman"/>
        </w:rPr>
        <w:t>Ouzzani</w:t>
      </w:r>
      <w:proofErr w:type="spellEnd"/>
      <w:r>
        <w:rPr>
          <w:rFonts w:ascii="Times New Roman" w:eastAsia="Times New Roman" w:hAnsi="Times New Roman" w:cs="Times New Roman"/>
        </w:rPr>
        <w:t xml:space="preserve"> et al., 2016), duplicates were removed, and the abstracts (and full-text where applicable) were screened. The screening process was conducted by four independent </w:t>
      </w:r>
      <w:r>
        <w:rPr>
          <w:rFonts w:ascii="Times New Roman" w:eastAsia="Times New Roman" w:hAnsi="Times New Roman" w:cs="Times New Roman"/>
        </w:rPr>
        <w:lastRenderedPageBreak/>
        <w:t xml:space="preserve">authors. Eventually, a total of 13 studies were suited for the present systematic review (Table 2). One study (ID = 4) initially included in the literature review was post-hoc excluded from the subsequent meta-analysis, as this study was the only study where the measurement time point was days after substance administration, unlike the other studies with measurement time points ranged from 60 to 360 minutes. </w:t>
      </w:r>
    </w:p>
    <w:tbl>
      <w:tblPr>
        <w:tblW w:w="0" w:type="auto"/>
        <w:tblCellMar>
          <w:top w:w="15" w:type="dxa"/>
          <w:left w:w="15" w:type="dxa"/>
          <w:bottom w:w="15" w:type="dxa"/>
          <w:right w:w="15" w:type="dxa"/>
        </w:tblCellMar>
        <w:tblLook w:val="04A0" w:firstRow="1" w:lastRow="0" w:firstColumn="1" w:lastColumn="0" w:noHBand="0" w:noVBand="1"/>
      </w:tblPr>
      <w:tblGrid>
        <w:gridCol w:w="3879"/>
        <w:gridCol w:w="1192"/>
        <w:gridCol w:w="1172"/>
        <w:gridCol w:w="1163"/>
        <w:gridCol w:w="1141"/>
        <w:gridCol w:w="813"/>
      </w:tblGrid>
      <w:tr w:rsidR="00530473" w:rsidRPr="00530473" w14:paraId="5F9CF799" w14:textId="77777777" w:rsidTr="00530473">
        <w:trPr>
          <w:trHeight w:val="390"/>
        </w:trPr>
        <w:tc>
          <w:tcPr>
            <w:tcW w:w="0" w:type="auto"/>
            <w:gridSpan w:val="2"/>
            <w:tcBorders>
              <w:bottom w:val="single" w:sz="6" w:space="0" w:color="000000"/>
            </w:tcBorders>
            <w:shd w:val="clear" w:color="auto" w:fill="FFFFFF"/>
            <w:tcMar>
              <w:top w:w="0" w:type="dxa"/>
              <w:left w:w="40" w:type="dxa"/>
              <w:bottom w:w="0" w:type="dxa"/>
              <w:right w:w="40" w:type="dxa"/>
            </w:tcMar>
            <w:vAlign w:val="center"/>
            <w:hideMark/>
          </w:tcPr>
          <w:p w14:paraId="62BA1B8B" w14:textId="076C0A5C" w:rsidR="00530473" w:rsidRPr="00530473" w:rsidRDefault="00E5720A"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b/>
                <w:bCs/>
                <w:color w:val="000000"/>
                <w:lang w:val="en-DE" w:eastAsia="en-DE"/>
              </w:rPr>
              <w:t>Table 2</w:t>
            </w:r>
            <w:r w:rsidRPr="002B4198">
              <w:rPr>
                <w:rFonts w:ascii="Times New Roman" w:eastAsia="Times New Roman" w:hAnsi="Times New Roman" w:cs="Times New Roman"/>
                <w:b/>
                <w:bCs/>
                <w:color w:val="000000"/>
                <w:lang w:val="en-DE" w:eastAsia="en-DE"/>
              </w:rPr>
              <w:t xml:space="preserve">: Overview </w:t>
            </w:r>
            <w:r w:rsidR="00530473" w:rsidRPr="00530473">
              <w:rPr>
                <w:rFonts w:ascii="Times New Roman" w:eastAsia="Times New Roman" w:hAnsi="Times New Roman" w:cs="Times New Roman"/>
                <w:b/>
                <w:bCs/>
                <w:color w:val="000000"/>
                <w:lang w:val="en-DE" w:eastAsia="en-DE"/>
              </w:rPr>
              <w:t>Included studies and study IDs</w:t>
            </w:r>
          </w:p>
        </w:tc>
        <w:tc>
          <w:tcPr>
            <w:tcW w:w="0" w:type="auto"/>
            <w:tcBorders>
              <w:bottom w:val="single" w:sz="6" w:space="0" w:color="000000"/>
            </w:tcBorders>
            <w:shd w:val="clear" w:color="auto" w:fill="FFFFFF"/>
            <w:tcMar>
              <w:top w:w="0" w:type="dxa"/>
              <w:left w:w="40" w:type="dxa"/>
              <w:bottom w:w="0" w:type="dxa"/>
              <w:right w:w="40" w:type="dxa"/>
            </w:tcMar>
            <w:vAlign w:val="bottom"/>
            <w:hideMark/>
          </w:tcPr>
          <w:p w14:paraId="18BF8C19" w14:textId="77777777" w:rsidR="00530473" w:rsidRPr="00530473" w:rsidRDefault="00530473" w:rsidP="00530473">
            <w:pPr>
              <w:rPr>
                <w:rFonts w:ascii="Times New Roman" w:eastAsia="Times New Roman" w:hAnsi="Times New Roman" w:cs="Times New Roman"/>
                <w:lang w:val="en-DE" w:eastAsia="en-DE"/>
              </w:rPr>
            </w:pPr>
          </w:p>
        </w:tc>
        <w:tc>
          <w:tcPr>
            <w:tcW w:w="0" w:type="auto"/>
            <w:tcBorders>
              <w:bottom w:val="single" w:sz="6" w:space="0" w:color="000000"/>
            </w:tcBorders>
            <w:shd w:val="clear" w:color="auto" w:fill="FFFFFF"/>
            <w:tcMar>
              <w:top w:w="0" w:type="dxa"/>
              <w:left w:w="40" w:type="dxa"/>
              <w:bottom w:w="0" w:type="dxa"/>
              <w:right w:w="40" w:type="dxa"/>
            </w:tcMar>
            <w:vAlign w:val="bottom"/>
            <w:hideMark/>
          </w:tcPr>
          <w:p w14:paraId="076E6471" w14:textId="77777777" w:rsidR="00530473" w:rsidRPr="00530473" w:rsidRDefault="00530473" w:rsidP="00530473">
            <w:pPr>
              <w:rPr>
                <w:rFonts w:ascii="Times New Roman" w:eastAsia="Times New Roman" w:hAnsi="Times New Roman" w:cs="Times New Roman"/>
                <w:lang w:val="en-DE" w:eastAsia="en-DE"/>
              </w:rPr>
            </w:pPr>
          </w:p>
        </w:tc>
        <w:tc>
          <w:tcPr>
            <w:tcW w:w="0" w:type="auto"/>
            <w:tcBorders>
              <w:bottom w:val="single" w:sz="6" w:space="0" w:color="000000"/>
            </w:tcBorders>
            <w:shd w:val="clear" w:color="auto" w:fill="FFFFFF"/>
            <w:tcMar>
              <w:top w:w="0" w:type="dxa"/>
              <w:left w:w="40" w:type="dxa"/>
              <w:bottom w:w="0" w:type="dxa"/>
              <w:right w:w="40" w:type="dxa"/>
            </w:tcMar>
            <w:vAlign w:val="bottom"/>
            <w:hideMark/>
          </w:tcPr>
          <w:p w14:paraId="310FEFDC" w14:textId="77777777" w:rsidR="00530473" w:rsidRPr="00530473" w:rsidRDefault="00530473" w:rsidP="00530473">
            <w:pPr>
              <w:rPr>
                <w:rFonts w:ascii="Times New Roman" w:eastAsia="Times New Roman" w:hAnsi="Times New Roman" w:cs="Times New Roman"/>
                <w:lang w:val="en-DE" w:eastAsia="en-DE"/>
              </w:rPr>
            </w:pPr>
          </w:p>
        </w:tc>
        <w:tc>
          <w:tcPr>
            <w:tcW w:w="0" w:type="auto"/>
            <w:tcBorders>
              <w:bottom w:val="single" w:sz="6" w:space="0" w:color="000000"/>
            </w:tcBorders>
            <w:shd w:val="clear" w:color="auto" w:fill="FFFFFF"/>
            <w:tcMar>
              <w:top w:w="0" w:type="dxa"/>
              <w:left w:w="40" w:type="dxa"/>
              <w:bottom w:w="0" w:type="dxa"/>
              <w:right w:w="40" w:type="dxa"/>
            </w:tcMar>
            <w:vAlign w:val="bottom"/>
            <w:hideMark/>
          </w:tcPr>
          <w:p w14:paraId="4B719639" w14:textId="77777777" w:rsidR="00530473" w:rsidRPr="00530473" w:rsidRDefault="00530473" w:rsidP="00530473">
            <w:pPr>
              <w:rPr>
                <w:rFonts w:ascii="Times New Roman" w:eastAsia="Times New Roman" w:hAnsi="Times New Roman" w:cs="Times New Roman"/>
                <w:lang w:val="en-DE" w:eastAsia="en-DE"/>
              </w:rPr>
            </w:pPr>
          </w:p>
        </w:tc>
      </w:tr>
      <w:tr w:rsidR="002B4198" w:rsidRPr="00530473" w14:paraId="175FF154" w14:textId="77777777" w:rsidTr="00530473">
        <w:trPr>
          <w:trHeight w:val="300"/>
        </w:trPr>
        <w:tc>
          <w:tcPr>
            <w:tcW w:w="0" w:type="auto"/>
            <w:vMerge w:val="restart"/>
            <w:tcBorders>
              <w:top w:val="single" w:sz="6" w:space="0" w:color="000000"/>
              <w:bottom w:val="single" w:sz="6" w:space="0" w:color="000000"/>
            </w:tcBorders>
            <w:shd w:val="clear" w:color="auto" w:fill="FFFFFF"/>
            <w:tcMar>
              <w:top w:w="0" w:type="dxa"/>
              <w:left w:w="40" w:type="dxa"/>
              <w:bottom w:w="0" w:type="dxa"/>
              <w:right w:w="40" w:type="dxa"/>
            </w:tcMar>
            <w:vAlign w:val="center"/>
            <w:hideMark/>
          </w:tcPr>
          <w:p w14:paraId="23D3A231"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Study</w:t>
            </w:r>
          </w:p>
        </w:tc>
        <w:tc>
          <w:tcPr>
            <w:tcW w:w="0" w:type="auto"/>
            <w:vMerge w:val="restart"/>
            <w:tcBorders>
              <w:top w:val="single" w:sz="6" w:space="0" w:color="000000"/>
              <w:bottom w:val="single" w:sz="6" w:space="0" w:color="000000"/>
            </w:tcBorders>
            <w:shd w:val="clear" w:color="auto" w:fill="FFFFFF"/>
            <w:tcMar>
              <w:top w:w="0" w:type="dxa"/>
              <w:left w:w="40" w:type="dxa"/>
              <w:bottom w:w="0" w:type="dxa"/>
              <w:right w:w="40" w:type="dxa"/>
            </w:tcMar>
            <w:vAlign w:val="center"/>
            <w:hideMark/>
          </w:tcPr>
          <w:p w14:paraId="09020413"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Study ID</w:t>
            </w:r>
          </w:p>
        </w:tc>
        <w:tc>
          <w:tcPr>
            <w:tcW w:w="0" w:type="auto"/>
            <w:vMerge w:val="restart"/>
            <w:tcBorders>
              <w:top w:val="single" w:sz="6" w:space="0" w:color="000000"/>
              <w:bottom w:val="single" w:sz="6" w:space="0" w:color="000000"/>
            </w:tcBorders>
            <w:shd w:val="clear" w:color="auto" w:fill="FFFFFF"/>
            <w:tcMar>
              <w:top w:w="0" w:type="dxa"/>
              <w:left w:w="40" w:type="dxa"/>
              <w:bottom w:w="0" w:type="dxa"/>
              <w:right w:w="40" w:type="dxa"/>
            </w:tcMar>
            <w:vAlign w:val="center"/>
            <w:hideMark/>
          </w:tcPr>
          <w:p w14:paraId="2D631150"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Nr of tasks</w:t>
            </w:r>
          </w:p>
        </w:tc>
        <w:tc>
          <w:tcPr>
            <w:tcW w:w="0" w:type="auto"/>
            <w:gridSpan w:val="3"/>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4C9BFDAF"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number of extracted effect sizes</w:t>
            </w:r>
          </w:p>
        </w:tc>
      </w:tr>
      <w:tr w:rsidR="002B4198" w:rsidRPr="00530473" w14:paraId="2DA49F7C" w14:textId="77777777" w:rsidTr="00530473">
        <w:trPr>
          <w:trHeight w:val="300"/>
        </w:trPr>
        <w:tc>
          <w:tcPr>
            <w:tcW w:w="0" w:type="auto"/>
            <w:vMerge/>
            <w:tcBorders>
              <w:top w:val="single" w:sz="6" w:space="0" w:color="000000"/>
              <w:bottom w:val="single" w:sz="6" w:space="0" w:color="000000"/>
            </w:tcBorders>
            <w:vAlign w:val="center"/>
            <w:hideMark/>
          </w:tcPr>
          <w:p w14:paraId="56B9D352" w14:textId="77777777" w:rsidR="00530473" w:rsidRPr="00530473" w:rsidRDefault="00530473" w:rsidP="00530473">
            <w:pPr>
              <w:rPr>
                <w:rFonts w:ascii="Times New Roman" w:eastAsia="Times New Roman" w:hAnsi="Times New Roman" w:cs="Times New Roman"/>
                <w:lang w:val="en-DE" w:eastAsia="en-DE"/>
              </w:rPr>
            </w:pPr>
          </w:p>
        </w:tc>
        <w:tc>
          <w:tcPr>
            <w:tcW w:w="0" w:type="auto"/>
            <w:vMerge/>
            <w:tcBorders>
              <w:top w:val="single" w:sz="6" w:space="0" w:color="000000"/>
              <w:bottom w:val="single" w:sz="6" w:space="0" w:color="000000"/>
            </w:tcBorders>
            <w:vAlign w:val="center"/>
            <w:hideMark/>
          </w:tcPr>
          <w:p w14:paraId="31ECC649" w14:textId="77777777" w:rsidR="00530473" w:rsidRPr="00530473" w:rsidRDefault="00530473" w:rsidP="00530473">
            <w:pPr>
              <w:rPr>
                <w:rFonts w:ascii="Times New Roman" w:eastAsia="Times New Roman" w:hAnsi="Times New Roman" w:cs="Times New Roman"/>
                <w:lang w:val="en-DE" w:eastAsia="en-DE"/>
              </w:rPr>
            </w:pPr>
          </w:p>
        </w:tc>
        <w:tc>
          <w:tcPr>
            <w:tcW w:w="0" w:type="auto"/>
            <w:vMerge/>
            <w:tcBorders>
              <w:top w:val="single" w:sz="6" w:space="0" w:color="000000"/>
              <w:bottom w:val="single" w:sz="6" w:space="0" w:color="000000"/>
            </w:tcBorders>
            <w:vAlign w:val="center"/>
            <w:hideMark/>
          </w:tcPr>
          <w:p w14:paraId="637F9BA9" w14:textId="77777777" w:rsidR="00530473" w:rsidRPr="00530473" w:rsidRDefault="00530473" w:rsidP="00530473">
            <w:pPr>
              <w:rPr>
                <w:rFonts w:ascii="Times New Roman" w:eastAsia="Times New Roman" w:hAnsi="Times New Roman" w:cs="Times New Roman"/>
                <w:lang w:val="en-DE" w:eastAsia="en-DE"/>
              </w:rPr>
            </w:pPr>
          </w:p>
        </w:tc>
        <w:tc>
          <w:tcPr>
            <w:tcW w:w="0" w:type="auto"/>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318384A0"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Total</w:t>
            </w:r>
          </w:p>
        </w:tc>
        <w:tc>
          <w:tcPr>
            <w:tcW w:w="0" w:type="auto"/>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1D83CCFD"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ACC</w:t>
            </w:r>
          </w:p>
        </w:tc>
        <w:tc>
          <w:tcPr>
            <w:tcW w:w="0" w:type="auto"/>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645BB7BC"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RT</w:t>
            </w:r>
          </w:p>
        </w:tc>
      </w:tr>
      <w:tr w:rsidR="00E5720A" w:rsidRPr="00530473" w14:paraId="48952422" w14:textId="77777777" w:rsidTr="00530473">
        <w:trPr>
          <w:trHeight w:val="300"/>
        </w:trPr>
        <w:tc>
          <w:tcPr>
            <w:tcW w:w="0" w:type="auto"/>
            <w:tcBorders>
              <w:top w:val="single" w:sz="6" w:space="0" w:color="000000"/>
            </w:tcBorders>
            <w:shd w:val="clear" w:color="auto" w:fill="FFFFFF"/>
            <w:tcMar>
              <w:top w:w="0" w:type="dxa"/>
              <w:left w:w="40" w:type="dxa"/>
              <w:bottom w:w="0" w:type="dxa"/>
              <w:right w:w="40" w:type="dxa"/>
            </w:tcMar>
            <w:hideMark/>
          </w:tcPr>
          <w:p w14:paraId="1F871903"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Barrett et al (2018)</w:t>
            </w:r>
          </w:p>
        </w:tc>
        <w:tc>
          <w:tcPr>
            <w:tcW w:w="0" w:type="auto"/>
            <w:tcBorders>
              <w:top w:val="single" w:sz="6" w:space="0" w:color="000000"/>
            </w:tcBorders>
            <w:shd w:val="clear" w:color="auto" w:fill="FFFFFF"/>
            <w:tcMar>
              <w:top w:w="0" w:type="dxa"/>
              <w:left w:w="40" w:type="dxa"/>
              <w:bottom w:w="0" w:type="dxa"/>
              <w:right w:w="40" w:type="dxa"/>
            </w:tcMar>
            <w:vAlign w:val="bottom"/>
            <w:hideMark/>
          </w:tcPr>
          <w:p w14:paraId="1CD74E13"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tcBorders>
              <w:top w:val="single" w:sz="6" w:space="0" w:color="000000"/>
            </w:tcBorders>
            <w:shd w:val="clear" w:color="auto" w:fill="FFFFFF"/>
            <w:tcMar>
              <w:top w:w="0" w:type="dxa"/>
              <w:left w:w="40" w:type="dxa"/>
              <w:bottom w:w="0" w:type="dxa"/>
              <w:right w:w="40" w:type="dxa"/>
            </w:tcMar>
            <w:vAlign w:val="bottom"/>
            <w:hideMark/>
          </w:tcPr>
          <w:p w14:paraId="0ADAFB68"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3</w:t>
            </w:r>
          </w:p>
        </w:tc>
        <w:tc>
          <w:tcPr>
            <w:tcW w:w="0" w:type="auto"/>
            <w:tcBorders>
              <w:top w:val="single" w:sz="6" w:space="0" w:color="000000"/>
            </w:tcBorders>
            <w:shd w:val="clear" w:color="auto" w:fill="FFFFFF"/>
            <w:tcMar>
              <w:top w:w="0" w:type="dxa"/>
              <w:left w:w="40" w:type="dxa"/>
              <w:bottom w:w="0" w:type="dxa"/>
              <w:right w:w="40" w:type="dxa"/>
            </w:tcMar>
            <w:vAlign w:val="bottom"/>
            <w:hideMark/>
          </w:tcPr>
          <w:p w14:paraId="0DEB89B8"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15</w:t>
            </w:r>
          </w:p>
        </w:tc>
        <w:tc>
          <w:tcPr>
            <w:tcW w:w="0" w:type="auto"/>
            <w:tcBorders>
              <w:top w:val="single" w:sz="6" w:space="0" w:color="000000"/>
            </w:tcBorders>
            <w:shd w:val="clear" w:color="auto" w:fill="FFFFFF"/>
            <w:tcMar>
              <w:top w:w="0" w:type="dxa"/>
              <w:left w:w="40" w:type="dxa"/>
              <w:bottom w:w="0" w:type="dxa"/>
              <w:right w:w="40" w:type="dxa"/>
            </w:tcMar>
            <w:vAlign w:val="bottom"/>
            <w:hideMark/>
          </w:tcPr>
          <w:p w14:paraId="200F0F85"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9</w:t>
            </w:r>
          </w:p>
        </w:tc>
        <w:tc>
          <w:tcPr>
            <w:tcW w:w="0" w:type="auto"/>
            <w:tcBorders>
              <w:top w:val="single" w:sz="6" w:space="0" w:color="000000"/>
            </w:tcBorders>
            <w:shd w:val="clear" w:color="auto" w:fill="FFFFFF"/>
            <w:tcMar>
              <w:top w:w="0" w:type="dxa"/>
              <w:left w:w="40" w:type="dxa"/>
              <w:bottom w:w="0" w:type="dxa"/>
              <w:right w:w="40" w:type="dxa"/>
            </w:tcMar>
            <w:vAlign w:val="bottom"/>
            <w:hideMark/>
          </w:tcPr>
          <w:p w14:paraId="7CD31337"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6</w:t>
            </w:r>
          </w:p>
        </w:tc>
      </w:tr>
      <w:tr w:rsidR="00E5720A" w:rsidRPr="00530473" w14:paraId="535F067E" w14:textId="77777777" w:rsidTr="00530473">
        <w:trPr>
          <w:trHeight w:val="259"/>
        </w:trPr>
        <w:tc>
          <w:tcPr>
            <w:tcW w:w="0" w:type="auto"/>
            <w:shd w:val="clear" w:color="auto" w:fill="FFFFFF"/>
            <w:tcMar>
              <w:top w:w="0" w:type="dxa"/>
              <w:left w:w="40" w:type="dxa"/>
              <w:bottom w:w="0" w:type="dxa"/>
              <w:right w:w="40" w:type="dxa"/>
            </w:tcMar>
            <w:hideMark/>
          </w:tcPr>
          <w:p w14:paraId="1C980FA2"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Carter et al (2015)</w:t>
            </w:r>
          </w:p>
        </w:tc>
        <w:tc>
          <w:tcPr>
            <w:tcW w:w="0" w:type="auto"/>
            <w:shd w:val="clear" w:color="auto" w:fill="FFFFFF"/>
            <w:tcMar>
              <w:top w:w="0" w:type="dxa"/>
              <w:left w:w="40" w:type="dxa"/>
              <w:bottom w:w="0" w:type="dxa"/>
              <w:right w:w="40" w:type="dxa"/>
            </w:tcMar>
            <w:vAlign w:val="bottom"/>
            <w:hideMark/>
          </w:tcPr>
          <w:p w14:paraId="109C872E"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2</w:t>
            </w:r>
          </w:p>
        </w:tc>
        <w:tc>
          <w:tcPr>
            <w:tcW w:w="0" w:type="auto"/>
            <w:shd w:val="clear" w:color="auto" w:fill="FFFFFF"/>
            <w:tcMar>
              <w:top w:w="0" w:type="dxa"/>
              <w:left w:w="40" w:type="dxa"/>
              <w:bottom w:w="0" w:type="dxa"/>
              <w:right w:w="40" w:type="dxa"/>
            </w:tcMar>
            <w:vAlign w:val="bottom"/>
            <w:hideMark/>
          </w:tcPr>
          <w:p w14:paraId="5FFAB492"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2</w:t>
            </w:r>
          </w:p>
        </w:tc>
        <w:tc>
          <w:tcPr>
            <w:tcW w:w="0" w:type="auto"/>
            <w:shd w:val="clear" w:color="auto" w:fill="FFFFFF"/>
            <w:tcMar>
              <w:top w:w="0" w:type="dxa"/>
              <w:left w:w="40" w:type="dxa"/>
              <w:bottom w:w="0" w:type="dxa"/>
              <w:right w:w="40" w:type="dxa"/>
            </w:tcMar>
            <w:vAlign w:val="bottom"/>
            <w:hideMark/>
          </w:tcPr>
          <w:p w14:paraId="2FEE1C1B"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2</w:t>
            </w:r>
          </w:p>
        </w:tc>
        <w:tc>
          <w:tcPr>
            <w:tcW w:w="0" w:type="auto"/>
            <w:shd w:val="clear" w:color="auto" w:fill="FFFFFF"/>
            <w:tcMar>
              <w:top w:w="0" w:type="dxa"/>
              <w:left w:w="40" w:type="dxa"/>
              <w:bottom w:w="0" w:type="dxa"/>
              <w:right w:w="40" w:type="dxa"/>
            </w:tcMar>
            <w:vAlign w:val="bottom"/>
            <w:hideMark/>
          </w:tcPr>
          <w:p w14:paraId="5CB91432"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2</w:t>
            </w:r>
          </w:p>
        </w:tc>
        <w:tc>
          <w:tcPr>
            <w:tcW w:w="0" w:type="auto"/>
            <w:shd w:val="clear" w:color="auto" w:fill="FFFFFF"/>
            <w:tcMar>
              <w:top w:w="0" w:type="dxa"/>
              <w:left w:w="40" w:type="dxa"/>
              <w:bottom w:w="0" w:type="dxa"/>
              <w:right w:w="40" w:type="dxa"/>
            </w:tcMar>
            <w:vAlign w:val="bottom"/>
            <w:hideMark/>
          </w:tcPr>
          <w:p w14:paraId="43489A94"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0</w:t>
            </w:r>
          </w:p>
        </w:tc>
      </w:tr>
      <w:tr w:rsidR="00E5720A" w:rsidRPr="00530473" w14:paraId="156A8244" w14:textId="77777777" w:rsidTr="00530473">
        <w:trPr>
          <w:trHeight w:val="259"/>
        </w:trPr>
        <w:tc>
          <w:tcPr>
            <w:tcW w:w="0" w:type="auto"/>
            <w:shd w:val="clear" w:color="auto" w:fill="FFFFFF"/>
            <w:tcMar>
              <w:top w:w="0" w:type="dxa"/>
              <w:left w:w="40" w:type="dxa"/>
              <w:bottom w:w="0" w:type="dxa"/>
              <w:right w:w="40" w:type="dxa"/>
            </w:tcMar>
            <w:hideMark/>
          </w:tcPr>
          <w:p w14:paraId="7F88EABC"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Cavanna et al (2022)</w:t>
            </w:r>
          </w:p>
        </w:tc>
        <w:tc>
          <w:tcPr>
            <w:tcW w:w="0" w:type="auto"/>
            <w:shd w:val="clear" w:color="auto" w:fill="FFFFFF"/>
            <w:tcMar>
              <w:top w:w="0" w:type="dxa"/>
              <w:left w:w="40" w:type="dxa"/>
              <w:bottom w:w="0" w:type="dxa"/>
              <w:right w:w="40" w:type="dxa"/>
            </w:tcMar>
            <w:vAlign w:val="bottom"/>
            <w:hideMark/>
          </w:tcPr>
          <w:p w14:paraId="42A21BC4"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3</w:t>
            </w:r>
          </w:p>
        </w:tc>
        <w:tc>
          <w:tcPr>
            <w:tcW w:w="0" w:type="auto"/>
            <w:shd w:val="clear" w:color="auto" w:fill="FFFFFF"/>
            <w:tcMar>
              <w:top w:w="0" w:type="dxa"/>
              <w:left w:w="40" w:type="dxa"/>
              <w:bottom w:w="0" w:type="dxa"/>
              <w:right w:w="40" w:type="dxa"/>
            </w:tcMar>
            <w:vAlign w:val="bottom"/>
            <w:hideMark/>
          </w:tcPr>
          <w:p w14:paraId="60101694"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3</w:t>
            </w:r>
          </w:p>
        </w:tc>
        <w:tc>
          <w:tcPr>
            <w:tcW w:w="0" w:type="auto"/>
            <w:shd w:val="clear" w:color="auto" w:fill="FFFFFF"/>
            <w:tcMar>
              <w:top w:w="0" w:type="dxa"/>
              <w:left w:w="40" w:type="dxa"/>
              <w:bottom w:w="0" w:type="dxa"/>
              <w:right w:w="40" w:type="dxa"/>
            </w:tcMar>
            <w:vAlign w:val="bottom"/>
            <w:hideMark/>
          </w:tcPr>
          <w:p w14:paraId="643F0694"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6</w:t>
            </w:r>
          </w:p>
        </w:tc>
        <w:tc>
          <w:tcPr>
            <w:tcW w:w="0" w:type="auto"/>
            <w:shd w:val="clear" w:color="auto" w:fill="FFFFFF"/>
            <w:tcMar>
              <w:top w:w="0" w:type="dxa"/>
              <w:left w:w="40" w:type="dxa"/>
              <w:bottom w:w="0" w:type="dxa"/>
              <w:right w:w="40" w:type="dxa"/>
            </w:tcMar>
            <w:vAlign w:val="bottom"/>
            <w:hideMark/>
          </w:tcPr>
          <w:p w14:paraId="60EC3B4C"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3</w:t>
            </w:r>
          </w:p>
        </w:tc>
        <w:tc>
          <w:tcPr>
            <w:tcW w:w="0" w:type="auto"/>
            <w:shd w:val="clear" w:color="auto" w:fill="FFFFFF"/>
            <w:tcMar>
              <w:top w:w="0" w:type="dxa"/>
              <w:left w:w="40" w:type="dxa"/>
              <w:bottom w:w="0" w:type="dxa"/>
              <w:right w:w="40" w:type="dxa"/>
            </w:tcMar>
            <w:vAlign w:val="bottom"/>
            <w:hideMark/>
          </w:tcPr>
          <w:p w14:paraId="61ABC326"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3</w:t>
            </w:r>
          </w:p>
        </w:tc>
      </w:tr>
      <w:tr w:rsidR="00E5720A" w:rsidRPr="00530473" w14:paraId="6B723D7D" w14:textId="77777777" w:rsidTr="00530473">
        <w:trPr>
          <w:trHeight w:val="259"/>
        </w:trPr>
        <w:tc>
          <w:tcPr>
            <w:tcW w:w="0" w:type="auto"/>
            <w:shd w:val="clear" w:color="auto" w:fill="FFFFFF"/>
            <w:tcMar>
              <w:top w:w="0" w:type="dxa"/>
              <w:left w:w="40" w:type="dxa"/>
              <w:bottom w:w="0" w:type="dxa"/>
              <w:right w:w="40" w:type="dxa"/>
            </w:tcMar>
            <w:hideMark/>
          </w:tcPr>
          <w:p w14:paraId="32142F0A"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Doss et al (2021)</w:t>
            </w:r>
          </w:p>
        </w:tc>
        <w:tc>
          <w:tcPr>
            <w:tcW w:w="0" w:type="auto"/>
            <w:shd w:val="clear" w:color="auto" w:fill="FFFFFF"/>
            <w:tcMar>
              <w:top w:w="0" w:type="dxa"/>
              <w:left w:w="40" w:type="dxa"/>
              <w:bottom w:w="0" w:type="dxa"/>
              <w:right w:w="40" w:type="dxa"/>
            </w:tcMar>
            <w:vAlign w:val="bottom"/>
            <w:hideMark/>
          </w:tcPr>
          <w:p w14:paraId="4B5D5F49"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4</w:t>
            </w:r>
          </w:p>
        </w:tc>
        <w:tc>
          <w:tcPr>
            <w:tcW w:w="0" w:type="auto"/>
            <w:shd w:val="clear" w:color="auto" w:fill="FFFFFF"/>
            <w:tcMar>
              <w:top w:w="0" w:type="dxa"/>
              <w:left w:w="40" w:type="dxa"/>
              <w:bottom w:w="0" w:type="dxa"/>
              <w:right w:w="40" w:type="dxa"/>
            </w:tcMar>
            <w:vAlign w:val="bottom"/>
            <w:hideMark/>
          </w:tcPr>
          <w:p w14:paraId="581D4664"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0</w:t>
            </w:r>
          </w:p>
        </w:tc>
        <w:tc>
          <w:tcPr>
            <w:tcW w:w="0" w:type="auto"/>
            <w:shd w:val="clear" w:color="auto" w:fill="FFFFFF"/>
            <w:tcMar>
              <w:top w:w="0" w:type="dxa"/>
              <w:left w:w="40" w:type="dxa"/>
              <w:bottom w:w="0" w:type="dxa"/>
              <w:right w:w="40" w:type="dxa"/>
            </w:tcMar>
            <w:vAlign w:val="bottom"/>
            <w:hideMark/>
          </w:tcPr>
          <w:p w14:paraId="7622401E"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0</w:t>
            </w:r>
          </w:p>
        </w:tc>
        <w:tc>
          <w:tcPr>
            <w:tcW w:w="0" w:type="auto"/>
            <w:shd w:val="clear" w:color="auto" w:fill="FFFFFF"/>
            <w:tcMar>
              <w:top w:w="0" w:type="dxa"/>
              <w:left w:w="40" w:type="dxa"/>
              <w:bottom w:w="0" w:type="dxa"/>
              <w:right w:w="40" w:type="dxa"/>
            </w:tcMar>
            <w:vAlign w:val="bottom"/>
            <w:hideMark/>
          </w:tcPr>
          <w:p w14:paraId="1B02BE47"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0</w:t>
            </w:r>
          </w:p>
        </w:tc>
        <w:tc>
          <w:tcPr>
            <w:tcW w:w="0" w:type="auto"/>
            <w:shd w:val="clear" w:color="auto" w:fill="FFFFFF"/>
            <w:tcMar>
              <w:top w:w="0" w:type="dxa"/>
              <w:left w:w="40" w:type="dxa"/>
              <w:bottom w:w="0" w:type="dxa"/>
              <w:right w:w="40" w:type="dxa"/>
            </w:tcMar>
            <w:vAlign w:val="bottom"/>
            <w:hideMark/>
          </w:tcPr>
          <w:p w14:paraId="534A7B8A"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0</w:t>
            </w:r>
          </w:p>
        </w:tc>
      </w:tr>
      <w:tr w:rsidR="00E5720A" w:rsidRPr="00530473" w14:paraId="117F8E0D" w14:textId="77777777" w:rsidTr="00530473">
        <w:trPr>
          <w:trHeight w:val="210"/>
        </w:trPr>
        <w:tc>
          <w:tcPr>
            <w:tcW w:w="0" w:type="auto"/>
            <w:shd w:val="clear" w:color="auto" w:fill="FFFFFF"/>
            <w:tcMar>
              <w:top w:w="0" w:type="dxa"/>
              <w:left w:w="40" w:type="dxa"/>
              <w:bottom w:w="0" w:type="dxa"/>
              <w:right w:w="40" w:type="dxa"/>
            </w:tcMar>
            <w:hideMark/>
          </w:tcPr>
          <w:p w14:paraId="18ADD4E1" w14:textId="77777777" w:rsidR="00530473" w:rsidRPr="00530473" w:rsidRDefault="00530473" w:rsidP="00530473">
            <w:pPr>
              <w:ind w:left="-40"/>
              <w:jc w:val="both"/>
              <w:rPr>
                <w:rFonts w:ascii="Times New Roman" w:eastAsia="Times New Roman" w:hAnsi="Times New Roman" w:cs="Times New Roman"/>
                <w:lang w:val="en-DE" w:eastAsia="en-DE"/>
              </w:rPr>
            </w:pPr>
            <w:proofErr w:type="spellStart"/>
            <w:r w:rsidRPr="00530473">
              <w:rPr>
                <w:rFonts w:ascii="Times New Roman" w:eastAsia="Times New Roman" w:hAnsi="Times New Roman" w:cs="Times New Roman"/>
                <w:color w:val="000000"/>
                <w:lang w:val="en-DE" w:eastAsia="en-DE"/>
              </w:rPr>
              <w:t>Gouzoulis</w:t>
            </w:r>
            <w:proofErr w:type="spellEnd"/>
            <w:r w:rsidRPr="00530473">
              <w:rPr>
                <w:rFonts w:ascii="Times New Roman" w:eastAsia="Times New Roman" w:hAnsi="Times New Roman" w:cs="Times New Roman"/>
                <w:color w:val="000000"/>
                <w:lang w:val="en-DE" w:eastAsia="en-DE"/>
              </w:rPr>
              <w:t>-Mayfrank et al. (2002)</w:t>
            </w:r>
          </w:p>
        </w:tc>
        <w:tc>
          <w:tcPr>
            <w:tcW w:w="0" w:type="auto"/>
            <w:shd w:val="clear" w:color="auto" w:fill="FFFFFF"/>
            <w:tcMar>
              <w:top w:w="0" w:type="dxa"/>
              <w:left w:w="40" w:type="dxa"/>
              <w:bottom w:w="0" w:type="dxa"/>
              <w:right w:w="40" w:type="dxa"/>
            </w:tcMar>
            <w:vAlign w:val="bottom"/>
            <w:hideMark/>
          </w:tcPr>
          <w:p w14:paraId="5FCC87F0"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5</w:t>
            </w:r>
          </w:p>
        </w:tc>
        <w:tc>
          <w:tcPr>
            <w:tcW w:w="0" w:type="auto"/>
            <w:shd w:val="clear" w:color="auto" w:fill="FFFFFF"/>
            <w:tcMar>
              <w:top w:w="0" w:type="dxa"/>
              <w:left w:w="40" w:type="dxa"/>
              <w:bottom w:w="0" w:type="dxa"/>
              <w:right w:w="40" w:type="dxa"/>
            </w:tcMar>
            <w:vAlign w:val="bottom"/>
            <w:hideMark/>
          </w:tcPr>
          <w:p w14:paraId="4487F7FA"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shd w:val="clear" w:color="auto" w:fill="FFFFFF"/>
            <w:tcMar>
              <w:top w:w="0" w:type="dxa"/>
              <w:left w:w="40" w:type="dxa"/>
              <w:bottom w:w="0" w:type="dxa"/>
              <w:right w:w="40" w:type="dxa"/>
            </w:tcMar>
            <w:vAlign w:val="bottom"/>
            <w:hideMark/>
          </w:tcPr>
          <w:p w14:paraId="2F40F9FA"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shd w:val="clear" w:color="auto" w:fill="FFFFFF"/>
            <w:tcMar>
              <w:top w:w="0" w:type="dxa"/>
              <w:left w:w="40" w:type="dxa"/>
              <w:bottom w:w="0" w:type="dxa"/>
              <w:right w:w="40" w:type="dxa"/>
            </w:tcMar>
            <w:vAlign w:val="bottom"/>
            <w:hideMark/>
          </w:tcPr>
          <w:p w14:paraId="6AC2C296"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0</w:t>
            </w:r>
          </w:p>
        </w:tc>
        <w:tc>
          <w:tcPr>
            <w:tcW w:w="0" w:type="auto"/>
            <w:shd w:val="clear" w:color="auto" w:fill="FFFFFF"/>
            <w:tcMar>
              <w:top w:w="0" w:type="dxa"/>
              <w:left w:w="40" w:type="dxa"/>
              <w:bottom w:w="0" w:type="dxa"/>
              <w:right w:w="40" w:type="dxa"/>
            </w:tcMar>
            <w:vAlign w:val="bottom"/>
            <w:hideMark/>
          </w:tcPr>
          <w:p w14:paraId="4CAFDB5E"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r>
      <w:tr w:rsidR="00E5720A" w:rsidRPr="00530473" w14:paraId="17B0C0E9" w14:textId="77777777" w:rsidTr="00530473">
        <w:trPr>
          <w:trHeight w:val="259"/>
        </w:trPr>
        <w:tc>
          <w:tcPr>
            <w:tcW w:w="0" w:type="auto"/>
            <w:shd w:val="clear" w:color="auto" w:fill="FFFFFF"/>
            <w:tcMar>
              <w:top w:w="0" w:type="dxa"/>
              <w:left w:w="40" w:type="dxa"/>
              <w:bottom w:w="0" w:type="dxa"/>
              <w:right w:w="40" w:type="dxa"/>
            </w:tcMar>
            <w:hideMark/>
          </w:tcPr>
          <w:p w14:paraId="65794796"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Hasler et al (2004)</w:t>
            </w:r>
          </w:p>
        </w:tc>
        <w:tc>
          <w:tcPr>
            <w:tcW w:w="0" w:type="auto"/>
            <w:shd w:val="clear" w:color="auto" w:fill="FFFFFF"/>
            <w:tcMar>
              <w:top w:w="0" w:type="dxa"/>
              <w:left w:w="40" w:type="dxa"/>
              <w:bottom w:w="0" w:type="dxa"/>
              <w:right w:w="40" w:type="dxa"/>
            </w:tcMar>
            <w:vAlign w:val="bottom"/>
            <w:hideMark/>
          </w:tcPr>
          <w:p w14:paraId="78BC2E8A"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6</w:t>
            </w:r>
          </w:p>
        </w:tc>
        <w:tc>
          <w:tcPr>
            <w:tcW w:w="0" w:type="auto"/>
            <w:shd w:val="clear" w:color="auto" w:fill="FFFFFF"/>
            <w:tcMar>
              <w:top w:w="0" w:type="dxa"/>
              <w:left w:w="40" w:type="dxa"/>
              <w:bottom w:w="0" w:type="dxa"/>
              <w:right w:w="40" w:type="dxa"/>
            </w:tcMar>
            <w:vAlign w:val="bottom"/>
            <w:hideMark/>
          </w:tcPr>
          <w:p w14:paraId="6652574C"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shd w:val="clear" w:color="auto" w:fill="FFFFFF"/>
            <w:tcMar>
              <w:top w:w="0" w:type="dxa"/>
              <w:left w:w="40" w:type="dxa"/>
              <w:bottom w:w="0" w:type="dxa"/>
              <w:right w:w="40" w:type="dxa"/>
            </w:tcMar>
            <w:vAlign w:val="bottom"/>
            <w:hideMark/>
          </w:tcPr>
          <w:p w14:paraId="7FEBDF7D"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4</w:t>
            </w:r>
          </w:p>
        </w:tc>
        <w:tc>
          <w:tcPr>
            <w:tcW w:w="0" w:type="auto"/>
            <w:shd w:val="clear" w:color="auto" w:fill="FFFFFF"/>
            <w:tcMar>
              <w:top w:w="0" w:type="dxa"/>
              <w:left w:w="40" w:type="dxa"/>
              <w:bottom w:w="0" w:type="dxa"/>
              <w:right w:w="40" w:type="dxa"/>
            </w:tcMar>
            <w:vAlign w:val="bottom"/>
            <w:hideMark/>
          </w:tcPr>
          <w:p w14:paraId="16E9B94C"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4</w:t>
            </w:r>
          </w:p>
        </w:tc>
        <w:tc>
          <w:tcPr>
            <w:tcW w:w="0" w:type="auto"/>
            <w:shd w:val="clear" w:color="auto" w:fill="FFFFFF"/>
            <w:tcMar>
              <w:top w:w="0" w:type="dxa"/>
              <w:left w:w="40" w:type="dxa"/>
              <w:bottom w:w="0" w:type="dxa"/>
              <w:right w:w="40" w:type="dxa"/>
            </w:tcMar>
            <w:vAlign w:val="bottom"/>
            <w:hideMark/>
          </w:tcPr>
          <w:p w14:paraId="1F7647E4"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0</w:t>
            </w:r>
          </w:p>
        </w:tc>
      </w:tr>
      <w:tr w:rsidR="00E5720A" w:rsidRPr="00530473" w14:paraId="50F6E995" w14:textId="77777777" w:rsidTr="00530473">
        <w:trPr>
          <w:trHeight w:val="259"/>
        </w:trPr>
        <w:tc>
          <w:tcPr>
            <w:tcW w:w="0" w:type="auto"/>
            <w:shd w:val="clear" w:color="auto" w:fill="FFFFFF"/>
            <w:tcMar>
              <w:top w:w="0" w:type="dxa"/>
              <w:left w:w="40" w:type="dxa"/>
              <w:bottom w:w="0" w:type="dxa"/>
              <w:right w:w="40" w:type="dxa"/>
            </w:tcMar>
            <w:hideMark/>
          </w:tcPr>
          <w:p w14:paraId="72E55E44" w14:textId="77777777" w:rsidR="00530473" w:rsidRPr="00530473" w:rsidRDefault="00530473" w:rsidP="00530473">
            <w:pPr>
              <w:ind w:left="-40"/>
              <w:jc w:val="both"/>
              <w:rPr>
                <w:rFonts w:ascii="Times New Roman" w:eastAsia="Times New Roman" w:hAnsi="Times New Roman" w:cs="Times New Roman"/>
                <w:lang w:val="en-DE" w:eastAsia="en-DE"/>
              </w:rPr>
            </w:pPr>
            <w:proofErr w:type="spellStart"/>
            <w:r w:rsidRPr="00530473">
              <w:rPr>
                <w:rFonts w:ascii="Times New Roman" w:eastAsia="Times New Roman" w:hAnsi="Times New Roman" w:cs="Times New Roman"/>
                <w:color w:val="000000"/>
                <w:lang w:val="en-DE" w:eastAsia="en-DE"/>
              </w:rPr>
              <w:t>Kometer</w:t>
            </w:r>
            <w:proofErr w:type="spellEnd"/>
            <w:r w:rsidRPr="00530473">
              <w:rPr>
                <w:rFonts w:ascii="Times New Roman" w:eastAsia="Times New Roman" w:hAnsi="Times New Roman" w:cs="Times New Roman"/>
                <w:color w:val="000000"/>
                <w:lang w:val="en-DE" w:eastAsia="en-DE"/>
              </w:rPr>
              <w:t xml:space="preserve"> et al (2012)</w:t>
            </w:r>
          </w:p>
        </w:tc>
        <w:tc>
          <w:tcPr>
            <w:tcW w:w="0" w:type="auto"/>
            <w:shd w:val="clear" w:color="auto" w:fill="FFFFFF"/>
            <w:tcMar>
              <w:top w:w="0" w:type="dxa"/>
              <w:left w:w="40" w:type="dxa"/>
              <w:bottom w:w="0" w:type="dxa"/>
              <w:right w:w="40" w:type="dxa"/>
            </w:tcMar>
            <w:vAlign w:val="bottom"/>
            <w:hideMark/>
          </w:tcPr>
          <w:p w14:paraId="645E5CAC"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7</w:t>
            </w:r>
          </w:p>
        </w:tc>
        <w:tc>
          <w:tcPr>
            <w:tcW w:w="0" w:type="auto"/>
            <w:shd w:val="clear" w:color="auto" w:fill="FFFFFF"/>
            <w:tcMar>
              <w:top w:w="0" w:type="dxa"/>
              <w:left w:w="40" w:type="dxa"/>
              <w:bottom w:w="0" w:type="dxa"/>
              <w:right w:w="40" w:type="dxa"/>
            </w:tcMar>
            <w:vAlign w:val="bottom"/>
            <w:hideMark/>
          </w:tcPr>
          <w:p w14:paraId="13162A00"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shd w:val="clear" w:color="auto" w:fill="FFFFFF"/>
            <w:tcMar>
              <w:top w:w="0" w:type="dxa"/>
              <w:left w:w="40" w:type="dxa"/>
              <w:bottom w:w="0" w:type="dxa"/>
              <w:right w:w="40" w:type="dxa"/>
            </w:tcMar>
            <w:vAlign w:val="bottom"/>
            <w:hideMark/>
          </w:tcPr>
          <w:p w14:paraId="5455EA9C"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shd w:val="clear" w:color="auto" w:fill="FFFFFF"/>
            <w:tcMar>
              <w:top w:w="0" w:type="dxa"/>
              <w:left w:w="40" w:type="dxa"/>
              <w:bottom w:w="0" w:type="dxa"/>
              <w:right w:w="40" w:type="dxa"/>
            </w:tcMar>
            <w:vAlign w:val="bottom"/>
            <w:hideMark/>
          </w:tcPr>
          <w:p w14:paraId="7F164DBE"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shd w:val="clear" w:color="auto" w:fill="FFFFFF"/>
            <w:tcMar>
              <w:top w:w="0" w:type="dxa"/>
              <w:left w:w="40" w:type="dxa"/>
              <w:bottom w:w="0" w:type="dxa"/>
              <w:right w:w="40" w:type="dxa"/>
            </w:tcMar>
            <w:vAlign w:val="bottom"/>
            <w:hideMark/>
          </w:tcPr>
          <w:p w14:paraId="15B16185"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0</w:t>
            </w:r>
          </w:p>
        </w:tc>
      </w:tr>
      <w:tr w:rsidR="00E5720A" w:rsidRPr="00530473" w14:paraId="4E425DFC" w14:textId="77777777" w:rsidTr="00530473">
        <w:trPr>
          <w:trHeight w:val="259"/>
        </w:trPr>
        <w:tc>
          <w:tcPr>
            <w:tcW w:w="0" w:type="auto"/>
            <w:shd w:val="clear" w:color="auto" w:fill="FFFFFF"/>
            <w:tcMar>
              <w:top w:w="0" w:type="dxa"/>
              <w:left w:w="40" w:type="dxa"/>
              <w:bottom w:w="0" w:type="dxa"/>
              <w:right w:w="40" w:type="dxa"/>
            </w:tcMar>
            <w:hideMark/>
          </w:tcPr>
          <w:p w14:paraId="2B6BD0CC" w14:textId="77777777" w:rsidR="00530473" w:rsidRPr="00530473" w:rsidRDefault="00530473" w:rsidP="00530473">
            <w:pPr>
              <w:ind w:left="-40"/>
              <w:jc w:val="both"/>
              <w:rPr>
                <w:rFonts w:ascii="Times New Roman" w:eastAsia="Times New Roman" w:hAnsi="Times New Roman" w:cs="Times New Roman"/>
                <w:lang w:val="en-DE" w:eastAsia="en-DE"/>
              </w:rPr>
            </w:pPr>
            <w:proofErr w:type="spellStart"/>
            <w:r w:rsidRPr="00530473">
              <w:rPr>
                <w:rFonts w:ascii="Times New Roman" w:eastAsia="Times New Roman" w:hAnsi="Times New Roman" w:cs="Times New Roman"/>
                <w:color w:val="000000"/>
                <w:lang w:val="en-DE" w:eastAsia="en-DE"/>
              </w:rPr>
              <w:t>Quednow</w:t>
            </w:r>
            <w:proofErr w:type="spellEnd"/>
            <w:r w:rsidRPr="00530473">
              <w:rPr>
                <w:rFonts w:ascii="Times New Roman" w:eastAsia="Times New Roman" w:hAnsi="Times New Roman" w:cs="Times New Roman"/>
                <w:color w:val="000000"/>
                <w:lang w:val="en-DE" w:eastAsia="en-DE"/>
              </w:rPr>
              <w:t xml:space="preserve"> et al (2011)</w:t>
            </w:r>
          </w:p>
        </w:tc>
        <w:tc>
          <w:tcPr>
            <w:tcW w:w="0" w:type="auto"/>
            <w:shd w:val="clear" w:color="auto" w:fill="FFFFFF"/>
            <w:tcMar>
              <w:top w:w="0" w:type="dxa"/>
              <w:left w:w="40" w:type="dxa"/>
              <w:bottom w:w="0" w:type="dxa"/>
              <w:right w:w="40" w:type="dxa"/>
            </w:tcMar>
            <w:vAlign w:val="bottom"/>
            <w:hideMark/>
          </w:tcPr>
          <w:p w14:paraId="6235E984"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8</w:t>
            </w:r>
          </w:p>
        </w:tc>
        <w:tc>
          <w:tcPr>
            <w:tcW w:w="0" w:type="auto"/>
            <w:shd w:val="clear" w:color="auto" w:fill="FFFFFF"/>
            <w:tcMar>
              <w:top w:w="0" w:type="dxa"/>
              <w:left w:w="40" w:type="dxa"/>
              <w:bottom w:w="0" w:type="dxa"/>
              <w:right w:w="40" w:type="dxa"/>
            </w:tcMar>
            <w:vAlign w:val="bottom"/>
            <w:hideMark/>
          </w:tcPr>
          <w:p w14:paraId="494C4AC3"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shd w:val="clear" w:color="auto" w:fill="FFFFFF"/>
            <w:tcMar>
              <w:top w:w="0" w:type="dxa"/>
              <w:left w:w="40" w:type="dxa"/>
              <w:bottom w:w="0" w:type="dxa"/>
              <w:right w:w="40" w:type="dxa"/>
            </w:tcMar>
            <w:vAlign w:val="bottom"/>
            <w:hideMark/>
          </w:tcPr>
          <w:p w14:paraId="0EDD0491"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2</w:t>
            </w:r>
          </w:p>
        </w:tc>
        <w:tc>
          <w:tcPr>
            <w:tcW w:w="0" w:type="auto"/>
            <w:shd w:val="clear" w:color="auto" w:fill="FFFFFF"/>
            <w:tcMar>
              <w:top w:w="0" w:type="dxa"/>
              <w:left w:w="40" w:type="dxa"/>
              <w:bottom w:w="0" w:type="dxa"/>
              <w:right w:w="40" w:type="dxa"/>
            </w:tcMar>
            <w:vAlign w:val="bottom"/>
            <w:hideMark/>
          </w:tcPr>
          <w:p w14:paraId="5004ED77"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shd w:val="clear" w:color="auto" w:fill="FFFFFF"/>
            <w:tcMar>
              <w:top w:w="0" w:type="dxa"/>
              <w:left w:w="40" w:type="dxa"/>
              <w:bottom w:w="0" w:type="dxa"/>
              <w:right w:w="40" w:type="dxa"/>
            </w:tcMar>
            <w:vAlign w:val="bottom"/>
            <w:hideMark/>
          </w:tcPr>
          <w:p w14:paraId="6816D04F"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r>
      <w:tr w:rsidR="00E5720A" w:rsidRPr="00530473" w14:paraId="515A8581" w14:textId="77777777" w:rsidTr="00530473">
        <w:trPr>
          <w:trHeight w:val="259"/>
        </w:trPr>
        <w:tc>
          <w:tcPr>
            <w:tcW w:w="0" w:type="auto"/>
            <w:shd w:val="clear" w:color="auto" w:fill="FFFFFF"/>
            <w:tcMar>
              <w:top w:w="0" w:type="dxa"/>
              <w:left w:w="40" w:type="dxa"/>
              <w:bottom w:w="0" w:type="dxa"/>
              <w:right w:w="40" w:type="dxa"/>
            </w:tcMar>
            <w:hideMark/>
          </w:tcPr>
          <w:p w14:paraId="631C6CFA"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Vollenweider et al (2007)</w:t>
            </w:r>
          </w:p>
        </w:tc>
        <w:tc>
          <w:tcPr>
            <w:tcW w:w="0" w:type="auto"/>
            <w:shd w:val="clear" w:color="auto" w:fill="FFFFFF"/>
            <w:tcMar>
              <w:top w:w="0" w:type="dxa"/>
              <w:left w:w="40" w:type="dxa"/>
              <w:bottom w:w="0" w:type="dxa"/>
              <w:right w:w="40" w:type="dxa"/>
            </w:tcMar>
            <w:vAlign w:val="bottom"/>
            <w:hideMark/>
          </w:tcPr>
          <w:p w14:paraId="548DAA41"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9</w:t>
            </w:r>
          </w:p>
        </w:tc>
        <w:tc>
          <w:tcPr>
            <w:tcW w:w="0" w:type="auto"/>
            <w:shd w:val="clear" w:color="auto" w:fill="FFFFFF"/>
            <w:tcMar>
              <w:top w:w="0" w:type="dxa"/>
              <w:left w:w="40" w:type="dxa"/>
              <w:bottom w:w="0" w:type="dxa"/>
              <w:right w:w="40" w:type="dxa"/>
            </w:tcMar>
            <w:vAlign w:val="bottom"/>
            <w:hideMark/>
          </w:tcPr>
          <w:p w14:paraId="59C96DFB"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shd w:val="clear" w:color="auto" w:fill="FFFFFF"/>
            <w:tcMar>
              <w:top w:w="0" w:type="dxa"/>
              <w:left w:w="40" w:type="dxa"/>
              <w:bottom w:w="0" w:type="dxa"/>
              <w:right w:w="40" w:type="dxa"/>
            </w:tcMar>
            <w:vAlign w:val="bottom"/>
            <w:hideMark/>
          </w:tcPr>
          <w:p w14:paraId="1F8D2561"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shd w:val="clear" w:color="auto" w:fill="FFFFFF"/>
            <w:tcMar>
              <w:top w:w="0" w:type="dxa"/>
              <w:left w:w="40" w:type="dxa"/>
              <w:bottom w:w="0" w:type="dxa"/>
              <w:right w:w="40" w:type="dxa"/>
            </w:tcMar>
            <w:vAlign w:val="bottom"/>
            <w:hideMark/>
          </w:tcPr>
          <w:p w14:paraId="04DFC2FF"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shd w:val="clear" w:color="auto" w:fill="FFFFFF"/>
            <w:tcMar>
              <w:top w:w="0" w:type="dxa"/>
              <w:left w:w="40" w:type="dxa"/>
              <w:bottom w:w="0" w:type="dxa"/>
              <w:right w:w="40" w:type="dxa"/>
            </w:tcMar>
            <w:vAlign w:val="bottom"/>
            <w:hideMark/>
          </w:tcPr>
          <w:p w14:paraId="1748726D"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0</w:t>
            </w:r>
          </w:p>
        </w:tc>
      </w:tr>
      <w:tr w:rsidR="00E5720A" w:rsidRPr="00530473" w14:paraId="13B526F2" w14:textId="77777777" w:rsidTr="00530473">
        <w:trPr>
          <w:trHeight w:val="300"/>
        </w:trPr>
        <w:tc>
          <w:tcPr>
            <w:tcW w:w="0" w:type="auto"/>
            <w:shd w:val="clear" w:color="auto" w:fill="FFFFFF"/>
            <w:tcMar>
              <w:top w:w="0" w:type="dxa"/>
              <w:left w:w="40" w:type="dxa"/>
              <w:bottom w:w="0" w:type="dxa"/>
              <w:right w:w="40" w:type="dxa"/>
            </w:tcMar>
            <w:hideMark/>
          </w:tcPr>
          <w:p w14:paraId="18C091C3"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Wittmann et al (2006)</w:t>
            </w:r>
          </w:p>
        </w:tc>
        <w:tc>
          <w:tcPr>
            <w:tcW w:w="0" w:type="auto"/>
            <w:shd w:val="clear" w:color="auto" w:fill="FFFFFF"/>
            <w:tcMar>
              <w:top w:w="0" w:type="dxa"/>
              <w:left w:w="40" w:type="dxa"/>
              <w:bottom w:w="0" w:type="dxa"/>
              <w:right w:w="40" w:type="dxa"/>
            </w:tcMar>
            <w:vAlign w:val="bottom"/>
            <w:hideMark/>
          </w:tcPr>
          <w:p w14:paraId="2EA4AEE5"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10</w:t>
            </w:r>
          </w:p>
        </w:tc>
        <w:tc>
          <w:tcPr>
            <w:tcW w:w="0" w:type="auto"/>
            <w:shd w:val="clear" w:color="auto" w:fill="FFFFFF"/>
            <w:tcMar>
              <w:top w:w="0" w:type="dxa"/>
              <w:left w:w="40" w:type="dxa"/>
              <w:bottom w:w="0" w:type="dxa"/>
              <w:right w:w="40" w:type="dxa"/>
            </w:tcMar>
            <w:vAlign w:val="bottom"/>
            <w:hideMark/>
          </w:tcPr>
          <w:p w14:paraId="7ED664D9"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shd w:val="clear" w:color="auto" w:fill="FFFFFF"/>
            <w:tcMar>
              <w:top w:w="0" w:type="dxa"/>
              <w:left w:w="40" w:type="dxa"/>
              <w:bottom w:w="0" w:type="dxa"/>
              <w:right w:w="40" w:type="dxa"/>
            </w:tcMar>
            <w:vAlign w:val="bottom"/>
            <w:hideMark/>
          </w:tcPr>
          <w:p w14:paraId="01E7DAFD"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4</w:t>
            </w:r>
          </w:p>
        </w:tc>
        <w:tc>
          <w:tcPr>
            <w:tcW w:w="0" w:type="auto"/>
            <w:shd w:val="clear" w:color="auto" w:fill="FFFFFF"/>
            <w:tcMar>
              <w:top w:w="0" w:type="dxa"/>
              <w:left w:w="40" w:type="dxa"/>
              <w:bottom w:w="0" w:type="dxa"/>
              <w:right w:w="40" w:type="dxa"/>
            </w:tcMar>
            <w:vAlign w:val="bottom"/>
            <w:hideMark/>
          </w:tcPr>
          <w:p w14:paraId="36C8BCA8"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4</w:t>
            </w:r>
          </w:p>
        </w:tc>
        <w:tc>
          <w:tcPr>
            <w:tcW w:w="0" w:type="auto"/>
            <w:shd w:val="clear" w:color="auto" w:fill="FFFFFF"/>
            <w:tcMar>
              <w:top w:w="0" w:type="dxa"/>
              <w:left w:w="40" w:type="dxa"/>
              <w:bottom w:w="0" w:type="dxa"/>
              <w:right w:w="40" w:type="dxa"/>
            </w:tcMar>
            <w:vAlign w:val="bottom"/>
            <w:hideMark/>
          </w:tcPr>
          <w:p w14:paraId="4DFA3AF8"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0</w:t>
            </w:r>
          </w:p>
        </w:tc>
      </w:tr>
      <w:tr w:rsidR="00E5720A" w:rsidRPr="00530473" w14:paraId="26F6108F" w14:textId="77777777" w:rsidTr="00530473">
        <w:trPr>
          <w:trHeight w:val="300"/>
        </w:trPr>
        <w:tc>
          <w:tcPr>
            <w:tcW w:w="0" w:type="auto"/>
            <w:shd w:val="clear" w:color="auto" w:fill="FFFFFF"/>
            <w:tcMar>
              <w:top w:w="0" w:type="dxa"/>
              <w:left w:w="40" w:type="dxa"/>
              <w:bottom w:w="0" w:type="dxa"/>
              <w:right w:w="40" w:type="dxa"/>
            </w:tcMar>
            <w:hideMark/>
          </w:tcPr>
          <w:p w14:paraId="27A3C624"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Marschall et al (2022)</w:t>
            </w:r>
          </w:p>
        </w:tc>
        <w:tc>
          <w:tcPr>
            <w:tcW w:w="0" w:type="auto"/>
            <w:shd w:val="clear" w:color="auto" w:fill="FFFFFF"/>
            <w:tcMar>
              <w:top w:w="0" w:type="dxa"/>
              <w:left w:w="40" w:type="dxa"/>
              <w:bottom w:w="0" w:type="dxa"/>
              <w:right w:w="40" w:type="dxa"/>
            </w:tcMar>
            <w:vAlign w:val="bottom"/>
            <w:hideMark/>
          </w:tcPr>
          <w:p w14:paraId="50F51DB5"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11</w:t>
            </w:r>
          </w:p>
        </w:tc>
        <w:tc>
          <w:tcPr>
            <w:tcW w:w="0" w:type="auto"/>
            <w:shd w:val="clear" w:color="auto" w:fill="FFFFFF"/>
            <w:tcMar>
              <w:top w:w="0" w:type="dxa"/>
              <w:left w:w="40" w:type="dxa"/>
              <w:bottom w:w="0" w:type="dxa"/>
              <w:right w:w="40" w:type="dxa"/>
            </w:tcMar>
            <w:vAlign w:val="bottom"/>
            <w:hideMark/>
          </w:tcPr>
          <w:p w14:paraId="66817F4B"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shd w:val="clear" w:color="auto" w:fill="FFFFFF"/>
            <w:tcMar>
              <w:top w:w="0" w:type="dxa"/>
              <w:left w:w="40" w:type="dxa"/>
              <w:bottom w:w="0" w:type="dxa"/>
              <w:right w:w="40" w:type="dxa"/>
            </w:tcMar>
            <w:vAlign w:val="bottom"/>
            <w:hideMark/>
          </w:tcPr>
          <w:p w14:paraId="10FD5896"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shd w:val="clear" w:color="auto" w:fill="FFFFFF"/>
            <w:tcMar>
              <w:top w:w="0" w:type="dxa"/>
              <w:left w:w="40" w:type="dxa"/>
              <w:bottom w:w="0" w:type="dxa"/>
              <w:right w:w="40" w:type="dxa"/>
            </w:tcMar>
            <w:vAlign w:val="bottom"/>
            <w:hideMark/>
          </w:tcPr>
          <w:p w14:paraId="623C1B07"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shd w:val="clear" w:color="auto" w:fill="FFFFFF"/>
            <w:tcMar>
              <w:top w:w="0" w:type="dxa"/>
              <w:left w:w="40" w:type="dxa"/>
              <w:bottom w:w="0" w:type="dxa"/>
              <w:right w:w="40" w:type="dxa"/>
            </w:tcMar>
            <w:vAlign w:val="bottom"/>
            <w:hideMark/>
          </w:tcPr>
          <w:p w14:paraId="36E5BFA6"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0</w:t>
            </w:r>
          </w:p>
        </w:tc>
      </w:tr>
      <w:tr w:rsidR="00E5720A" w:rsidRPr="00530473" w14:paraId="2A9BEB40" w14:textId="77777777" w:rsidTr="00530473">
        <w:trPr>
          <w:trHeight w:val="300"/>
        </w:trPr>
        <w:tc>
          <w:tcPr>
            <w:tcW w:w="0" w:type="auto"/>
            <w:shd w:val="clear" w:color="auto" w:fill="FFFFFF"/>
            <w:tcMar>
              <w:top w:w="0" w:type="dxa"/>
              <w:left w:w="40" w:type="dxa"/>
              <w:bottom w:w="0" w:type="dxa"/>
              <w:right w:w="40" w:type="dxa"/>
            </w:tcMar>
            <w:hideMark/>
          </w:tcPr>
          <w:p w14:paraId="48E5FBD7" w14:textId="77777777" w:rsidR="00530473" w:rsidRPr="00530473" w:rsidRDefault="00530473" w:rsidP="00530473">
            <w:pPr>
              <w:ind w:left="-40"/>
              <w:jc w:val="both"/>
              <w:rPr>
                <w:rFonts w:ascii="Times New Roman" w:eastAsia="Times New Roman" w:hAnsi="Times New Roman" w:cs="Times New Roman"/>
                <w:lang w:val="en-DE" w:eastAsia="en-DE"/>
              </w:rPr>
            </w:pPr>
            <w:proofErr w:type="spellStart"/>
            <w:r w:rsidRPr="00530473">
              <w:rPr>
                <w:rFonts w:ascii="Times New Roman" w:eastAsia="Times New Roman" w:hAnsi="Times New Roman" w:cs="Times New Roman"/>
                <w:color w:val="000000"/>
                <w:lang w:val="en-DE" w:eastAsia="en-DE"/>
              </w:rPr>
              <w:t>Mallaroni</w:t>
            </w:r>
            <w:proofErr w:type="spellEnd"/>
            <w:r w:rsidRPr="00530473">
              <w:rPr>
                <w:rFonts w:ascii="Times New Roman" w:eastAsia="Times New Roman" w:hAnsi="Times New Roman" w:cs="Times New Roman"/>
                <w:color w:val="000000"/>
                <w:lang w:val="en-DE" w:eastAsia="en-DE"/>
              </w:rPr>
              <w:t xml:space="preserve"> et al (2023)</w:t>
            </w:r>
          </w:p>
        </w:tc>
        <w:tc>
          <w:tcPr>
            <w:tcW w:w="0" w:type="auto"/>
            <w:shd w:val="clear" w:color="auto" w:fill="FFFFFF"/>
            <w:tcMar>
              <w:top w:w="0" w:type="dxa"/>
              <w:left w:w="40" w:type="dxa"/>
              <w:bottom w:w="0" w:type="dxa"/>
              <w:right w:w="40" w:type="dxa"/>
            </w:tcMar>
            <w:vAlign w:val="bottom"/>
            <w:hideMark/>
          </w:tcPr>
          <w:p w14:paraId="39FB424B"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12</w:t>
            </w:r>
          </w:p>
        </w:tc>
        <w:tc>
          <w:tcPr>
            <w:tcW w:w="0" w:type="auto"/>
            <w:shd w:val="clear" w:color="auto" w:fill="FFFFFF"/>
            <w:tcMar>
              <w:top w:w="0" w:type="dxa"/>
              <w:left w:w="40" w:type="dxa"/>
              <w:bottom w:w="0" w:type="dxa"/>
              <w:right w:w="40" w:type="dxa"/>
            </w:tcMar>
            <w:vAlign w:val="bottom"/>
            <w:hideMark/>
          </w:tcPr>
          <w:p w14:paraId="772B1341"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4</w:t>
            </w:r>
          </w:p>
        </w:tc>
        <w:tc>
          <w:tcPr>
            <w:tcW w:w="0" w:type="auto"/>
            <w:shd w:val="clear" w:color="auto" w:fill="FFFFFF"/>
            <w:tcMar>
              <w:top w:w="0" w:type="dxa"/>
              <w:left w:w="40" w:type="dxa"/>
              <w:bottom w:w="0" w:type="dxa"/>
              <w:right w:w="40" w:type="dxa"/>
            </w:tcMar>
            <w:vAlign w:val="bottom"/>
            <w:hideMark/>
          </w:tcPr>
          <w:p w14:paraId="4A8EA6EA"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4</w:t>
            </w:r>
          </w:p>
        </w:tc>
        <w:tc>
          <w:tcPr>
            <w:tcW w:w="0" w:type="auto"/>
            <w:shd w:val="clear" w:color="auto" w:fill="FFFFFF"/>
            <w:tcMar>
              <w:top w:w="0" w:type="dxa"/>
              <w:left w:w="40" w:type="dxa"/>
              <w:bottom w:w="0" w:type="dxa"/>
              <w:right w:w="40" w:type="dxa"/>
            </w:tcMar>
            <w:vAlign w:val="bottom"/>
            <w:hideMark/>
          </w:tcPr>
          <w:p w14:paraId="5DA6340D"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shd w:val="clear" w:color="auto" w:fill="FFFFFF"/>
            <w:tcMar>
              <w:top w:w="0" w:type="dxa"/>
              <w:left w:w="40" w:type="dxa"/>
              <w:bottom w:w="0" w:type="dxa"/>
              <w:right w:w="40" w:type="dxa"/>
            </w:tcMar>
            <w:vAlign w:val="bottom"/>
            <w:hideMark/>
          </w:tcPr>
          <w:p w14:paraId="4C27B6C8"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3</w:t>
            </w:r>
          </w:p>
        </w:tc>
      </w:tr>
      <w:tr w:rsidR="00E5720A" w:rsidRPr="00530473" w14:paraId="0828D036" w14:textId="77777777" w:rsidTr="00530473">
        <w:trPr>
          <w:trHeight w:val="300"/>
        </w:trPr>
        <w:tc>
          <w:tcPr>
            <w:tcW w:w="0" w:type="auto"/>
            <w:tcBorders>
              <w:bottom w:val="single" w:sz="6" w:space="0" w:color="000000"/>
            </w:tcBorders>
            <w:shd w:val="clear" w:color="auto" w:fill="FFFFFF"/>
            <w:tcMar>
              <w:top w:w="0" w:type="dxa"/>
              <w:left w:w="40" w:type="dxa"/>
              <w:bottom w:w="0" w:type="dxa"/>
              <w:right w:w="40" w:type="dxa"/>
            </w:tcMar>
            <w:hideMark/>
          </w:tcPr>
          <w:p w14:paraId="3A9CD2DD"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Vollenweider et al. (1998)</w:t>
            </w:r>
          </w:p>
        </w:tc>
        <w:tc>
          <w:tcPr>
            <w:tcW w:w="0" w:type="auto"/>
            <w:tcBorders>
              <w:bottom w:val="single" w:sz="6" w:space="0" w:color="000000"/>
            </w:tcBorders>
            <w:shd w:val="clear" w:color="auto" w:fill="FFFFFF"/>
            <w:tcMar>
              <w:top w:w="0" w:type="dxa"/>
              <w:left w:w="40" w:type="dxa"/>
              <w:bottom w:w="0" w:type="dxa"/>
              <w:right w:w="40" w:type="dxa"/>
            </w:tcMar>
            <w:vAlign w:val="bottom"/>
            <w:hideMark/>
          </w:tcPr>
          <w:p w14:paraId="2D522F3E"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13</w:t>
            </w:r>
          </w:p>
        </w:tc>
        <w:tc>
          <w:tcPr>
            <w:tcW w:w="0" w:type="auto"/>
            <w:tcBorders>
              <w:bottom w:val="single" w:sz="6" w:space="0" w:color="000000"/>
            </w:tcBorders>
            <w:shd w:val="clear" w:color="auto" w:fill="FFFFFF"/>
            <w:tcMar>
              <w:top w:w="0" w:type="dxa"/>
              <w:left w:w="40" w:type="dxa"/>
              <w:bottom w:w="0" w:type="dxa"/>
              <w:right w:w="40" w:type="dxa"/>
            </w:tcMar>
            <w:vAlign w:val="bottom"/>
            <w:hideMark/>
          </w:tcPr>
          <w:p w14:paraId="44EB37E3"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tcBorders>
              <w:bottom w:val="single" w:sz="6" w:space="0" w:color="000000"/>
            </w:tcBorders>
            <w:shd w:val="clear" w:color="auto" w:fill="FFFFFF"/>
            <w:tcMar>
              <w:top w:w="0" w:type="dxa"/>
              <w:left w:w="40" w:type="dxa"/>
              <w:bottom w:w="0" w:type="dxa"/>
              <w:right w:w="40" w:type="dxa"/>
            </w:tcMar>
            <w:vAlign w:val="bottom"/>
            <w:hideMark/>
          </w:tcPr>
          <w:p w14:paraId="0ECBDB8E"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c>
          <w:tcPr>
            <w:tcW w:w="0" w:type="auto"/>
            <w:tcBorders>
              <w:bottom w:val="single" w:sz="6" w:space="0" w:color="000000"/>
            </w:tcBorders>
            <w:shd w:val="clear" w:color="auto" w:fill="FFFFFF"/>
            <w:tcMar>
              <w:top w:w="0" w:type="dxa"/>
              <w:left w:w="40" w:type="dxa"/>
              <w:bottom w:w="0" w:type="dxa"/>
              <w:right w:w="40" w:type="dxa"/>
            </w:tcMar>
            <w:vAlign w:val="bottom"/>
            <w:hideMark/>
          </w:tcPr>
          <w:p w14:paraId="3DB29321"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0</w:t>
            </w:r>
          </w:p>
        </w:tc>
        <w:tc>
          <w:tcPr>
            <w:tcW w:w="0" w:type="auto"/>
            <w:tcBorders>
              <w:bottom w:val="single" w:sz="6" w:space="0" w:color="000000"/>
            </w:tcBorders>
            <w:shd w:val="clear" w:color="auto" w:fill="FFFFFF"/>
            <w:tcMar>
              <w:top w:w="0" w:type="dxa"/>
              <w:left w:w="40" w:type="dxa"/>
              <w:bottom w:w="0" w:type="dxa"/>
              <w:right w:w="40" w:type="dxa"/>
            </w:tcMar>
            <w:vAlign w:val="bottom"/>
            <w:hideMark/>
          </w:tcPr>
          <w:p w14:paraId="06C329D7"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w:t>
            </w:r>
          </w:p>
        </w:tc>
      </w:tr>
      <w:tr w:rsidR="00E5720A" w:rsidRPr="00530473" w14:paraId="4DD8E403" w14:textId="77777777" w:rsidTr="00530473">
        <w:trPr>
          <w:trHeight w:val="312"/>
        </w:trPr>
        <w:tc>
          <w:tcPr>
            <w:tcW w:w="0" w:type="auto"/>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20C85673"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Total</w:t>
            </w:r>
          </w:p>
        </w:tc>
        <w:tc>
          <w:tcPr>
            <w:tcW w:w="0" w:type="auto"/>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40A94169" w14:textId="77777777" w:rsidR="00530473" w:rsidRPr="00530473" w:rsidRDefault="00530473" w:rsidP="00530473">
            <w:pPr>
              <w:rPr>
                <w:rFonts w:ascii="Times New Roman" w:eastAsia="Times New Roman" w:hAnsi="Times New Roman" w:cs="Times New Roman"/>
                <w:lang w:val="en-DE" w:eastAsia="en-DE"/>
              </w:rPr>
            </w:pPr>
          </w:p>
        </w:tc>
        <w:tc>
          <w:tcPr>
            <w:tcW w:w="0" w:type="auto"/>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383F257F" w14:textId="77777777" w:rsidR="00530473" w:rsidRPr="00530473" w:rsidRDefault="00530473" w:rsidP="00530473">
            <w:pPr>
              <w:rPr>
                <w:rFonts w:ascii="Times New Roman" w:eastAsia="Times New Roman" w:hAnsi="Times New Roman" w:cs="Times New Roman"/>
                <w:lang w:val="en-DE" w:eastAsia="en-DE"/>
              </w:rPr>
            </w:pPr>
          </w:p>
        </w:tc>
        <w:tc>
          <w:tcPr>
            <w:tcW w:w="0" w:type="auto"/>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698E567F"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42</w:t>
            </w:r>
          </w:p>
        </w:tc>
        <w:tc>
          <w:tcPr>
            <w:tcW w:w="0" w:type="auto"/>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14992C6B"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27</w:t>
            </w:r>
          </w:p>
        </w:tc>
        <w:tc>
          <w:tcPr>
            <w:tcW w:w="0" w:type="auto"/>
            <w:tcBorders>
              <w:top w:val="single" w:sz="6" w:space="0" w:color="000000"/>
              <w:bottom w:val="single" w:sz="6" w:space="0" w:color="000000"/>
            </w:tcBorders>
            <w:shd w:val="clear" w:color="auto" w:fill="FFFFFF"/>
            <w:tcMar>
              <w:top w:w="0" w:type="dxa"/>
              <w:left w:w="40" w:type="dxa"/>
              <w:bottom w:w="0" w:type="dxa"/>
              <w:right w:w="40" w:type="dxa"/>
            </w:tcMar>
            <w:vAlign w:val="bottom"/>
            <w:hideMark/>
          </w:tcPr>
          <w:p w14:paraId="5349B606" w14:textId="77777777" w:rsidR="00530473" w:rsidRPr="00530473" w:rsidRDefault="00530473" w:rsidP="00530473">
            <w:pPr>
              <w:ind w:left="-40"/>
              <w:jc w:val="both"/>
              <w:rPr>
                <w:rFonts w:ascii="Times New Roman" w:eastAsia="Times New Roman" w:hAnsi="Times New Roman" w:cs="Times New Roman"/>
                <w:lang w:val="en-DE" w:eastAsia="en-DE"/>
              </w:rPr>
            </w:pPr>
            <w:r w:rsidRPr="00530473">
              <w:rPr>
                <w:rFonts w:ascii="Times New Roman" w:eastAsia="Times New Roman" w:hAnsi="Times New Roman" w:cs="Times New Roman"/>
                <w:color w:val="000000"/>
                <w:lang w:val="en-DE" w:eastAsia="en-DE"/>
              </w:rPr>
              <w:t>15</w:t>
            </w:r>
          </w:p>
        </w:tc>
      </w:tr>
    </w:tbl>
    <w:p w14:paraId="13043314" w14:textId="77777777" w:rsidR="009C78AE" w:rsidRDefault="009C78AE">
      <w:pPr>
        <w:rPr>
          <w:rFonts w:ascii="Times New Roman" w:eastAsia="Times New Roman" w:hAnsi="Times New Roman" w:cs="Times New Roman"/>
          <w:b/>
        </w:rPr>
      </w:pPr>
    </w:p>
    <w:p w14:paraId="0EDCFCC9" w14:textId="77777777" w:rsidR="009C78AE" w:rsidRDefault="009C78AE" w:rsidP="009C78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Courier New" w:eastAsia="Courier New" w:hAnsi="Courier New" w:cs="Courier New"/>
        </w:rPr>
      </w:pPr>
      <w:r>
        <w:rPr>
          <w:rFonts w:ascii="Times New Roman" w:eastAsia="Times New Roman" w:hAnsi="Times New Roman" w:cs="Times New Roman"/>
          <w:b/>
        </w:rPr>
        <w:t>Literature Review</w:t>
      </w:r>
    </w:p>
    <w:p w14:paraId="07160637" w14:textId="2A5F0B79" w:rsidR="00530473" w:rsidRDefault="009C78AE" w:rsidP="009C78AE">
      <w:pPr>
        <w:widowControl w:val="0"/>
        <w:tabs>
          <w:tab w:val="left" w:pos="1440"/>
          <w:tab w:val="left" w:pos="2160"/>
          <w:tab w:val="left" w:pos="2880"/>
        </w:tabs>
        <w:spacing w:line="480" w:lineRule="auto"/>
        <w:ind w:firstLine="720"/>
        <w:jc w:val="both"/>
        <w:rPr>
          <w:rFonts w:ascii="Times New Roman" w:eastAsia="Times New Roman" w:hAnsi="Times New Roman" w:cs="Times New Roman"/>
          <w:b/>
        </w:rPr>
      </w:pPr>
      <w:r>
        <w:rPr>
          <w:rFonts w:ascii="Times New Roman" w:eastAsia="Times New Roman" w:hAnsi="Times New Roman" w:cs="Times New Roman"/>
        </w:rPr>
        <w:t>The following section describes the effects of psilocybin on executive functions and attention and is organized according to the four components of executive functions: working memory (updating), conflict monitoring, inhibition, cognitive flexibility, and attention. The included studies used a variety of tasks to assess these different aspects of executive functions and attention. An overview of these tasks and their outcome measures is presented in Table 3.</w:t>
      </w:r>
      <w:r w:rsidR="00530473">
        <w:rPr>
          <w:rFonts w:ascii="Times New Roman" w:eastAsia="Times New Roman" w:hAnsi="Times New Roman" w:cs="Times New Roman"/>
          <w:b/>
        </w:rPr>
        <w:br w:type="page"/>
      </w:r>
    </w:p>
    <w:p w14:paraId="5DEAA5AF" w14:textId="03163C5A" w:rsidR="00144611" w:rsidRDefault="003422DA" w:rsidP="00530473">
      <w:pPr>
        <w:widowControl w:val="0"/>
        <w:tabs>
          <w:tab w:val="left" w:pos="1440"/>
          <w:tab w:val="left" w:pos="2160"/>
          <w:tab w:val="left" w:pos="2880"/>
        </w:tabs>
        <w:spacing w:line="480" w:lineRule="auto"/>
        <w:jc w:val="both"/>
        <w:rPr>
          <w:rFonts w:ascii="Courier New" w:eastAsia="Courier New" w:hAnsi="Courier New" w:cs="Courier New"/>
          <w:b/>
        </w:rPr>
      </w:pPr>
      <w:r>
        <w:rPr>
          <w:rFonts w:ascii="Times New Roman" w:eastAsia="Times New Roman" w:hAnsi="Times New Roman" w:cs="Times New Roman"/>
          <w:b/>
        </w:rPr>
        <w:lastRenderedPageBreak/>
        <w:t>Figure 1: PRISMA Flow Diagram illustrating the study selection process.</w:t>
      </w:r>
    </w:p>
    <w:p w14:paraId="36DC6999" w14:textId="77777777" w:rsidR="00562D10" w:rsidRDefault="00562D10" w:rsidP="00562D10">
      <w:r>
        <w:rPr>
          <w:noProof/>
        </w:rPr>
        <mc:AlternateContent>
          <mc:Choice Requires="wps">
            <w:drawing>
              <wp:anchor distT="0" distB="0" distL="114300" distR="114300" simplePos="0" relativeHeight="251669504" behindDoc="0" locked="0" layoutInCell="1" allowOverlap="1" wp14:anchorId="2FFCBCEA" wp14:editId="0DE82F96">
                <wp:simplePos x="0" y="0"/>
                <wp:positionH relativeFrom="column">
                  <wp:posOffset>566928</wp:posOffset>
                </wp:positionH>
                <wp:positionV relativeFrom="paragraph">
                  <wp:posOffset>74245</wp:posOffset>
                </wp:positionV>
                <wp:extent cx="4345229" cy="262966"/>
                <wp:effectExtent l="0" t="0" r="17780" b="22860"/>
                <wp:wrapNone/>
                <wp:docPr id="29" name="Flowchart: Alternate Process 29"/>
                <wp:cNvGraphicFramePr/>
                <a:graphic xmlns:a="http://schemas.openxmlformats.org/drawingml/2006/main">
                  <a:graphicData uri="http://schemas.microsoft.com/office/word/2010/wordprocessingShape">
                    <wps:wsp>
                      <wps:cNvSpPr/>
                      <wps:spPr>
                        <a:xfrm>
                          <a:off x="0" y="0"/>
                          <a:ext cx="4345229" cy="262966"/>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84EDA44" w14:textId="77777777" w:rsidR="00562D10" w:rsidRPr="001502CF" w:rsidRDefault="00562D10" w:rsidP="00562D10">
                            <w:pPr>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 of studies</w:t>
                            </w:r>
                            <w:r>
                              <w:rPr>
                                <w:rFonts w:ascii="Arial" w:hAnsi="Arial" w:cs="Arial"/>
                                <w:b/>
                                <w:color w:val="000000" w:themeColor="text1"/>
                                <w:sz w:val="18"/>
                                <w:szCs w:val="18"/>
                              </w:rPr>
                              <w:t xml:space="preserve"> via databases and registers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FCBCE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26" type="#_x0000_t176" style="position:absolute;margin-left:44.65pt;margin-top:5.85pt;width:342.15pt;height:2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29ogIAAOUFAAAOAAAAZHJzL2Uyb0RvYy54bWysVN9v2yAQfp+0/wHxvjrxkmyJ6lRRqk6T&#10;ujZaO/WZYKgtYWBwSZz99TvAdrOuW6VpfsBwPz7uPu7u/KJtFNkL52ujCzo+G1EiNDdlrR8L+u3+&#10;6t1HSjwwXTJltCjoUXh6sXz75vxgFyI3lVGlcARBtF8cbEErALvIMs8r0TB/ZqzQqJTGNQzw6B6z&#10;0rEDojcqy0ejWXYwrrTOcOE9Si+Tki4jvpSCw62UXgBRBcXYIK4urtuwZstztnh0zFY178Jg/xBF&#10;w2qNlw5QlwwY2bn6N6im5s54I+GMmyYzUtZcxBwwm/HoWTZ3FbMi5oLkeDvQ5P8fLL/Z39mNQxoO&#10;1i88bkMWrXRN+GN8pI1kHQeyRAuEo3DyfjLN8zklHHX5LJ/PZoHN7MnbOg+fhGlI2BRUKnNYV8zB&#10;SoFwmoHYpHeLxLH9tYfk3/uFCLxRdXlVKxUPoSrEWjmyZ/iejHOhYRrd1a75Ysokn43wSy+LYnz/&#10;JJ70Ygwx1ldAigH/conSr90L7bjL9MQRQYNn9kRj3MFRiYCn9FchSV0icXkMeIjgNJdJUlWsFEk8&#10;/WPMETAgSyRnwB7/DTux29kHVxEbZHAeve48eMSbjYbBuam1cS8BKOjZksm+JylRE1iCdtt2Fbg1&#10;5XHjiDOpU73lVzVWzzXzsGEOWxObGMcN3OISCqqgpttRUhn34yV5sMeOQS0lB2z1gvrvO+YEJeqz&#10;xl6ajyeTMBviYTL9kOPBnWq2pxq9a9YGq2+Mg83yuA32oPqtdKZ5wKm0CreiimmOdxeUg+sPa0gj&#10;COcaF6tVNMN5YBlc6zvLA3ggODTCffvAnO1aCLD5bkw/FtjiWdMk2+CpzWoHRtaxowLFideOepwl&#10;se67uReG1ek5Wj1N5+VPAAAA//8DAFBLAwQUAAYACAAAACEAn5JNBNwAAAAIAQAADwAAAGRycy9k&#10;b3ducmV2LnhtbEyPO0/EMBCEeyT+g7VIdJwTojwIcU6IR0nBkYJyL16SiHgdYt+d+feYiitnZzTz&#10;bbMNZhZHWt1kWUG6SUAQ91ZPPCjo3l9uKhDOI2ucLZOCH3KwbS8vGqy1PfEbHXd+ELGEXY0KRu+X&#10;WkrXj2TQbexCHL1Puxr0Ua6D1CueYrmZ5W2SFNLgxHFhxIUeR+q/dgejYHryQ6A011XeFeH7w3ev&#10;aJ+Vur4KD/cgPAX/H4Y//IgObWTa2wNrJ2YF1V0Wk/GeliCiX5ZZAWKvIM9SkG0jzx9ofwEAAP//&#10;AwBQSwECLQAUAAYACAAAACEAtoM4kv4AAADhAQAAEwAAAAAAAAAAAAAAAAAAAAAAW0NvbnRlbnRf&#10;VHlwZXNdLnhtbFBLAQItABQABgAIAAAAIQA4/SH/1gAAAJQBAAALAAAAAAAAAAAAAAAAAC8BAABf&#10;cmVscy8ucmVsc1BLAQItABQABgAIAAAAIQCYlV29ogIAAOUFAAAOAAAAAAAAAAAAAAAAAC4CAABk&#10;cnMvZTJvRG9jLnhtbFBLAQItABQABgAIAAAAIQCfkk0E3AAAAAgBAAAPAAAAAAAAAAAAAAAAAPwE&#10;AABkcnMvZG93bnJldi54bWxQSwUGAAAAAAQABADzAAAABQYAAAAA&#10;" fillcolor="#92cddc [1944]" strokecolor="black [3213]" strokeweight="2pt">
                <v:textbox>
                  <w:txbxContent>
                    <w:p w14:paraId="084EDA44" w14:textId="77777777" w:rsidR="00562D10" w:rsidRPr="001502CF" w:rsidRDefault="00562D10" w:rsidP="00562D10">
                      <w:pPr>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 of studies</w:t>
                      </w:r>
                      <w:r>
                        <w:rPr>
                          <w:rFonts w:ascii="Arial" w:hAnsi="Arial" w:cs="Arial"/>
                          <w:b/>
                          <w:color w:val="000000" w:themeColor="text1"/>
                          <w:sz w:val="18"/>
                          <w:szCs w:val="18"/>
                        </w:rPr>
                        <w:t xml:space="preserve"> via databases and registers</w:t>
                      </w:r>
                    </w:p>
                  </w:txbxContent>
                </v:textbox>
              </v:shape>
            </w:pict>
          </mc:Fallback>
        </mc:AlternateContent>
      </w:r>
    </w:p>
    <w:p w14:paraId="40CBE5AE" w14:textId="77777777" w:rsidR="00562D10" w:rsidRDefault="00562D10" w:rsidP="00562D10"/>
    <w:p w14:paraId="6937088B" w14:textId="77777777" w:rsidR="00562D10" w:rsidRDefault="00562D10" w:rsidP="00562D10"/>
    <w:p w14:paraId="7F4FAF82" w14:textId="77777777" w:rsidR="00562D10" w:rsidRDefault="00562D10" w:rsidP="00562D10">
      <w:r>
        <w:rPr>
          <w:noProof/>
        </w:rPr>
        <mc:AlternateContent>
          <mc:Choice Requires="wps">
            <w:drawing>
              <wp:anchor distT="0" distB="0" distL="114300" distR="114300" simplePos="0" relativeHeight="251660288" behindDoc="0" locked="0" layoutInCell="1" allowOverlap="1" wp14:anchorId="1F76380E" wp14:editId="15512B29">
                <wp:simplePos x="0" y="0"/>
                <wp:positionH relativeFrom="column">
                  <wp:posOffset>3104707</wp:posOffset>
                </wp:positionH>
                <wp:positionV relativeFrom="paragraph">
                  <wp:posOffset>12478</wp:posOffset>
                </wp:positionV>
                <wp:extent cx="1887220" cy="998855"/>
                <wp:effectExtent l="0" t="0" r="17780" b="10795"/>
                <wp:wrapNone/>
                <wp:docPr id="849078789" name="Rectangle 849078789"/>
                <wp:cNvGraphicFramePr/>
                <a:graphic xmlns:a="http://schemas.openxmlformats.org/drawingml/2006/main">
                  <a:graphicData uri="http://schemas.microsoft.com/office/word/2010/wordprocessingShape">
                    <wps:wsp>
                      <wps:cNvSpPr/>
                      <wps:spPr>
                        <a:xfrm>
                          <a:off x="0" y="0"/>
                          <a:ext cx="1887220" cy="9988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7BEC9" w14:textId="77777777" w:rsidR="00562D10" w:rsidRPr="00DE1EE4" w:rsidRDefault="00562D10" w:rsidP="00562D10">
                            <w:pPr>
                              <w:rPr>
                                <w:rFonts w:ascii="Arial" w:hAnsi="Arial" w:cs="Arial"/>
                                <w:color w:val="000000" w:themeColor="text1"/>
                                <w:sz w:val="18"/>
                                <w:szCs w:val="20"/>
                              </w:rPr>
                            </w:pPr>
                            <w:r>
                              <w:rPr>
                                <w:rFonts w:ascii="Arial" w:hAnsi="Arial" w:cs="Arial"/>
                                <w:color w:val="000000" w:themeColor="text1"/>
                                <w:sz w:val="18"/>
                                <w:szCs w:val="20"/>
                              </w:rPr>
                              <w:t>Duplicates</w:t>
                            </w:r>
                            <w:r w:rsidRPr="00DE1EE4">
                              <w:rPr>
                                <w:rFonts w:ascii="Arial" w:hAnsi="Arial" w:cs="Arial"/>
                                <w:color w:val="000000" w:themeColor="text1"/>
                                <w:sz w:val="18"/>
                                <w:szCs w:val="20"/>
                              </w:rPr>
                              <w:t xml:space="preserve"> removed by automation tool</w:t>
                            </w:r>
                            <w:r>
                              <w:rPr>
                                <w:rFonts w:ascii="Arial" w:hAnsi="Arial" w:cs="Arial"/>
                                <w:color w:val="000000" w:themeColor="text1"/>
                                <w:sz w:val="18"/>
                                <w:szCs w:val="20"/>
                              </w:rPr>
                              <w:t xml:space="preserve"> (n= 519 )</w:t>
                            </w:r>
                          </w:p>
                          <w:p w14:paraId="075F00BC" w14:textId="77777777" w:rsidR="00562D10" w:rsidRPr="00560609" w:rsidRDefault="00562D10" w:rsidP="00562D10">
                            <w:pPr>
                              <w:ind w:left="284"/>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6380E" id="Rectangle 849078789" o:spid="_x0000_s1027" style="position:absolute;margin-left:244.45pt;margin-top:1pt;width:148.6pt;height:7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EPhwIAAHAFAAAOAAAAZHJzL2Uyb0RvYy54bWysVEtv2zAMvg/YfxB0Xx0HzZoGdYqgRYcB&#10;RVesHXpWZKk2IIsapcTOfv0o+ZGgK3YYloMjieRH8uPj6rprDNsr9DXYgudnM86UlVDW9rXgP57v&#10;Pi0580HYUhiwquAH5fn1+uOHq9at1BwqMKVCRiDWr1pX8CoEt8oyLyvVCH8GTlkSasBGBLria1ai&#10;aAm9Mdl8NvuctYClQ5DKe3q97YV8nfC1VjJ809qrwEzBKbaQvpi+2/jN1ldi9YrCVbUcwhD/EEUj&#10;aktOJ6hbEQTbYf0HVFNLBA86nEloMtC6lirlQNnkszfZPFXCqZQLkePdRJP/f7DyYf/kHpFoaJ1f&#10;eTrGLDqNTfyn+FiXyDpMZKkuMEmP+XJ5MZ8Tp5Jkl5fL5WIR2cyO1g59+KKgYfFQcKRiJI7E/t6H&#10;XnVUic4s3NXGpIIYGx88mLqMb+kSO0LdGGR7QbUMXT54O9Ei39EyO6aSTuFgVIQw9rvSrC4p+HkK&#10;JHXZEVNIqWzIe1ElStW7WszoNzobo0iJJsCIrCnICXsAGDV7kBG7T3vQj6YqNelkPPtbYL3xZJE8&#10;gw2TcVNbwPcADGU1eO71R5J6aiJLodt2xA3VNWrGly2Uh0dkCP3QeCfvairkvfDhUSBNCdWeJj98&#10;o4820BYchhNnFeCv996jPjUvSTlraeoK7n/uBCrOzFdLbX2Zn5/HMU2X88VF7C88lWxPJXbX3AA1&#10;Q047xsl0jPrBjEeN0LzQgthEryQSVpLvgsuA4+Um9NuAVoxUm01So9F0ItzbJycjeOQ5Nupz9yLQ&#10;Dd0caA4eYJxQsXrT1L1utLSw2QXQder4I69DBWisUysNKyjujdN70jouyvVvAAAA//8DAFBLAwQU&#10;AAYACAAAACEA/ttFvuIAAAAJAQAADwAAAGRycy9kb3ducmV2LnhtbEyPQUvDQBCF74L/YRnBS7Gb&#10;Rm3TmE0pQm0RFFr14G2bnWaD2dmQ3bbx3zue9Di8jzffKxaDa8UJ+9B4UjAZJyCQKm8aqhW8v61u&#10;MhAhajK69YQKvjHAory8KHRu/Jm2eNrFWnAJhVwrsDF2uZShsuh0GPsOibOD752OfPa1NL0+c7lr&#10;ZZokU+l0Q/zB6g4fLVZfu6NTsFrb0VI+v3x0m/B6cOmme1qPPpW6vhqWDyAiDvEPhl99VoeSnfb+&#10;SCaIVsFdls0ZVZDyJM5n2XQCYs/g/fwWZFnI/wvKHwAAAP//AwBQSwECLQAUAAYACAAAACEAtoM4&#10;kv4AAADhAQAAEwAAAAAAAAAAAAAAAAAAAAAAW0NvbnRlbnRfVHlwZXNdLnhtbFBLAQItABQABgAI&#10;AAAAIQA4/SH/1gAAAJQBAAALAAAAAAAAAAAAAAAAAC8BAABfcmVscy8ucmVsc1BLAQItABQABgAI&#10;AAAAIQBaoiEPhwIAAHAFAAAOAAAAAAAAAAAAAAAAAC4CAABkcnMvZTJvRG9jLnhtbFBLAQItABQA&#10;BgAIAAAAIQD+20W+4gAAAAkBAAAPAAAAAAAAAAAAAAAAAOEEAABkcnMvZG93bnJldi54bWxQSwUG&#10;AAAAAAQABADzAAAA8AUAAAAA&#10;" filled="f" strokecolor="black [3213]" strokeweight="2pt">
                <v:textbox>
                  <w:txbxContent>
                    <w:p w14:paraId="3CF7BEC9" w14:textId="77777777" w:rsidR="00562D10" w:rsidRPr="00DE1EE4" w:rsidRDefault="00562D10" w:rsidP="00562D10">
                      <w:pPr>
                        <w:rPr>
                          <w:rFonts w:ascii="Arial" w:hAnsi="Arial" w:cs="Arial"/>
                          <w:color w:val="000000" w:themeColor="text1"/>
                          <w:sz w:val="18"/>
                          <w:szCs w:val="20"/>
                        </w:rPr>
                      </w:pPr>
                      <w:r>
                        <w:rPr>
                          <w:rFonts w:ascii="Arial" w:hAnsi="Arial" w:cs="Arial"/>
                          <w:color w:val="000000" w:themeColor="text1"/>
                          <w:sz w:val="18"/>
                          <w:szCs w:val="20"/>
                        </w:rPr>
                        <w:t>Duplicates</w:t>
                      </w:r>
                      <w:r w:rsidRPr="00DE1EE4">
                        <w:rPr>
                          <w:rFonts w:ascii="Arial" w:hAnsi="Arial" w:cs="Arial"/>
                          <w:color w:val="000000" w:themeColor="text1"/>
                          <w:sz w:val="18"/>
                          <w:szCs w:val="20"/>
                        </w:rPr>
                        <w:t xml:space="preserve"> removed by automation tool</w:t>
                      </w:r>
                      <w:r>
                        <w:rPr>
                          <w:rFonts w:ascii="Arial" w:hAnsi="Arial" w:cs="Arial"/>
                          <w:color w:val="000000" w:themeColor="text1"/>
                          <w:sz w:val="18"/>
                          <w:szCs w:val="20"/>
                        </w:rPr>
                        <w:t xml:space="preserve"> (n= 519 )</w:t>
                      </w:r>
                    </w:p>
                    <w:p w14:paraId="075F00BC" w14:textId="77777777" w:rsidR="00562D10" w:rsidRPr="00560609" w:rsidRDefault="00562D10" w:rsidP="00562D10">
                      <w:pPr>
                        <w:ind w:left="284"/>
                        <w:rPr>
                          <w:rFonts w:ascii="Arial" w:hAnsi="Arial" w:cs="Arial"/>
                          <w:color w:val="000000" w:themeColor="text1"/>
                          <w:sz w:val="18"/>
                          <w:szCs w:val="20"/>
                        </w:rPr>
                      </w:pP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5F16E9A" wp14:editId="7A2CF850">
                <wp:simplePos x="0" y="0"/>
                <wp:positionH relativeFrom="column">
                  <wp:posOffset>563245</wp:posOffset>
                </wp:positionH>
                <wp:positionV relativeFrom="paragraph">
                  <wp:posOffset>12065</wp:posOffset>
                </wp:positionV>
                <wp:extent cx="1887220" cy="998855"/>
                <wp:effectExtent l="0" t="0" r="17780" b="10795"/>
                <wp:wrapNone/>
                <wp:docPr id="3" name="Rectangle 3"/>
                <wp:cNvGraphicFramePr/>
                <a:graphic xmlns:a="http://schemas.openxmlformats.org/drawingml/2006/main">
                  <a:graphicData uri="http://schemas.microsoft.com/office/word/2010/wordprocessingShape">
                    <wps:wsp>
                      <wps:cNvSpPr/>
                      <wps:spPr>
                        <a:xfrm>
                          <a:off x="0" y="0"/>
                          <a:ext cx="1887220" cy="9988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76ADF" w14:textId="77777777" w:rsidR="00562D10" w:rsidRDefault="00562D10" w:rsidP="00562D10">
                            <w:pPr>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63EBEAF7" w14:textId="77777777" w:rsidR="00562D10" w:rsidRPr="002D17C2" w:rsidRDefault="00562D10" w:rsidP="00562D10">
                            <w:pPr>
                              <w:ind w:left="284"/>
                              <w:rPr>
                                <w:rFonts w:ascii="Arial" w:hAnsi="Arial" w:cs="Arial"/>
                                <w:color w:val="000000" w:themeColor="text1"/>
                                <w:sz w:val="18"/>
                                <w:szCs w:val="20"/>
                              </w:rPr>
                            </w:pPr>
                            <w:r w:rsidRPr="002D17C2">
                              <w:rPr>
                                <w:rFonts w:ascii="Arial" w:hAnsi="Arial" w:cs="Arial"/>
                                <w:color w:val="000000" w:themeColor="text1"/>
                                <w:sz w:val="18"/>
                                <w:szCs w:val="20"/>
                              </w:rPr>
                              <w:t>PsycINFO (n = 1103)</w:t>
                            </w:r>
                          </w:p>
                          <w:p w14:paraId="6CA1EC9B" w14:textId="77777777" w:rsidR="00562D10" w:rsidRPr="002D17C2" w:rsidRDefault="00562D10" w:rsidP="00562D10">
                            <w:pPr>
                              <w:ind w:left="284"/>
                              <w:rPr>
                                <w:rFonts w:ascii="Arial" w:hAnsi="Arial" w:cs="Arial"/>
                                <w:color w:val="000000" w:themeColor="text1"/>
                                <w:sz w:val="18"/>
                                <w:szCs w:val="20"/>
                              </w:rPr>
                            </w:pPr>
                            <w:r w:rsidRPr="002D17C2">
                              <w:rPr>
                                <w:rFonts w:ascii="Arial" w:hAnsi="Arial" w:cs="Arial"/>
                                <w:color w:val="000000" w:themeColor="text1"/>
                                <w:sz w:val="18"/>
                                <w:szCs w:val="20"/>
                              </w:rPr>
                              <w:t>Web of Science (n = 983)</w:t>
                            </w:r>
                          </w:p>
                          <w:p w14:paraId="1AFEDF36" w14:textId="77777777" w:rsidR="00562D10" w:rsidRPr="002D17C2" w:rsidRDefault="00562D10" w:rsidP="00562D10">
                            <w:pPr>
                              <w:ind w:left="284"/>
                              <w:rPr>
                                <w:rFonts w:ascii="Arial" w:hAnsi="Arial" w:cs="Arial"/>
                                <w:color w:val="000000" w:themeColor="text1"/>
                                <w:sz w:val="18"/>
                                <w:szCs w:val="20"/>
                              </w:rPr>
                            </w:pPr>
                            <w:r w:rsidRPr="002D17C2">
                              <w:rPr>
                                <w:rFonts w:ascii="Arial" w:hAnsi="Arial" w:cs="Arial"/>
                                <w:color w:val="000000" w:themeColor="text1"/>
                                <w:sz w:val="18"/>
                                <w:szCs w:val="20"/>
                              </w:rPr>
                              <w:t>PubMed (n = 45</w:t>
                            </w:r>
                            <w:r>
                              <w:rPr>
                                <w:rFonts w:ascii="Arial" w:hAnsi="Arial" w:cs="Arial"/>
                                <w:color w:val="000000" w:themeColor="text1"/>
                                <w:sz w:val="18"/>
                                <w:szCs w:val="20"/>
                              </w:rPr>
                              <w:t>7</w:t>
                            </w:r>
                            <w:r w:rsidRPr="002D17C2">
                              <w:rPr>
                                <w:rFonts w:ascii="Arial" w:hAnsi="Arial" w:cs="Arial"/>
                                <w:color w:val="000000" w:themeColor="text1"/>
                                <w:sz w:val="18"/>
                                <w:szCs w:val="20"/>
                              </w:rPr>
                              <w:t>)</w:t>
                            </w:r>
                          </w:p>
                          <w:p w14:paraId="3EC5D97C" w14:textId="77777777" w:rsidR="00562D10" w:rsidRDefault="00562D10" w:rsidP="00562D10">
                            <w:pPr>
                              <w:ind w:left="284"/>
                              <w:rPr>
                                <w:rFonts w:ascii="Arial" w:hAnsi="Arial" w:cs="Arial"/>
                                <w:color w:val="000000" w:themeColor="text1"/>
                                <w:sz w:val="18"/>
                                <w:szCs w:val="20"/>
                              </w:rPr>
                            </w:pPr>
                            <w:r w:rsidRPr="002D17C2">
                              <w:rPr>
                                <w:rFonts w:ascii="Arial" w:hAnsi="Arial" w:cs="Arial"/>
                                <w:color w:val="000000" w:themeColor="text1"/>
                                <w:sz w:val="18"/>
                                <w:szCs w:val="20"/>
                              </w:rPr>
                              <w:t>Sum = 254</w:t>
                            </w:r>
                            <w:r>
                              <w:rPr>
                                <w:rFonts w:ascii="Arial" w:hAnsi="Arial" w:cs="Arial"/>
                                <w:color w:val="000000" w:themeColor="text1"/>
                                <w:sz w:val="18"/>
                                <w:szCs w:val="20"/>
                              </w:rPr>
                              <w:t>3</w:t>
                            </w:r>
                          </w:p>
                          <w:p w14:paraId="47352CBC" w14:textId="77777777" w:rsidR="00562D10" w:rsidRDefault="00562D10" w:rsidP="00562D10">
                            <w:pPr>
                              <w:ind w:left="284"/>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16E9A" id="Rectangle 3" o:spid="_x0000_s1028" style="position:absolute;margin-left:44.35pt;margin-top:.95pt;width:148.6pt;height:7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hChwIAAHAFAAAOAAAAZHJzL2Uyb0RvYy54bWysVE1v2zAMvQ/YfxB0Xx0HzZoGdYqgRYcB&#10;RVesHXpWZKk2IIsapcTOfv0o+SNBV+wwzAdZEslH8onk1XXXGLZX6GuwBc/PZpwpK6Gs7WvBfzzf&#10;fVpy5oOwpTBgVcEPyvPr9ccPV61bqTlUYEqFjECsX7Wu4FUIbpVlXlaqEf4MnLIk1ICNCHTE16xE&#10;0RJ6Y7L5bPY5awFLhyCV93R72wv5OuFrrWT4prVXgZmCU2whrZjWbVyz9ZVYvaJwVS2HMMQ/RNGI&#10;2pLTCepWBMF2WP8B1dQSwYMOZxKaDLSupUo5UDb57E02T5VwKuVC5Hg30eT/H6x82D+5RyQaWudX&#10;nrYxi05jE/8UH+sSWYeJLNUFJukyXy4v5nPiVJLs8nK5XCwim9nR2qEPXxQ0LG4KjvQYiSOxv/eh&#10;Vx1VojMLd7Ux6UGMjRceTF3Gu3SIFaFuDLK9oLcMXT54O9Ei39EyO6aSduFgVIQw9rvSrC4p+HkK&#10;JFXZEVNIqWzIe1ElStW7WszoG52NUaREE2BE1hTkhD0AjJo9yIjdpz3oR1OVinQynv0tsN54skie&#10;wYbJuKkt4HsAhrIaPPf6I0k9NZGl0G074iZSQ5rxZgvl4REZQt803sm7mh7yXvjwKJC6hN6eOj98&#10;o0UbaAsOw46zCvDXe/dRn4qXpJy11HUF9z93AhVn5qulsr7Mz89jm6bD+eIi1heeSranErtrboCK&#10;IacZ42TaRv1gxq1GaF5oQGyiVxIJK8l3wWXA8XAT+mlAI0aqzSapUWs6Ee7tk5MRPPIcC/W5exHo&#10;hmoO1AcPMHaoWL0p6l43WlrY7ALoOlX8kdfhBaitUykNIyjOjdNz0joOyvVvAAAA//8DAFBLAwQU&#10;AAYACAAAACEADr3FN+AAAAAIAQAADwAAAGRycy9kb3ducmV2LnhtbEyPQU/DMAyF70j8h8hIXCaW&#10;UjToStNpQhqbkEBiwIFb1nhNReNETbaVf485wc3P7+n5c7UYXS+OOMTOk4LraQYCqfGmo1bB+9vq&#10;qgARkyaje0+o4BsjLOrzs0qXxp/oFY/b1AouoVhqBTalUEoZG4tOx6kPSOzt/eB0Yjm00gz6xOWu&#10;l3mW3UqnO+ILVgd8sNh8bQ9OwWptJ0v59PwRNvFl7/JNeFxPPpW6vBiX9yASjukvDL/4jA41M+38&#10;gUwUvYKiuOMk7+cg2L4pZjzsWM/mOci6kv8fqH8AAAD//wMAUEsBAi0AFAAGAAgAAAAhALaDOJL+&#10;AAAA4QEAABMAAAAAAAAAAAAAAAAAAAAAAFtDb250ZW50X1R5cGVzXS54bWxQSwECLQAUAAYACAAA&#10;ACEAOP0h/9YAAACUAQAACwAAAAAAAAAAAAAAAAAvAQAAX3JlbHMvLnJlbHNQSwECLQAUAAYACAAA&#10;ACEAYQMIQocCAABwBQAADgAAAAAAAAAAAAAAAAAuAgAAZHJzL2Uyb0RvYy54bWxQSwECLQAUAAYA&#10;CAAAACEADr3FN+AAAAAIAQAADwAAAAAAAAAAAAAAAADhBAAAZHJzL2Rvd25yZXYueG1sUEsFBgAA&#10;AAAEAAQA8wAAAO4FAAAAAA==&#10;" filled="f" strokecolor="black [3213]" strokeweight="2pt">
                <v:textbox>
                  <w:txbxContent>
                    <w:p w14:paraId="78976ADF" w14:textId="77777777" w:rsidR="00562D10" w:rsidRDefault="00562D10" w:rsidP="00562D10">
                      <w:pPr>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63EBEAF7" w14:textId="77777777" w:rsidR="00562D10" w:rsidRPr="002D17C2" w:rsidRDefault="00562D10" w:rsidP="00562D10">
                      <w:pPr>
                        <w:ind w:left="284"/>
                        <w:rPr>
                          <w:rFonts w:ascii="Arial" w:hAnsi="Arial" w:cs="Arial"/>
                          <w:color w:val="000000" w:themeColor="text1"/>
                          <w:sz w:val="18"/>
                          <w:szCs w:val="20"/>
                        </w:rPr>
                      </w:pPr>
                      <w:r w:rsidRPr="002D17C2">
                        <w:rPr>
                          <w:rFonts w:ascii="Arial" w:hAnsi="Arial" w:cs="Arial"/>
                          <w:color w:val="000000" w:themeColor="text1"/>
                          <w:sz w:val="18"/>
                          <w:szCs w:val="20"/>
                        </w:rPr>
                        <w:t>PsycINFO (n = 1103)</w:t>
                      </w:r>
                    </w:p>
                    <w:p w14:paraId="6CA1EC9B" w14:textId="77777777" w:rsidR="00562D10" w:rsidRPr="002D17C2" w:rsidRDefault="00562D10" w:rsidP="00562D10">
                      <w:pPr>
                        <w:ind w:left="284"/>
                        <w:rPr>
                          <w:rFonts w:ascii="Arial" w:hAnsi="Arial" w:cs="Arial"/>
                          <w:color w:val="000000" w:themeColor="text1"/>
                          <w:sz w:val="18"/>
                          <w:szCs w:val="20"/>
                        </w:rPr>
                      </w:pPr>
                      <w:r w:rsidRPr="002D17C2">
                        <w:rPr>
                          <w:rFonts w:ascii="Arial" w:hAnsi="Arial" w:cs="Arial"/>
                          <w:color w:val="000000" w:themeColor="text1"/>
                          <w:sz w:val="18"/>
                          <w:szCs w:val="20"/>
                        </w:rPr>
                        <w:t>Web of Science (n = 983)</w:t>
                      </w:r>
                    </w:p>
                    <w:p w14:paraId="1AFEDF36" w14:textId="77777777" w:rsidR="00562D10" w:rsidRPr="002D17C2" w:rsidRDefault="00562D10" w:rsidP="00562D10">
                      <w:pPr>
                        <w:ind w:left="284"/>
                        <w:rPr>
                          <w:rFonts w:ascii="Arial" w:hAnsi="Arial" w:cs="Arial"/>
                          <w:color w:val="000000" w:themeColor="text1"/>
                          <w:sz w:val="18"/>
                          <w:szCs w:val="20"/>
                        </w:rPr>
                      </w:pPr>
                      <w:r w:rsidRPr="002D17C2">
                        <w:rPr>
                          <w:rFonts w:ascii="Arial" w:hAnsi="Arial" w:cs="Arial"/>
                          <w:color w:val="000000" w:themeColor="text1"/>
                          <w:sz w:val="18"/>
                          <w:szCs w:val="20"/>
                        </w:rPr>
                        <w:t>PubMed (n = 45</w:t>
                      </w:r>
                      <w:r>
                        <w:rPr>
                          <w:rFonts w:ascii="Arial" w:hAnsi="Arial" w:cs="Arial"/>
                          <w:color w:val="000000" w:themeColor="text1"/>
                          <w:sz w:val="18"/>
                          <w:szCs w:val="20"/>
                        </w:rPr>
                        <w:t>7</w:t>
                      </w:r>
                      <w:r w:rsidRPr="002D17C2">
                        <w:rPr>
                          <w:rFonts w:ascii="Arial" w:hAnsi="Arial" w:cs="Arial"/>
                          <w:color w:val="000000" w:themeColor="text1"/>
                          <w:sz w:val="18"/>
                          <w:szCs w:val="20"/>
                        </w:rPr>
                        <w:t>)</w:t>
                      </w:r>
                    </w:p>
                    <w:p w14:paraId="3EC5D97C" w14:textId="77777777" w:rsidR="00562D10" w:rsidRDefault="00562D10" w:rsidP="00562D10">
                      <w:pPr>
                        <w:ind w:left="284"/>
                        <w:rPr>
                          <w:rFonts w:ascii="Arial" w:hAnsi="Arial" w:cs="Arial"/>
                          <w:color w:val="000000" w:themeColor="text1"/>
                          <w:sz w:val="18"/>
                          <w:szCs w:val="20"/>
                        </w:rPr>
                      </w:pPr>
                      <w:r w:rsidRPr="002D17C2">
                        <w:rPr>
                          <w:rFonts w:ascii="Arial" w:hAnsi="Arial" w:cs="Arial"/>
                          <w:color w:val="000000" w:themeColor="text1"/>
                          <w:sz w:val="18"/>
                          <w:szCs w:val="20"/>
                        </w:rPr>
                        <w:t>Sum = 254</w:t>
                      </w:r>
                      <w:r>
                        <w:rPr>
                          <w:rFonts w:ascii="Arial" w:hAnsi="Arial" w:cs="Arial"/>
                          <w:color w:val="000000" w:themeColor="text1"/>
                          <w:sz w:val="18"/>
                          <w:szCs w:val="20"/>
                        </w:rPr>
                        <w:t>3</w:t>
                      </w:r>
                    </w:p>
                    <w:p w14:paraId="47352CBC" w14:textId="77777777" w:rsidR="00562D10" w:rsidRDefault="00562D10" w:rsidP="00562D10">
                      <w:pPr>
                        <w:ind w:left="284"/>
                        <w:rPr>
                          <w:rFonts w:ascii="Arial" w:hAnsi="Arial" w:cs="Arial"/>
                          <w:color w:val="000000" w:themeColor="text1"/>
                          <w:sz w:val="18"/>
                          <w:szCs w:val="20"/>
                        </w:rPr>
                      </w:pPr>
                    </w:p>
                  </w:txbxContent>
                </v:textbox>
              </v:rect>
            </w:pict>
          </mc:Fallback>
        </mc:AlternateContent>
      </w:r>
    </w:p>
    <w:p w14:paraId="2F0D0776" w14:textId="77777777" w:rsidR="00562D10" w:rsidRDefault="00562D10" w:rsidP="00562D10">
      <w:r>
        <w:rPr>
          <w:noProof/>
        </w:rPr>
        <mc:AlternateContent>
          <mc:Choice Requires="wps">
            <w:drawing>
              <wp:anchor distT="0" distB="0" distL="114300" distR="114300" simplePos="0" relativeHeight="251670528" behindDoc="0" locked="0" layoutInCell="1" allowOverlap="1" wp14:anchorId="2A3F0442" wp14:editId="4E9320BB">
                <wp:simplePos x="0" y="0"/>
                <wp:positionH relativeFrom="column">
                  <wp:posOffset>-403543</wp:posOffset>
                </wp:positionH>
                <wp:positionV relativeFrom="paragraph">
                  <wp:posOffset>222567</wp:posOffset>
                </wp:positionV>
                <wp:extent cx="1276985" cy="262890"/>
                <wp:effectExtent l="0" t="7302" r="11112" b="11113"/>
                <wp:wrapNone/>
                <wp:docPr id="31" name="Flowchart: Alternate Process 31"/>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C24A0E5" w14:textId="77777777" w:rsidR="00562D10" w:rsidRPr="001502CF" w:rsidRDefault="00562D10" w:rsidP="00562D10">
                            <w:pPr>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F0442" id="Flowchart: Alternate Process 31" o:spid="_x0000_s1029" type="#_x0000_t176" style="position:absolute;margin-left:-31.8pt;margin-top:17.5pt;width:100.55pt;height:20.7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MLswIAAPsFAAAOAAAAZHJzL2Uyb0RvYy54bWysVMFu2zAMvQ/YPwi6r46zJE2DOkWQosOA&#10;rg3WDj0rslQbkCVNYhJnXz9Kip2sazdgmA+GSIqP5BPJy6u2UWQrnK+NLmh+NqBEaG7KWj8X9Nvj&#10;zYcpJR6YLpkyWhR0Lzy9mr9/d7mzMzE0lVGlcARBtJ/tbEErADvLMs8r0TB/ZqzQaJTGNQxQdM9Z&#10;6dgO0RuVDQeDSbYzrrTOcOE9aq+Tkc4jvpSCw72UXgBRBcXcIP5d/K/DP5tfstmzY7aq+SEN9g9Z&#10;NKzWGLSHumbAyMbVv0E1NXfGGwln3DSZkbLmItaA1eSDF9U8VMyKWAuS421Pk/9/sPxu+2BXDmnY&#10;WT/zeAxVtNI1xBlkK58gy/jF4jBd0kbu9j13ogXCUZkPzycX0zElHG3DyXB6EcnNElgAtc7DJ2Ea&#10;Eg4FlcrslhVzsFAgnGYgVukZYyi2vfWAWaF/5xcwvFF1eVMrFYXQJGKpHNkyfF7GudAwju5q03wx&#10;ZdJPYv7xoVGN7ZDUo06NIWK7BaQY8JcgSv8tLrR5aKMAc8wOpeCZHVmNJ9grEfCU/iokqUskbhgT&#10;7jM4rWWUTBUrRVKP38w5AgZkieT02PmfsFPOh/vBVcR56Z3Tm7+RWHLuPWJko6F3bmpt3GvRFXRs&#10;yXS/IylRE1iCdt0iNwX9GHgNmrUp9yuXOhKn2Ft+U2MT3TIPK+ZwYFGJSwju8Rf6qqDmcKKkMu7H&#10;a/pwH+cIrZTscAEU1H/fMCcoUZ81TthFPhqFjRGF0fh8iII7taxPLXrTLA02YR6zi8dwH1R3lM40&#10;T7irFiEqmpjmGLugHFwnLCEtJtx2XCwW8RpuCcvgVj9YHsADz2EeHtsn5uxhkgBn8M50y4LNXsxO&#10;uhs8tVlswMg6DtaR18ML4IaJXXzYhmGFncrx1nFnz38CAAD//wMAUEsDBBQABgAIAAAAIQBPoicp&#10;4AAAAAkBAAAPAAAAZHJzL2Rvd25yZXYueG1sTI9BT4NAEIXvJv6HzZh4axdrSxVZmtrEmNSLLb14&#10;27IjENhZwi4U/fWOJz2+vC9vvkk3k23FiL2vHSm4m0cgkApnaioVnPKX2QMIHzQZ3TpCBV/oYZNd&#10;X6U6Me5CBxyPoRQ8Qj7RCqoQukRKX1RotZ+7Dom7T9dbHTj2pTS9vvC4beUiimJpdU18odId7ios&#10;muNgFejxef8+7u02bz7y3dtwaF6/h5NStzfT9glEwCn8wfCrz+qQsdPZDWS8aDnH90wqmC2XjyAY&#10;WK3XIM5crOIFyCyV/z/IfgAAAP//AwBQSwECLQAUAAYACAAAACEAtoM4kv4AAADhAQAAEwAAAAAA&#10;AAAAAAAAAAAAAAAAW0NvbnRlbnRfVHlwZXNdLnhtbFBLAQItABQABgAIAAAAIQA4/SH/1gAAAJQB&#10;AAALAAAAAAAAAAAAAAAAAC8BAABfcmVscy8ucmVsc1BLAQItABQABgAIAAAAIQAZMIMLswIAAPsF&#10;AAAOAAAAAAAAAAAAAAAAAC4CAABkcnMvZTJvRG9jLnhtbFBLAQItABQABgAIAAAAIQBPoicp4AAA&#10;AAkBAAAPAAAAAAAAAAAAAAAAAA0FAABkcnMvZG93bnJldi54bWxQSwUGAAAAAAQABADzAAAAGgYA&#10;AAAA&#10;" fillcolor="#92cddc [1944]" strokecolor="black [3213]" strokeweight="2pt">
                <v:textbox>
                  <w:txbxContent>
                    <w:p w14:paraId="0C24A0E5" w14:textId="77777777" w:rsidR="00562D10" w:rsidRPr="001502CF" w:rsidRDefault="00562D10" w:rsidP="00562D10">
                      <w:pPr>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v:textbox>
              </v:shape>
            </w:pict>
          </mc:Fallback>
        </mc:AlternateContent>
      </w:r>
    </w:p>
    <w:p w14:paraId="21E40FD0" w14:textId="77777777" w:rsidR="00562D10" w:rsidRDefault="00562D10" w:rsidP="00562D10"/>
    <w:p w14:paraId="453F5F27" w14:textId="77777777" w:rsidR="00562D10" w:rsidRDefault="00562D10" w:rsidP="00562D10">
      <w:r>
        <w:rPr>
          <w:noProof/>
        </w:rPr>
        <mc:AlternateContent>
          <mc:Choice Requires="wps">
            <w:drawing>
              <wp:anchor distT="0" distB="0" distL="114300" distR="114300" simplePos="0" relativeHeight="251666432" behindDoc="0" locked="0" layoutInCell="1" allowOverlap="1" wp14:anchorId="7D5B8E15" wp14:editId="3C66A7E7">
                <wp:simplePos x="0" y="0"/>
                <wp:positionH relativeFrom="column">
                  <wp:posOffset>2454250</wp:posOffset>
                </wp:positionH>
                <wp:positionV relativeFrom="paragraph">
                  <wp:posOffset>9550</wp:posOffset>
                </wp:positionV>
                <wp:extent cx="563270" cy="0"/>
                <wp:effectExtent l="0" t="76200" r="27305" b="95250"/>
                <wp:wrapNone/>
                <wp:docPr id="14" name="Straight Arrow Connector 14"/>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BDC792" id="_x0000_t32" coordsize="21600,21600" o:spt="32" o:oned="t" path="m,l21600,21600e" filled="f">
                <v:path arrowok="t" fillok="f" o:connecttype="none"/>
                <o:lock v:ext="edit" shapetype="t"/>
              </v:shapetype>
              <v:shape id="Straight Arrow Connector 14" o:spid="_x0000_s1026" type="#_x0000_t32" style="position:absolute;margin-left:193.25pt;margin-top:.75pt;width:44.3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4hcDXd0AAAAH&#10;AQAADwAAAGRycy9kb3ducmV2LnhtbEyOy07DMBBF90j8gzVI7KhDoA/SOFVBoohNKwpi7cbTJMIe&#10;R7HTBr6eoZuyGl2dqzsnXwzOigN2ofGk4HaUgEAqvWmoUvDx/nwzAxGiJqOtJ1TwjQEWxeVFrjPj&#10;j/SGh22sBI9QyLSCOsY2kzKUNTodRr5FYrb3ndORY1dJ0+kjjzsr0ySZSKcb4g+1bvGpxvJr2zsF&#10;0xe/btYPwybFPl0tNz+fj692pdT11bCcg4g4xHMZ/vRZHQp22vmeTBBWwd1sMuYqAz7M76fjFMTu&#10;lGWRy//+xS8AAAD//wMAUEsBAi0AFAAGAAgAAAAhALaDOJL+AAAA4QEAABMAAAAAAAAAAAAAAAAA&#10;AAAAAFtDb250ZW50X1R5cGVzXS54bWxQSwECLQAUAAYACAAAACEAOP0h/9YAAACUAQAACwAAAAAA&#10;AAAAAAAAAAAvAQAAX3JlbHMvLnJlbHNQSwECLQAUAAYACAAAACEApHo0FcoBAAD9AwAADgAAAAAA&#10;AAAAAAAAAAAuAgAAZHJzL2Uyb0RvYy54bWxQSwECLQAUAAYACAAAACEA4hcDXd0AAAAHAQAADwAA&#10;AAAAAAAAAAAAAAAkBAAAZHJzL2Rvd25yZXYueG1sUEsFBgAAAAAEAAQA8wAAAC4FAAAAAA==&#10;" strokecolor="black [3213]">
                <v:stroke endarrow="block"/>
              </v:shape>
            </w:pict>
          </mc:Fallback>
        </mc:AlternateContent>
      </w:r>
    </w:p>
    <w:p w14:paraId="2B3224AD" w14:textId="77777777" w:rsidR="00562D10" w:rsidRDefault="00562D10" w:rsidP="00562D10"/>
    <w:p w14:paraId="3DB5BB98" w14:textId="77777777" w:rsidR="00562D10" w:rsidRDefault="00562D10" w:rsidP="00562D10"/>
    <w:p w14:paraId="7FEA7947" w14:textId="77777777" w:rsidR="00562D10" w:rsidRDefault="00562D10" w:rsidP="00562D10">
      <w:r>
        <w:rPr>
          <w:noProof/>
        </w:rPr>
        <mc:AlternateContent>
          <mc:Choice Requires="wps">
            <w:drawing>
              <wp:anchor distT="0" distB="0" distL="114300" distR="114300" simplePos="0" relativeHeight="251673600" behindDoc="0" locked="0" layoutInCell="1" allowOverlap="1" wp14:anchorId="49440E87" wp14:editId="52EE2111">
                <wp:simplePos x="0" y="0"/>
                <wp:positionH relativeFrom="column">
                  <wp:posOffset>1400175</wp:posOffset>
                </wp:positionH>
                <wp:positionV relativeFrom="paragraph">
                  <wp:posOffset>54477</wp:posOffset>
                </wp:positionV>
                <wp:extent cx="0" cy="281305"/>
                <wp:effectExtent l="76200" t="0" r="57150" b="61595"/>
                <wp:wrapNone/>
                <wp:docPr id="27" name="Straight Arrow Connector 2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2E4016" id="Straight Arrow Connector 27" o:spid="_x0000_s1026" type="#_x0000_t32" style="position:absolute;margin-left:110.25pt;margin-top:4.3pt;width:0;height:22.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CA/UCjdAAAACAEA&#10;AA8AAABkcnMvZG93bnJldi54bWxMj8FOwzAQRO9I/IO1SNyog6WWNmRTFSSKuLSiVD278ZJE2Oso&#10;dtrA12PEAY6jGc28KZajs+JEfWg9I9xOMhDElTct1wj7t6ebOYgQNRttPRPCJwVYlpcXhc6NP/Mr&#10;nXaxFqmEQ64Rmhi7XMpQNeR0mPiOOHnvvnc6JtnX0vT6nMqdlSrLZtLpltNCozt6bKj62A0O4e7Z&#10;b9rNYtwqGtR6tf06PLzYNeL11bi6BxFpjH9h+MFP6FAmpqMf2ARhEZTKpimKMJ+BSP6vPiJM1QJk&#10;Wcj/B8pvAAAA//8DAFBLAQItABQABgAIAAAAIQC2gziS/gAAAOEBAAATAAAAAAAAAAAAAAAAAAAA&#10;AABbQ29udGVudF9UeXBlc10ueG1sUEsBAi0AFAAGAAgAAAAhADj9If/WAAAAlAEAAAsAAAAAAAAA&#10;AAAAAAAALwEAAF9yZWxzLy5yZWxzUEsBAi0AFAAGAAgAAAAhAFBdJ+TIAQAA/QMAAA4AAAAAAAAA&#10;AAAAAAAALgIAAGRycy9lMm9Eb2MueG1sUEsBAi0AFAAGAAgAAAAhACA/UCjdAAAACAEAAA8AAAAA&#10;AAAAAAAAAAAAIgQAAGRycy9kb3ducmV2LnhtbFBLBQYAAAAABAAEAPMAAAAsBQAAAAA=&#10;" strokecolor="black [3213]">
                <v:stroke endarrow="block"/>
              </v:shape>
            </w:pict>
          </mc:Fallback>
        </mc:AlternateContent>
      </w:r>
    </w:p>
    <w:p w14:paraId="613B886F" w14:textId="77777777" w:rsidR="00562D10" w:rsidRDefault="00562D10" w:rsidP="00562D10"/>
    <w:p w14:paraId="43EDFD0A" w14:textId="77777777" w:rsidR="00562D10" w:rsidRDefault="00562D10" w:rsidP="00562D10">
      <w:r>
        <w:rPr>
          <w:noProof/>
        </w:rPr>
        <mc:AlternateContent>
          <mc:Choice Requires="wps">
            <w:drawing>
              <wp:anchor distT="0" distB="0" distL="114300" distR="114300" simplePos="0" relativeHeight="251662336" behindDoc="0" locked="0" layoutInCell="1" allowOverlap="1" wp14:anchorId="147762B8" wp14:editId="4312E2A4">
                <wp:simplePos x="0" y="0"/>
                <wp:positionH relativeFrom="column">
                  <wp:posOffset>3051544</wp:posOffset>
                </wp:positionH>
                <wp:positionV relativeFrom="paragraph">
                  <wp:posOffset>71297</wp:posOffset>
                </wp:positionV>
                <wp:extent cx="1887220" cy="1414130"/>
                <wp:effectExtent l="0" t="0" r="17780" b="15240"/>
                <wp:wrapNone/>
                <wp:docPr id="1163730653" name="Rectangle 1163730653"/>
                <wp:cNvGraphicFramePr/>
                <a:graphic xmlns:a="http://schemas.openxmlformats.org/drawingml/2006/main">
                  <a:graphicData uri="http://schemas.microsoft.com/office/word/2010/wordprocessingShape">
                    <wps:wsp>
                      <wps:cNvSpPr/>
                      <wps:spPr>
                        <a:xfrm>
                          <a:off x="0" y="0"/>
                          <a:ext cx="1887220" cy="14141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D1B00" w14:textId="77777777" w:rsidR="00562D10" w:rsidRDefault="00562D10" w:rsidP="00562D10">
                            <w:pPr>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w:t>
                            </w:r>
                          </w:p>
                          <w:p w14:paraId="4B61C037" w14:textId="77777777" w:rsidR="00562D10" w:rsidRDefault="00562D10" w:rsidP="00562D10">
                            <w:pPr>
                              <w:rPr>
                                <w:rFonts w:ascii="Arial" w:hAnsi="Arial" w:cs="Arial"/>
                                <w:color w:val="000000" w:themeColor="text1"/>
                                <w:sz w:val="18"/>
                                <w:szCs w:val="20"/>
                              </w:rPr>
                            </w:pPr>
                            <w:r>
                              <w:rPr>
                                <w:rFonts w:ascii="Arial" w:hAnsi="Arial" w:cs="Arial"/>
                                <w:color w:val="000000" w:themeColor="text1"/>
                                <w:sz w:val="18"/>
                                <w:szCs w:val="20"/>
                              </w:rPr>
                              <w:t>(n = 2002)</w:t>
                            </w:r>
                          </w:p>
                          <w:p w14:paraId="0017E96F" w14:textId="77777777" w:rsidR="00562D10" w:rsidRDefault="00562D10" w:rsidP="00562D10">
                            <w:pPr>
                              <w:ind w:left="284"/>
                              <w:rPr>
                                <w:rFonts w:ascii="Arial" w:hAnsi="Arial" w:cs="Arial"/>
                                <w:color w:val="000000" w:themeColor="text1"/>
                                <w:sz w:val="18"/>
                                <w:szCs w:val="20"/>
                              </w:rPr>
                            </w:pPr>
                            <w:r>
                              <w:rPr>
                                <w:rFonts w:ascii="Arial" w:hAnsi="Arial" w:cs="Arial"/>
                                <w:color w:val="000000" w:themeColor="text1"/>
                                <w:sz w:val="18"/>
                                <w:szCs w:val="20"/>
                              </w:rPr>
                              <w:t>Wrong language(n =5 )</w:t>
                            </w:r>
                          </w:p>
                          <w:p w14:paraId="3062E692" w14:textId="77777777" w:rsidR="00562D10" w:rsidRDefault="00562D10" w:rsidP="00562D10">
                            <w:pPr>
                              <w:ind w:left="284"/>
                              <w:rPr>
                                <w:rFonts w:ascii="Arial" w:hAnsi="Arial" w:cs="Arial"/>
                                <w:color w:val="000000" w:themeColor="text1"/>
                                <w:sz w:val="18"/>
                                <w:szCs w:val="20"/>
                              </w:rPr>
                            </w:pPr>
                            <w:r>
                              <w:rPr>
                                <w:rFonts w:ascii="Arial" w:hAnsi="Arial" w:cs="Arial"/>
                                <w:color w:val="000000" w:themeColor="text1"/>
                                <w:sz w:val="18"/>
                                <w:szCs w:val="20"/>
                              </w:rPr>
                              <w:t>Wrong Drug (n = 1263 )</w:t>
                            </w:r>
                          </w:p>
                          <w:p w14:paraId="5D343F10" w14:textId="77777777" w:rsidR="00562D10" w:rsidRDefault="00562D10" w:rsidP="00562D10">
                            <w:pPr>
                              <w:ind w:left="284"/>
                              <w:rPr>
                                <w:rFonts w:ascii="Arial" w:hAnsi="Arial" w:cs="Arial"/>
                                <w:color w:val="000000" w:themeColor="text1"/>
                                <w:sz w:val="18"/>
                                <w:szCs w:val="20"/>
                              </w:rPr>
                            </w:pPr>
                            <w:r>
                              <w:rPr>
                                <w:rFonts w:ascii="Arial" w:hAnsi="Arial" w:cs="Arial"/>
                                <w:color w:val="000000" w:themeColor="text1"/>
                                <w:sz w:val="18"/>
                                <w:szCs w:val="20"/>
                              </w:rPr>
                              <w:t>Wrong Design (n = 444 )</w:t>
                            </w:r>
                          </w:p>
                          <w:p w14:paraId="38642FFD" w14:textId="77777777" w:rsidR="00562D10" w:rsidRDefault="00562D10" w:rsidP="00562D10">
                            <w:pPr>
                              <w:ind w:left="284"/>
                              <w:rPr>
                                <w:rFonts w:ascii="Arial" w:hAnsi="Arial" w:cs="Arial"/>
                                <w:color w:val="000000" w:themeColor="text1"/>
                                <w:sz w:val="18"/>
                                <w:szCs w:val="20"/>
                              </w:rPr>
                            </w:pPr>
                            <w:r>
                              <w:rPr>
                                <w:rFonts w:ascii="Arial" w:hAnsi="Arial" w:cs="Arial"/>
                                <w:color w:val="000000" w:themeColor="text1"/>
                                <w:sz w:val="18"/>
                                <w:szCs w:val="20"/>
                              </w:rPr>
                              <w:t>Wrong Publication Type (n = 287)</w:t>
                            </w:r>
                          </w:p>
                          <w:p w14:paraId="7691DB51" w14:textId="77777777" w:rsidR="00562D10" w:rsidRDefault="00562D10" w:rsidP="00562D10">
                            <w:pPr>
                              <w:ind w:left="284"/>
                              <w:rPr>
                                <w:rFonts w:ascii="Arial" w:hAnsi="Arial" w:cs="Arial"/>
                                <w:color w:val="000000" w:themeColor="text1"/>
                                <w:sz w:val="18"/>
                                <w:szCs w:val="20"/>
                              </w:rPr>
                            </w:pPr>
                            <w:r>
                              <w:rPr>
                                <w:rFonts w:ascii="Arial" w:hAnsi="Arial" w:cs="Arial"/>
                                <w:color w:val="000000" w:themeColor="text1"/>
                                <w:sz w:val="18"/>
                                <w:szCs w:val="20"/>
                              </w:rPr>
                              <w:t>Not accessible (n = 3 )</w:t>
                            </w:r>
                          </w:p>
                          <w:p w14:paraId="5497AD88" w14:textId="77777777" w:rsidR="00562D10" w:rsidRPr="00560609" w:rsidRDefault="00562D10" w:rsidP="00562D10">
                            <w:pPr>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762B8" id="Rectangle 1163730653" o:spid="_x0000_s1030" style="position:absolute;margin-left:240.3pt;margin-top:5.6pt;width:148.6pt;height:11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lnhiQIAAHEFAAAOAAAAZHJzL2Uyb0RvYy54bWysVG1r2zAQ/j7YfxD6vjrO0rULdUpo6RiU&#10;trQd/azIUm2QddpJiZ39+p3kl4Su7MNYArKku3vu9NzLxWXXGLZT6GuwBc9PZpwpK6Gs7WvBfzzf&#10;fDrnzAdhS2HAqoLvleeXq48fLlq3VHOowJQKGYFYv2xdwasQ3DLLvKxUI/wJOGVJqAEbEeiIr1mJ&#10;oiX0xmTz2exL1gKWDkEq7+n2uhfyVcLXWslwr7VXgZmCU2whrZjWTVyz1YVYvqJwVS2HMMQ/RNGI&#10;2pLTCepaBMG2WP8B1dQSwYMOJxKaDLSupUpvoNfkszeveaqEU+ktRI53E03+/8HKu92Te0CioXV+&#10;6WkbX9FpbOKX4mNdIms/kaW6wCRd5ufnZ/M5cSpJli/o/znRmR3MHfrwTUHD4qbgSNlIJIndrQ/k&#10;klRHlejNwk1tTMqIsfHCg6nLeJcOsSTUlUG2E5TM0OUxeQRxpEWnaJkd3pJ2YW9UhDD2UWlWlxT9&#10;PAWSyuyAKaRUNuS9qBKl6l2dzug3OhujSK4TYETWFOSEPQCMmj3IiN3HPOhHU5WqdDKe/S2w3niy&#10;SJ7Bhsm4qS3gewCGXjV47vVHknpqIkuh23TETcEXUTPebKDcPyBD6LvGO3lTUyJvhQ8PAqlNKPnU&#10;+uGeFm2gLTgMO84qwF/v3Ud9ql6SctZS2xXc/9wKVJyZ75bq+mu+WMQ+TYfF6VksMDyWbI4ldttc&#10;ARVDTkPGybSN+sGMW43QvNCEWEevJBJWku+Cy4Dj4Sr044BmjFTrdVKj3nQi3NonJyN45DkW6nP3&#10;ItAN1RyoEe5gbFGxfFPUvW60tLDeBtB1qvgDr0MGqK9TKQ0zKA6O43PSOkzK1W8AAAD//wMAUEsD&#10;BBQABgAIAAAAIQD8jkyt4gAAAAoBAAAPAAAAZHJzL2Rvd25yZXYueG1sTI9BS8NAEIXvBf/DMoKX&#10;YjdNpakxm1KE2iIoWPXgbZudJsHs7JLdtvHfO57scXgfb75XLAfbiRP2oXWkYDpJQCBVzrRUK/h4&#10;X98uQISoyejOESr4wQDL8mpU6Ny4M73haRdrwSUUcq2gidHnUoaqQavDxHkkzg6utzry2dfS9PrM&#10;5baTaZLMpdUt8YdGe3xssPreHa2C9aYZr+Tzy6ffhteDTbf+aTP+Uurmelg9gIg4xH8Y/vRZHUp2&#10;2rsjmSA6BXeLZM4oB9MUBANZlvGWvYJ0NrsHWRbyckL5CwAA//8DAFBLAQItABQABgAIAAAAIQC2&#10;gziS/gAAAOEBAAATAAAAAAAAAAAAAAAAAAAAAABbQ29udGVudF9UeXBlc10ueG1sUEsBAi0AFAAG&#10;AAgAAAAhADj9If/WAAAAlAEAAAsAAAAAAAAAAAAAAAAALwEAAF9yZWxzLy5yZWxzUEsBAi0AFAAG&#10;AAgAAAAhAN2qWeGJAgAAcQUAAA4AAAAAAAAAAAAAAAAALgIAAGRycy9lMm9Eb2MueG1sUEsBAi0A&#10;FAAGAAgAAAAhAPyOTK3iAAAACgEAAA8AAAAAAAAAAAAAAAAA4wQAAGRycy9kb3ducmV2LnhtbFBL&#10;BQYAAAAABAAEAPMAAADyBQAAAAA=&#10;" filled="f" strokecolor="black [3213]" strokeweight="2pt">
                <v:textbox>
                  <w:txbxContent>
                    <w:p w14:paraId="66DD1B00" w14:textId="77777777" w:rsidR="00562D10" w:rsidRDefault="00562D10" w:rsidP="00562D10">
                      <w:pPr>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w:t>
                      </w:r>
                    </w:p>
                    <w:p w14:paraId="4B61C037" w14:textId="77777777" w:rsidR="00562D10" w:rsidRDefault="00562D10" w:rsidP="00562D10">
                      <w:pPr>
                        <w:rPr>
                          <w:rFonts w:ascii="Arial" w:hAnsi="Arial" w:cs="Arial"/>
                          <w:color w:val="000000" w:themeColor="text1"/>
                          <w:sz w:val="18"/>
                          <w:szCs w:val="20"/>
                        </w:rPr>
                      </w:pPr>
                      <w:r>
                        <w:rPr>
                          <w:rFonts w:ascii="Arial" w:hAnsi="Arial" w:cs="Arial"/>
                          <w:color w:val="000000" w:themeColor="text1"/>
                          <w:sz w:val="18"/>
                          <w:szCs w:val="20"/>
                        </w:rPr>
                        <w:t>(n = 2002)</w:t>
                      </w:r>
                    </w:p>
                    <w:p w14:paraId="0017E96F" w14:textId="77777777" w:rsidR="00562D10" w:rsidRDefault="00562D10" w:rsidP="00562D10">
                      <w:pPr>
                        <w:ind w:left="284"/>
                        <w:rPr>
                          <w:rFonts w:ascii="Arial" w:hAnsi="Arial" w:cs="Arial"/>
                          <w:color w:val="000000" w:themeColor="text1"/>
                          <w:sz w:val="18"/>
                          <w:szCs w:val="20"/>
                        </w:rPr>
                      </w:pPr>
                      <w:r>
                        <w:rPr>
                          <w:rFonts w:ascii="Arial" w:hAnsi="Arial" w:cs="Arial"/>
                          <w:color w:val="000000" w:themeColor="text1"/>
                          <w:sz w:val="18"/>
                          <w:szCs w:val="20"/>
                        </w:rPr>
                        <w:t>Wrong language(n =5 )</w:t>
                      </w:r>
                    </w:p>
                    <w:p w14:paraId="3062E692" w14:textId="77777777" w:rsidR="00562D10" w:rsidRDefault="00562D10" w:rsidP="00562D10">
                      <w:pPr>
                        <w:ind w:left="284"/>
                        <w:rPr>
                          <w:rFonts w:ascii="Arial" w:hAnsi="Arial" w:cs="Arial"/>
                          <w:color w:val="000000" w:themeColor="text1"/>
                          <w:sz w:val="18"/>
                          <w:szCs w:val="20"/>
                        </w:rPr>
                      </w:pPr>
                      <w:r>
                        <w:rPr>
                          <w:rFonts w:ascii="Arial" w:hAnsi="Arial" w:cs="Arial"/>
                          <w:color w:val="000000" w:themeColor="text1"/>
                          <w:sz w:val="18"/>
                          <w:szCs w:val="20"/>
                        </w:rPr>
                        <w:t>Wrong Drug (n = 1263 )</w:t>
                      </w:r>
                    </w:p>
                    <w:p w14:paraId="5D343F10" w14:textId="77777777" w:rsidR="00562D10" w:rsidRDefault="00562D10" w:rsidP="00562D10">
                      <w:pPr>
                        <w:ind w:left="284"/>
                        <w:rPr>
                          <w:rFonts w:ascii="Arial" w:hAnsi="Arial" w:cs="Arial"/>
                          <w:color w:val="000000" w:themeColor="text1"/>
                          <w:sz w:val="18"/>
                          <w:szCs w:val="20"/>
                        </w:rPr>
                      </w:pPr>
                      <w:r>
                        <w:rPr>
                          <w:rFonts w:ascii="Arial" w:hAnsi="Arial" w:cs="Arial"/>
                          <w:color w:val="000000" w:themeColor="text1"/>
                          <w:sz w:val="18"/>
                          <w:szCs w:val="20"/>
                        </w:rPr>
                        <w:t>Wrong Design (n = 444 )</w:t>
                      </w:r>
                    </w:p>
                    <w:p w14:paraId="38642FFD" w14:textId="77777777" w:rsidR="00562D10" w:rsidRDefault="00562D10" w:rsidP="00562D10">
                      <w:pPr>
                        <w:ind w:left="284"/>
                        <w:rPr>
                          <w:rFonts w:ascii="Arial" w:hAnsi="Arial" w:cs="Arial"/>
                          <w:color w:val="000000" w:themeColor="text1"/>
                          <w:sz w:val="18"/>
                          <w:szCs w:val="20"/>
                        </w:rPr>
                      </w:pPr>
                      <w:r>
                        <w:rPr>
                          <w:rFonts w:ascii="Arial" w:hAnsi="Arial" w:cs="Arial"/>
                          <w:color w:val="000000" w:themeColor="text1"/>
                          <w:sz w:val="18"/>
                          <w:szCs w:val="20"/>
                        </w:rPr>
                        <w:t>Wrong Publication Type (n = 287)</w:t>
                      </w:r>
                    </w:p>
                    <w:p w14:paraId="7691DB51" w14:textId="77777777" w:rsidR="00562D10" w:rsidRDefault="00562D10" w:rsidP="00562D10">
                      <w:pPr>
                        <w:ind w:left="284"/>
                        <w:rPr>
                          <w:rFonts w:ascii="Arial" w:hAnsi="Arial" w:cs="Arial"/>
                          <w:color w:val="000000" w:themeColor="text1"/>
                          <w:sz w:val="18"/>
                          <w:szCs w:val="20"/>
                        </w:rPr>
                      </w:pPr>
                      <w:r>
                        <w:rPr>
                          <w:rFonts w:ascii="Arial" w:hAnsi="Arial" w:cs="Arial"/>
                          <w:color w:val="000000" w:themeColor="text1"/>
                          <w:sz w:val="18"/>
                          <w:szCs w:val="20"/>
                        </w:rPr>
                        <w:t>Not accessible (n = 3 )</w:t>
                      </w:r>
                    </w:p>
                    <w:p w14:paraId="5497AD88" w14:textId="77777777" w:rsidR="00562D10" w:rsidRPr="00560609" w:rsidRDefault="00562D10" w:rsidP="00562D10">
                      <w:pPr>
                        <w:rPr>
                          <w:rFonts w:ascii="Arial" w:hAnsi="Arial" w:cs="Arial"/>
                          <w:color w:val="000000" w:themeColor="text1"/>
                          <w:sz w:val="18"/>
                          <w:szCs w:val="20"/>
                        </w:rPr>
                      </w:pP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468D9774" wp14:editId="40F809DE">
                <wp:simplePos x="0" y="0"/>
                <wp:positionH relativeFrom="column">
                  <wp:posOffset>2453640</wp:posOffset>
                </wp:positionH>
                <wp:positionV relativeFrom="paragraph">
                  <wp:posOffset>328295</wp:posOffset>
                </wp:positionV>
                <wp:extent cx="563245" cy="0"/>
                <wp:effectExtent l="0" t="76200" r="27305" b="95250"/>
                <wp:wrapNone/>
                <wp:docPr id="15" name="Straight Arrow Connector 15"/>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7F1A1" id="Straight Arrow Connector 15" o:spid="_x0000_s1026" type="#_x0000_t32" style="position:absolute;margin-left:193.2pt;margin-top:25.85pt;width:44.3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z9mnjeAAAAAJ&#10;AQAADwAAAGRycy9kb3ducmV2LnhtbEyPwU7CQBCG7yS+w2ZMvMG2FSjWbgmaCPECEY3npTu2jbuz&#10;TXcLlad3DQc8zsyXf74/Xw5GsyN2rrEkIJ5EwJBKqxqqBHy8v4wXwJyXpKS2hAJ+0MGyuBnlMlP2&#10;RG943PuKhRBymRRQe99mnLuyRiPdxLZI4fZlOyN9GLuKq06eQrjRPImiOTeyofChli0+11h+73sj&#10;IN3YbbN9GHYJ9sl6tTt/Pr3qtRB3t8PqEZjHwV9h+NMP6lAEp4PtSTmmBdwv5tOACpjFKbAATNNZ&#10;DOxwWfAi5/8bFL8AAAD//wMAUEsBAi0AFAAGAAgAAAAhALaDOJL+AAAA4QEAABMAAAAAAAAAAAAA&#10;AAAAAAAAAFtDb250ZW50X1R5cGVzXS54bWxQSwECLQAUAAYACAAAACEAOP0h/9YAAACUAQAACwAA&#10;AAAAAAAAAAAAAAAvAQAAX3JlbHMvLnJlbHNQSwECLQAUAAYACAAAACEAA0VuzcoBAAD9AwAADgAA&#10;AAAAAAAAAAAAAAAuAgAAZHJzL2Uyb0RvYy54bWxQSwECLQAUAAYACAAAACEAz9mnjeAAAAAJAQAA&#10;DwAAAAAAAAAAAAAAAAAkBAAAZHJzL2Rvd25yZXYueG1sUEsFBgAAAAAEAAQA8wAAADEFAAAAAA==&#10;" strokecolor="black [3213]">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069F637E" wp14:editId="2BB88415">
                <wp:simplePos x="0" y="0"/>
                <wp:positionH relativeFrom="column">
                  <wp:posOffset>559435</wp:posOffset>
                </wp:positionH>
                <wp:positionV relativeFrom="paragraph">
                  <wp:posOffset>74930</wp:posOffset>
                </wp:positionV>
                <wp:extent cx="1887220" cy="526415"/>
                <wp:effectExtent l="0" t="0" r="17780" b="26035"/>
                <wp:wrapNone/>
                <wp:docPr id="1728241639" name="Rectangle 1728241639"/>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E6997" w14:textId="77777777" w:rsidR="00562D10" w:rsidRDefault="00562D10" w:rsidP="00562D10">
                            <w:pPr>
                              <w:jc w:val="center"/>
                              <w:rPr>
                                <w:rFonts w:ascii="Arial" w:hAnsi="Arial" w:cs="Arial"/>
                                <w:color w:val="000000" w:themeColor="text1"/>
                                <w:sz w:val="18"/>
                                <w:szCs w:val="20"/>
                              </w:rPr>
                            </w:pPr>
                            <w:r>
                              <w:rPr>
                                <w:rFonts w:ascii="Arial" w:hAnsi="Arial" w:cs="Arial"/>
                                <w:color w:val="000000" w:themeColor="text1"/>
                                <w:sz w:val="18"/>
                                <w:szCs w:val="20"/>
                              </w:rPr>
                              <w:t xml:space="preserve">Abstracts screened </w:t>
                            </w:r>
                          </w:p>
                          <w:p w14:paraId="55659CD9" w14:textId="77777777" w:rsidR="00562D10" w:rsidRPr="00560609" w:rsidRDefault="00562D10" w:rsidP="00562D10">
                            <w:pPr>
                              <w:jc w:val="center"/>
                              <w:rPr>
                                <w:rFonts w:ascii="Arial" w:hAnsi="Arial" w:cs="Arial"/>
                                <w:color w:val="000000" w:themeColor="text1"/>
                                <w:sz w:val="18"/>
                                <w:szCs w:val="20"/>
                              </w:rPr>
                            </w:pPr>
                            <w:r>
                              <w:rPr>
                                <w:rFonts w:ascii="Arial" w:hAnsi="Arial" w:cs="Arial"/>
                                <w:color w:val="000000" w:themeColor="text1"/>
                                <w:sz w:val="18"/>
                                <w:szCs w:val="20"/>
                              </w:rPr>
                              <w:t>(n =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F637E" id="Rectangle 1728241639" o:spid="_x0000_s1031" style="position:absolute;margin-left:44.05pt;margin-top:5.9pt;width:148.6pt;height:4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O6hgIAAHAFAAAOAAAAZHJzL2Uyb0RvYy54bWysVEtv2zAMvg/YfxB0Xx0HSdsFdYqgRYcB&#10;RVesHXpWZKk2IIuapMTOfv1I+ZGgK3YYloMjieRH8uPj6rprDNsrH2qwBc/PZpwpK6Gs7WvBfzzf&#10;fbrkLERhS2HAqoIfVODX648frlq3UnOowJTKMwSxYdW6glcxulWWBVmpRoQzcMqiUINvRMSrf81K&#10;L1pEb0w2n83OsxZ86TxIFQK+3vZCvk74WisZv2kdVGSm4BhbTF+fvlv6ZusrsXr1wlW1HMIQ/xBF&#10;I2qLTieoWxEF2/n6D6imlh4C6HgmoclA61qqlANmk8/eZPNUCadSLkhOcBNN4f/Byof9k3v0SEPr&#10;wirgkbLotG/oH+NjXSLrMJGlusgkPuaXlxfzOXIqUbacny/yJbGZHa2dD/GLgobRoeAei5E4Evv7&#10;EHvVUYWcWbirjUkFMZYeApi6pLd0oY5QN8azvcBaxi4fvJ1ooW+yzI6ppFM8GEUQxn5XmtUlBj9P&#10;gaQuO2IKKZWNeS+qRKl6V8sZ/kZnYxQp0QRIyBqDnLAHgFGzBxmx+7QHfTJVqUkn49nfAuuNJ4vk&#10;GWycjJvagn8PwGBWg+defySpp4ZYit22Q26wlKRJL1soD4+eeeiHJjh5V2Mh70WIj8LjlGDtcfLj&#10;N/xoA23BYThxVoH/9d476WPzopSzFqeu4OHnTnjFmflqsa0/54sFjWm6LJYX1F/+VLI9ldhdcwPY&#10;DDnuGCfTkfSjGY/aQ/OCC2JDXlEkrETfBZfRj5eb2G8DXDFSbTZJDUfTiXhvn5wkcOKZGvW5exHe&#10;Dd0ccQ4eYJxQsXrT1L0uWVrY7CLoOnX8kdehAjjWqZWGFUR74/SetI6Lcv0bAAD//wMAUEsDBBQA&#10;BgAIAAAAIQBH+B5T4QAAAAgBAAAPAAAAZHJzL2Rvd25yZXYueG1sTI/BTsMwEETvSPyDtUhcqtZJ&#10;CyWEOFWFVFohgUSBAzc33sYR8TqK3Tb8fZcTHHdmNPumWAyuFUfsQ+NJQTpJQCBV3jRUK/h4X40z&#10;ECFqMrr1hAp+MMCivLwodG78id7wuI214BIKuVZgY+xyKUNl0ekw8R0Se3vfOx357Gtpen3ictfK&#10;aZLMpdMN8QerO3y0WH1vD07Bam1HS/n88tltwuveTTfd03r0pdT11bB8ABFxiH9h+MVndCiZaecP&#10;ZIJoFWRZyknWU17A/iy7nYHYKbi/uQNZFvL/gPIMAAD//wMAUEsBAi0AFAAGAAgAAAAhALaDOJL+&#10;AAAA4QEAABMAAAAAAAAAAAAAAAAAAAAAAFtDb250ZW50X1R5cGVzXS54bWxQSwECLQAUAAYACAAA&#10;ACEAOP0h/9YAAACUAQAACwAAAAAAAAAAAAAAAAAvAQAAX3JlbHMvLnJlbHNQSwECLQAUAAYACAAA&#10;ACEAv74zuoYCAABwBQAADgAAAAAAAAAAAAAAAAAuAgAAZHJzL2Uyb0RvYy54bWxQSwECLQAUAAYA&#10;CAAAACEAR/geU+EAAAAIAQAADwAAAAAAAAAAAAAAAADgBAAAZHJzL2Rvd25yZXYueG1sUEsFBgAA&#10;AAAEAAQA8wAAAO4FAAAAAA==&#10;" filled="f" strokecolor="black [3213]" strokeweight="2pt">
                <v:textbox>
                  <w:txbxContent>
                    <w:p w14:paraId="603E6997" w14:textId="77777777" w:rsidR="00562D10" w:rsidRDefault="00562D10" w:rsidP="00562D10">
                      <w:pPr>
                        <w:jc w:val="center"/>
                        <w:rPr>
                          <w:rFonts w:ascii="Arial" w:hAnsi="Arial" w:cs="Arial"/>
                          <w:color w:val="000000" w:themeColor="text1"/>
                          <w:sz w:val="18"/>
                          <w:szCs w:val="20"/>
                        </w:rPr>
                      </w:pPr>
                      <w:r>
                        <w:rPr>
                          <w:rFonts w:ascii="Arial" w:hAnsi="Arial" w:cs="Arial"/>
                          <w:color w:val="000000" w:themeColor="text1"/>
                          <w:sz w:val="18"/>
                          <w:szCs w:val="20"/>
                        </w:rPr>
                        <w:t xml:space="preserve">Abstracts screened </w:t>
                      </w:r>
                    </w:p>
                    <w:p w14:paraId="55659CD9" w14:textId="77777777" w:rsidR="00562D10" w:rsidRPr="00560609" w:rsidRDefault="00562D10" w:rsidP="00562D10">
                      <w:pPr>
                        <w:jc w:val="center"/>
                        <w:rPr>
                          <w:rFonts w:ascii="Arial" w:hAnsi="Arial" w:cs="Arial"/>
                          <w:color w:val="000000" w:themeColor="text1"/>
                          <w:sz w:val="18"/>
                          <w:szCs w:val="20"/>
                        </w:rPr>
                      </w:pPr>
                      <w:r>
                        <w:rPr>
                          <w:rFonts w:ascii="Arial" w:hAnsi="Arial" w:cs="Arial"/>
                          <w:color w:val="000000" w:themeColor="text1"/>
                          <w:sz w:val="18"/>
                          <w:szCs w:val="20"/>
                        </w:rPr>
                        <w:t>(n = 2024)</w:t>
                      </w:r>
                    </w:p>
                  </w:txbxContent>
                </v:textbox>
              </v:rect>
            </w:pict>
          </mc:Fallback>
        </mc:AlternateContent>
      </w:r>
    </w:p>
    <w:p w14:paraId="1C1145FF" w14:textId="77777777" w:rsidR="00562D10" w:rsidRDefault="00562D10" w:rsidP="00562D10"/>
    <w:p w14:paraId="5DB7078D" w14:textId="77777777" w:rsidR="00562D10" w:rsidRDefault="00562D10" w:rsidP="00562D10">
      <w:r>
        <w:rPr>
          <w:noProof/>
        </w:rPr>
        <mc:AlternateContent>
          <mc:Choice Requires="wps">
            <w:drawing>
              <wp:anchor distT="0" distB="0" distL="114300" distR="114300" simplePos="0" relativeHeight="251671552" behindDoc="0" locked="0" layoutInCell="1" allowOverlap="1" wp14:anchorId="60AFF304" wp14:editId="590AD50A">
                <wp:simplePos x="0" y="0"/>
                <wp:positionH relativeFrom="column">
                  <wp:posOffset>-584351</wp:posOffset>
                </wp:positionH>
                <wp:positionV relativeFrom="paragraph">
                  <wp:posOffset>262125</wp:posOffset>
                </wp:positionV>
                <wp:extent cx="1650579" cy="262890"/>
                <wp:effectExtent l="7938" t="0" r="14922" b="14923"/>
                <wp:wrapNone/>
                <wp:docPr id="32" name="Flowchart: Alternate Process 32"/>
                <wp:cNvGraphicFramePr/>
                <a:graphic xmlns:a="http://schemas.openxmlformats.org/drawingml/2006/main">
                  <a:graphicData uri="http://schemas.microsoft.com/office/word/2010/wordprocessingShape">
                    <wps:wsp>
                      <wps:cNvSpPr/>
                      <wps:spPr>
                        <a:xfrm rot="16200000">
                          <a:off x="0" y="0"/>
                          <a:ext cx="1650579"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ADFA1CA" w14:textId="77777777" w:rsidR="00562D10" w:rsidRDefault="00562D10" w:rsidP="00562D10">
                            <w:pPr>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604E825F" w14:textId="77777777" w:rsidR="00562D10" w:rsidRPr="001502CF" w:rsidRDefault="00562D10" w:rsidP="00562D10">
                            <w:pPr>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FF304" id="Flowchart: Alternate Process 32" o:spid="_x0000_s1032" type="#_x0000_t176" style="position:absolute;margin-left:-46pt;margin-top:20.65pt;width:129.95pt;height:20.7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7KVsgIAAPsFAAAOAAAAZHJzL2Uyb0RvYy54bWysVMFu2zAMvQ/YPwi6r46DJF2DOkWQosOA&#10;rg3WDj0rslQbkCVNYmJnXz9Kip2sazdgmA+GSIqP5BPJy6uuUWQnnK+NLmh+NqJEaG7KWj8X9Nvj&#10;zYePlHhgumTKaFHQvfD0avH+3WVr52JsKqNK4QiCaD9vbUErADvPMs8r0TB/ZqzQaJTGNQxQdM9Z&#10;6ViL6I3KxqPRLGuNK60zXHiP2utkpIuIL6XgcC+lF0BUQTE3iH8X/5vwzxaXbP7smK1qfkiD/UMW&#10;Das1Bh2grhkwsnX1b1BNzZ3xRsIZN01mpKy5iDVgNfnoRTUPFbMi1oLkeDvQ5P8fLL/bPdi1Qxpa&#10;6+cej6GKTrqGOINs5TNkGb9YHKZLusjdfuBOdEA4KvPZdDQ9v6CEo208G3+8iORmCSyAWufhkzAN&#10;CYeCSmXaVcUcLBUIpxmIdXrGGIrtbj1gVujf+wUMb1Rd3tRKRSE0iVgpR3YMn5dxLjRMo7vaNl9M&#10;mfSzmH98aFRjOyT1pFdjiNhuASkG/CWI0n+LC10e2ijAHLNDKXhmR1bjCfZKBDylvwpJ6hKJG8eE&#10;hwxOa5kkU8VKkdTTN3OOgAFZIjkDdv4n7JTz4X5wFXFeBuf05m8klpwHjxjZaBicm1ob91p0BT1b&#10;Mt3vSUrUBJag23TITUFngdeg2Zhyv3apI3GKveU3NTbRLfOwZg4HFpW4hOAef6GvCmoOJ0oq4368&#10;pg/3cY7QSkmLC6Cg/vuWOUGJ+qxxwi7yySRsjChMpudjFNypZXNq0dtmZbAJ85hdPIb7oPqjdKZ5&#10;wl21DFHRxDTH2AXl4HphBWkx4bbjYrmM13BLWAa3+sHyAB54DvPw2D0xZw+TBDiDd6ZfFmz+YnbS&#10;3eCpzXILRtZxsI68Hl4AN0zs4sM2DCvsVI63jjt78RMAAP//AwBQSwMEFAAGAAgAAAAhAE6mqeHg&#10;AAAACQEAAA8AAABkcnMvZG93bnJldi54bWxMj0FPg0AUhO8m/ofNM/HWLtXYUmRpahNjUi+29OLt&#10;lX0Cgd0l7ELRX+/zVI+Tmcx8k24m04qRel87q2Axj0CQLZyubanglL/OYhA+oNXYOksKvsnDJru9&#10;STHR7mIPNB5DKbjE+gQVVCF0iZS+qMign7uOLHtfrjcYWPal1D1euNy08iGKltJgbXmhwo52FRXN&#10;cTAKcHzZf4x7s82bz3z3Phyat5/hpNT93bR9BhFoCtcw/OEzOmTMdHaD1V60rFePnFQwW8b8iQNP&#10;8QrEmY31Yg0yS+X/B9kvAAAA//8DAFBLAQItABQABgAIAAAAIQC2gziS/gAAAOEBAAATAAAAAAAA&#10;AAAAAAAAAAAAAABbQ29udGVudF9UeXBlc10ueG1sUEsBAi0AFAAGAAgAAAAhADj9If/WAAAAlAEA&#10;AAsAAAAAAAAAAAAAAAAALwEAAF9yZWxzLy5yZWxzUEsBAi0AFAAGAAgAAAAhAJ9rspWyAgAA+wUA&#10;AA4AAAAAAAAAAAAAAAAALgIAAGRycy9lMm9Eb2MueG1sUEsBAi0AFAAGAAgAAAAhAE6mqeHgAAAA&#10;CQEAAA8AAAAAAAAAAAAAAAAADAUAAGRycy9kb3ducmV2LnhtbFBLBQYAAAAABAAEAPMAAAAZBgAA&#10;AAA=&#10;" fillcolor="#92cddc [1944]" strokecolor="black [3213]" strokeweight="2pt">
                <v:textbox>
                  <w:txbxContent>
                    <w:p w14:paraId="2ADFA1CA" w14:textId="77777777" w:rsidR="00562D10" w:rsidRDefault="00562D10" w:rsidP="00562D10">
                      <w:pPr>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604E825F" w14:textId="77777777" w:rsidR="00562D10" w:rsidRPr="001502CF" w:rsidRDefault="00562D10" w:rsidP="00562D10">
                      <w:pPr>
                        <w:rPr>
                          <w:rFonts w:ascii="Arial" w:hAnsi="Arial" w:cs="Arial"/>
                          <w:b/>
                          <w:color w:val="000000" w:themeColor="text1"/>
                          <w:sz w:val="18"/>
                          <w:szCs w:val="18"/>
                        </w:rPr>
                      </w:pPr>
                    </w:p>
                  </w:txbxContent>
                </v:textbox>
              </v:shape>
            </w:pict>
          </mc:Fallback>
        </mc:AlternateContent>
      </w:r>
    </w:p>
    <w:p w14:paraId="51A983BD" w14:textId="77777777" w:rsidR="00562D10" w:rsidRDefault="00562D10" w:rsidP="00562D10">
      <w:r>
        <w:rPr>
          <w:noProof/>
        </w:rPr>
        <mc:AlternateContent>
          <mc:Choice Requires="wps">
            <w:drawing>
              <wp:anchor distT="0" distB="0" distL="114300" distR="114300" simplePos="0" relativeHeight="251676672" behindDoc="0" locked="0" layoutInCell="1" allowOverlap="1" wp14:anchorId="0F9BD2C0" wp14:editId="67F0DBBA">
                <wp:simplePos x="0" y="0"/>
                <wp:positionH relativeFrom="column">
                  <wp:posOffset>1435395</wp:posOffset>
                </wp:positionH>
                <wp:positionV relativeFrom="paragraph">
                  <wp:posOffset>133645</wp:posOffset>
                </wp:positionV>
                <wp:extent cx="0" cy="1105786"/>
                <wp:effectExtent l="76200" t="0" r="57150" b="56515"/>
                <wp:wrapNone/>
                <wp:docPr id="12" name="Straight Arrow Connector 12"/>
                <wp:cNvGraphicFramePr/>
                <a:graphic xmlns:a="http://schemas.openxmlformats.org/drawingml/2006/main">
                  <a:graphicData uri="http://schemas.microsoft.com/office/word/2010/wordprocessingShape">
                    <wps:wsp>
                      <wps:cNvCnPr/>
                      <wps:spPr>
                        <a:xfrm>
                          <a:off x="0" y="0"/>
                          <a:ext cx="0" cy="1105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8FD6A0" id="Straight Arrow Connector 12" o:spid="_x0000_s1026" type="#_x0000_t32" style="position:absolute;margin-left:113pt;margin-top:10.5pt;width:0;height:87.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RcHtQEAAL8DAAAOAAAAZHJzL2Uyb0RvYy54bWysU8mO1DAQvSPxD5bvdJKRGEZRp+fQA1wQ&#10;jFg+wOOUEwtvKhed5O+xne40YpEQ4lLxUq/qvefK/n62hp0Ao/au482u5gyc9L12Q8e/fH7z4o6z&#10;SML1wngHHV8g8vvD82f7KbRw40dvekCWirjYTqHjI1FoqyrKEayIOx/ApUvl0QpKWxyqHsWUqltT&#10;3dT1bTV57AN6CTGm04f1kh9KfaVA0gelIhAzHU/cqEQs8SnH6rAX7YAijFqeaYh/YGGFdqnpVupB&#10;kGDfUP9SymqJPnpFO+lt5ZXSEoqGpKapf1LzaRQBipZkTgybTfH/lZXvT0f3iMmGKcQ2hkfMKmaF&#10;Nn8TPzYXs5bNLJiJyfVQptOmqV++urvNRlZXYMBIb8Fblhcdj4RCDyMdvXPpSTw2xSxxehdpBV4A&#10;uatxOZLQ5rXrGS0hzQ2hFm4wcO6TU6or47KixcAK/wiK6T5xXNuUYYKjQXYSaQz6r81WJWVmiNLG&#10;bKC6cPsj6JybYVAG7G+BW3bp6B1tQKudx991pflCVa35F9Wr1iz7yfdLeb9iR5qS8g7nic5j+OO+&#10;wK//3eE7AAAA//8DAFBLAwQUAAYACAAAACEAIt7vU9wAAAAKAQAADwAAAGRycy9kb3ducmV2Lnht&#10;bEyPy07DMBBF90j8gzVIbCpqJ9CKpHEqFAmxbssHOPGQRPUjtd02/XsGsYDVvK7unFttZ2vYBUMc&#10;vZOQLQUwdJ3Xo+slfB7en16BxaScVsY7lHDDCNv6/q5SpfZXt8PLPvWMTFwslYQhpankPHYDWhWX&#10;fkJHty8frEo0hp7roK5kbg3PhVhzq0ZHHwY1YTNgd9yfrYRd89Jmt9CI1YcRxWlxKhbPqpDy8WF+&#10;2wBLOKc/MfzgEzrUxNT6s9ORGQl5vqYsiZqMKgl+Fy0pi1UGvK74/wj1NwAAAP//AwBQSwECLQAU&#10;AAYACAAAACEAtoM4kv4AAADhAQAAEwAAAAAAAAAAAAAAAAAAAAAAW0NvbnRlbnRfVHlwZXNdLnht&#10;bFBLAQItABQABgAIAAAAIQA4/SH/1gAAAJQBAAALAAAAAAAAAAAAAAAAAC8BAABfcmVscy8ucmVs&#10;c1BLAQItABQABgAIAAAAIQC3CRcHtQEAAL8DAAAOAAAAAAAAAAAAAAAAAC4CAABkcnMvZTJvRG9j&#10;LnhtbFBLAQItABQABgAIAAAAIQAi3u9T3AAAAAoBAAAPAAAAAAAAAAAAAAAAAA8EAABkcnMvZG93&#10;bnJldi54bWxQSwUGAAAAAAQABADzAAAAGAUAAAAA&#10;" strokecolor="black [3040]">
                <v:stroke endarrow="block"/>
              </v:shape>
            </w:pict>
          </mc:Fallback>
        </mc:AlternateContent>
      </w:r>
    </w:p>
    <w:p w14:paraId="6F2FC97E" w14:textId="77777777" w:rsidR="00562D10" w:rsidRDefault="00562D10" w:rsidP="00562D10"/>
    <w:p w14:paraId="1751CCD4" w14:textId="77777777" w:rsidR="00562D10" w:rsidRDefault="00562D10" w:rsidP="00562D10"/>
    <w:p w14:paraId="382BA3C7" w14:textId="77777777" w:rsidR="00562D10" w:rsidRDefault="00562D10" w:rsidP="00562D10"/>
    <w:p w14:paraId="7D36DD0F" w14:textId="77777777" w:rsidR="00562D10" w:rsidRDefault="00562D10" w:rsidP="00562D10"/>
    <w:p w14:paraId="3CCB8B80" w14:textId="77777777" w:rsidR="00562D10" w:rsidRDefault="00562D10" w:rsidP="00562D10"/>
    <w:p w14:paraId="67B37B80" w14:textId="77777777" w:rsidR="00562D10" w:rsidRDefault="00562D10" w:rsidP="00562D10"/>
    <w:p w14:paraId="6B95BAB5" w14:textId="77777777" w:rsidR="00562D10" w:rsidRDefault="00562D10" w:rsidP="00562D10">
      <w:r w:rsidRPr="00560609">
        <w:rPr>
          <w:noProof/>
        </w:rPr>
        <mc:AlternateContent>
          <mc:Choice Requires="wps">
            <w:drawing>
              <wp:anchor distT="0" distB="0" distL="114300" distR="114300" simplePos="0" relativeHeight="251664384" behindDoc="0" locked="0" layoutInCell="1" allowOverlap="1" wp14:anchorId="1E2A4F74" wp14:editId="5836E9A9">
                <wp:simplePos x="0" y="0"/>
                <wp:positionH relativeFrom="column">
                  <wp:posOffset>3019425</wp:posOffset>
                </wp:positionH>
                <wp:positionV relativeFrom="paragraph">
                  <wp:posOffset>162560</wp:posOffset>
                </wp:positionV>
                <wp:extent cx="2286000" cy="930303"/>
                <wp:effectExtent l="0" t="0" r="19050" b="22225"/>
                <wp:wrapNone/>
                <wp:docPr id="7" name="Rectangle 7"/>
                <wp:cNvGraphicFramePr/>
                <a:graphic xmlns:a="http://schemas.openxmlformats.org/drawingml/2006/main">
                  <a:graphicData uri="http://schemas.microsoft.com/office/word/2010/wordprocessingShape">
                    <wps:wsp>
                      <wps:cNvSpPr/>
                      <wps:spPr>
                        <a:xfrm>
                          <a:off x="0" y="0"/>
                          <a:ext cx="2286000" cy="9303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5965A" w14:textId="77777777" w:rsidR="00562D10" w:rsidRDefault="00562D10" w:rsidP="00562D10">
                            <w:pPr>
                              <w:rPr>
                                <w:rFonts w:ascii="Arial" w:hAnsi="Arial" w:cs="Arial"/>
                                <w:color w:val="000000" w:themeColor="text1"/>
                                <w:sz w:val="18"/>
                                <w:szCs w:val="20"/>
                              </w:rPr>
                            </w:pPr>
                            <w:r w:rsidRPr="005508DC">
                              <w:rPr>
                                <w:rFonts w:ascii="Arial" w:hAnsi="Arial" w:cs="Arial"/>
                                <w:color w:val="000000" w:themeColor="text1"/>
                                <w:sz w:val="18"/>
                                <w:szCs w:val="20"/>
                              </w:rPr>
                              <w:t xml:space="preserve">Full-text articles excluded (n = </w:t>
                            </w:r>
                            <w:r>
                              <w:rPr>
                                <w:rFonts w:ascii="Arial" w:hAnsi="Arial" w:cs="Arial"/>
                                <w:color w:val="000000" w:themeColor="text1"/>
                                <w:sz w:val="18"/>
                                <w:szCs w:val="20"/>
                              </w:rPr>
                              <w:t>9</w:t>
                            </w:r>
                            <w:r w:rsidRPr="005508DC">
                              <w:rPr>
                                <w:rFonts w:ascii="Arial" w:hAnsi="Arial" w:cs="Arial"/>
                                <w:color w:val="000000" w:themeColor="text1"/>
                                <w:sz w:val="18"/>
                                <w:szCs w:val="20"/>
                              </w:rPr>
                              <w:t xml:space="preserve"> )</w:t>
                            </w:r>
                          </w:p>
                          <w:p w14:paraId="1EE5BAC3" w14:textId="77777777" w:rsidR="00562D10" w:rsidRDefault="00562D10" w:rsidP="00562D10">
                            <w:pPr>
                              <w:rPr>
                                <w:rFonts w:ascii="Arial" w:hAnsi="Arial" w:cs="Arial"/>
                                <w:color w:val="000000" w:themeColor="text1"/>
                                <w:sz w:val="18"/>
                                <w:szCs w:val="20"/>
                              </w:rPr>
                            </w:pPr>
                            <w:r>
                              <w:rPr>
                                <w:rFonts w:ascii="Arial" w:hAnsi="Arial" w:cs="Arial"/>
                                <w:color w:val="000000" w:themeColor="text1"/>
                                <w:sz w:val="18"/>
                                <w:szCs w:val="20"/>
                              </w:rPr>
                              <w:tab/>
                              <w:t>Wrong population = 3</w:t>
                            </w:r>
                          </w:p>
                          <w:p w14:paraId="6E3A89ED" w14:textId="77777777" w:rsidR="00562D10" w:rsidRDefault="00562D10" w:rsidP="00562D10">
                            <w:pPr>
                              <w:rPr>
                                <w:rFonts w:ascii="Arial" w:hAnsi="Arial" w:cs="Arial"/>
                                <w:color w:val="000000" w:themeColor="text1"/>
                                <w:sz w:val="18"/>
                                <w:szCs w:val="20"/>
                              </w:rPr>
                            </w:pPr>
                            <w:r>
                              <w:rPr>
                                <w:rFonts w:ascii="Arial" w:hAnsi="Arial" w:cs="Arial"/>
                                <w:color w:val="000000" w:themeColor="text1"/>
                                <w:sz w:val="18"/>
                                <w:szCs w:val="20"/>
                              </w:rPr>
                              <w:tab/>
                              <w:t>Wrong Publication Type= 5</w:t>
                            </w:r>
                          </w:p>
                          <w:p w14:paraId="56CA470D" w14:textId="77777777" w:rsidR="00562D10" w:rsidRDefault="00562D10" w:rsidP="00562D10">
                            <w:pPr>
                              <w:ind w:firstLine="720"/>
                              <w:rPr>
                                <w:rFonts w:ascii="Arial" w:hAnsi="Arial" w:cs="Arial"/>
                                <w:color w:val="000000" w:themeColor="text1"/>
                                <w:sz w:val="18"/>
                                <w:szCs w:val="20"/>
                              </w:rPr>
                            </w:pPr>
                            <w:r>
                              <w:rPr>
                                <w:rFonts w:ascii="Arial" w:hAnsi="Arial" w:cs="Arial"/>
                                <w:color w:val="000000" w:themeColor="text1"/>
                                <w:sz w:val="18"/>
                                <w:szCs w:val="20"/>
                              </w:rPr>
                              <w:t>Not acute = 1</w:t>
                            </w:r>
                          </w:p>
                          <w:p w14:paraId="2914A49A" w14:textId="77777777" w:rsidR="00562D10" w:rsidRDefault="00562D10" w:rsidP="00562D10">
                            <w:pPr>
                              <w:rPr>
                                <w:rFonts w:ascii="Arial" w:hAnsi="Arial" w:cs="Arial"/>
                                <w:color w:val="000000" w:themeColor="text1"/>
                                <w:sz w:val="18"/>
                                <w:szCs w:val="20"/>
                              </w:rPr>
                            </w:pPr>
                          </w:p>
                          <w:p w14:paraId="17FB6A7C" w14:textId="77777777" w:rsidR="00562D10" w:rsidRDefault="00562D10" w:rsidP="00562D10">
                            <w:pPr>
                              <w:rPr>
                                <w:rFonts w:ascii="Arial" w:hAnsi="Arial" w:cs="Arial"/>
                                <w:color w:val="000000" w:themeColor="text1"/>
                                <w:sz w:val="18"/>
                                <w:szCs w:val="20"/>
                              </w:rPr>
                            </w:pPr>
                            <w:r>
                              <w:rPr>
                                <w:rFonts w:ascii="Arial" w:hAnsi="Arial" w:cs="Arial"/>
                                <w:color w:val="000000" w:themeColor="text1"/>
                                <w:sz w:val="18"/>
                                <w:szCs w:val="20"/>
                              </w:rPr>
                              <w:tab/>
                            </w:r>
                          </w:p>
                          <w:p w14:paraId="2330D5EA" w14:textId="77777777" w:rsidR="00562D10" w:rsidRPr="00560609" w:rsidRDefault="00562D10" w:rsidP="00562D10">
                            <w:pPr>
                              <w:rPr>
                                <w:rFonts w:ascii="Arial" w:hAnsi="Arial" w:cs="Arial"/>
                                <w:color w:val="000000" w:themeColor="text1"/>
                                <w:sz w:val="18"/>
                                <w:szCs w:val="20"/>
                              </w:rPr>
                            </w:pPr>
                            <w:r>
                              <w:rPr>
                                <w:rFonts w:ascii="Arial" w:hAnsi="Arial" w:cs="Arial"/>
                                <w:color w:val="000000" w:themeColor="text1"/>
                                <w:sz w:val="18"/>
                                <w:szCs w:val="20"/>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A4F74" id="Rectangle 7" o:spid="_x0000_s1033" style="position:absolute;margin-left:237.75pt;margin-top:12.8pt;width:180pt;height:7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ZthQIAAHAFAAAOAAAAZHJzL2Uyb0RvYy54bWysVE1v2zAMvQ/YfxB0X+1k6VdQpwhSdBhQ&#10;tMXaoWdFlmoDsqhRSuzs14+SHSfrih2GwYAsieQj+UTy6rprDNsq9DXYgk9Ocs6UlVDW9rXg359v&#10;P11w5oOwpTBgVcF3yvPrxccPV62bqylUYEqFjECsn7eu4FUIbp5lXlaqEf4EnLIk1ICNCHTE16xE&#10;0RJ6Y7Jpnp9lLWDpEKTynm5veiFfJHytlQwPWnsVmCk4xRbSimldxzVbXIn5KwpX1XIIQ/xDFI2o&#10;LTkdoW5EEGyD9R9QTS0RPOhwIqHJQOtaqpQDZTPJ32TzVAmnUi5EjncjTf7/wcr77ZN7RKKhdX7u&#10;aRuz6DQ28U/xsS6RtRvJUl1gki6n04uzPCdOJckuP+f0RTazg7VDH74oaFjcFBzpMRJHYnvnQ6+6&#10;V4nOLNzWxqQHMTZeeDB1Ge/SIVaEWhlkW0FvGbrJ4O1Ii3xHy+yQStqFnVERwthvSrO6jMGnQFKV&#10;HTCFlMqGSS+qRKl6V6eUZSoUgh8tUqIJMCJrCnLEHgB+j3eP3ac96EdTlYp0NM7/FlhvPFokz2DD&#10;aNzUFvA9AENZDZ57/T1JPTWRpdCtO+Km4OdRM96sodw9IkPom8Y7eVvTQ94JHx4FUpfQ21Pnhwda&#10;tIG24DDsOKsAf753H/WpeEnKWUtdV3D/YyNQcWa+Wirry8lsFts0HWan51M64LFkfSyxm2YFVAwT&#10;mjFOpm3UD2a/1QjNCw2IZfRKImEl+S64DLg/rEI/DWjESLVcJjVqTSfCnX1yMoJHnmOhPncvAt1Q&#10;zYH64B72HSrmb4q6142WFpabALpOFX/gdXgBautUSsMIinPj+Jy0DoNy8QsAAP//AwBQSwMEFAAG&#10;AAgAAAAhAEZZ2zLiAAAACgEAAA8AAABkcnMvZG93bnJldi54bWxMj8FOwkAQhu8mvsNmTLwQ2VIt&#10;kNotISYIIdFE1IO3pTu0jd3ZTXeB+vYOJz3OzJd/vr9YDLYTJ+xD60jBZJyAQKqcaalW8PG+upuD&#10;CFGT0Z0jVPCDARbl9VWhc+PO9IanXawFh1DItYImRp9LGaoGrQ5j55H4dnC91ZHHvpam12cOt51M&#10;k2QqrW6JPzTa41OD1ffuaBWs1s1oKbcvn34TXg823fjn9ehLqdubYfkIIuIQ/2C46LM6lOy0d0cy&#10;QXQKHmZZxqiCNJuCYGB+f1nsmZylE5BlIf9XKH8BAAD//wMAUEsBAi0AFAAGAAgAAAAhALaDOJL+&#10;AAAA4QEAABMAAAAAAAAAAAAAAAAAAAAAAFtDb250ZW50X1R5cGVzXS54bWxQSwECLQAUAAYACAAA&#10;ACEAOP0h/9YAAACUAQAACwAAAAAAAAAAAAAAAAAvAQAAX3JlbHMvLnJlbHNQSwECLQAUAAYACAAA&#10;ACEAETYWbYUCAABwBQAADgAAAAAAAAAAAAAAAAAuAgAAZHJzL2Uyb0RvYy54bWxQSwECLQAUAAYA&#10;CAAAACEARlnbMuIAAAAKAQAADwAAAAAAAAAAAAAAAADfBAAAZHJzL2Rvd25yZXYueG1sUEsFBgAA&#10;AAAEAAQA8wAAAO4FAAAAAA==&#10;" filled="f" strokecolor="black [3213]" strokeweight="2pt">
                <v:textbox>
                  <w:txbxContent>
                    <w:p w14:paraId="0B85965A" w14:textId="77777777" w:rsidR="00562D10" w:rsidRDefault="00562D10" w:rsidP="00562D10">
                      <w:pPr>
                        <w:rPr>
                          <w:rFonts w:ascii="Arial" w:hAnsi="Arial" w:cs="Arial"/>
                          <w:color w:val="000000" w:themeColor="text1"/>
                          <w:sz w:val="18"/>
                          <w:szCs w:val="20"/>
                        </w:rPr>
                      </w:pPr>
                      <w:r w:rsidRPr="005508DC">
                        <w:rPr>
                          <w:rFonts w:ascii="Arial" w:hAnsi="Arial" w:cs="Arial"/>
                          <w:color w:val="000000" w:themeColor="text1"/>
                          <w:sz w:val="18"/>
                          <w:szCs w:val="20"/>
                        </w:rPr>
                        <w:t xml:space="preserve">Full-text articles excluded (n = </w:t>
                      </w:r>
                      <w:r>
                        <w:rPr>
                          <w:rFonts w:ascii="Arial" w:hAnsi="Arial" w:cs="Arial"/>
                          <w:color w:val="000000" w:themeColor="text1"/>
                          <w:sz w:val="18"/>
                          <w:szCs w:val="20"/>
                        </w:rPr>
                        <w:t>9</w:t>
                      </w:r>
                      <w:r w:rsidRPr="005508DC">
                        <w:rPr>
                          <w:rFonts w:ascii="Arial" w:hAnsi="Arial" w:cs="Arial"/>
                          <w:color w:val="000000" w:themeColor="text1"/>
                          <w:sz w:val="18"/>
                          <w:szCs w:val="20"/>
                        </w:rPr>
                        <w:t xml:space="preserve"> )</w:t>
                      </w:r>
                    </w:p>
                    <w:p w14:paraId="1EE5BAC3" w14:textId="77777777" w:rsidR="00562D10" w:rsidRDefault="00562D10" w:rsidP="00562D10">
                      <w:pPr>
                        <w:rPr>
                          <w:rFonts w:ascii="Arial" w:hAnsi="Arial" w:cs="Arial"/>
                          <w:color w:val="000000" w:themeColor="text1"/>
                          <w:sz w:val="18"/>
                          <w:szCs w:val="20"/>
                        </w:rPr>
                      </w:pPr>
                      <w:r>
                        <w:rPr>
                          <w:rFonts w:ascii="Arial" w:hAnsi="Arial" w:cs="Arial"/>
                          <w:color w:val="000000" w:themeColor="text1"/>
                          <w:sz w:val="18"/>
                          <w:szCs w:val="20"/>
                        </w:rPr>
                        <w:tab/>
                        <w:t>Wrong population = 3</w:t>
                      </w:r>
                    </w:p>
                    <w:p w14:paraId="6E3A89ED" w14:textId="77777777" w:rsidR="00562D10" w:rsidRDefault="00562D10" w:rsidP="00562D10">
                      <w:pPr>
                        <w:rPr>
                          <w:rFonts w:ascii="Arial" w:hAnsi="Arial" w:cs="Arial"/>
                          <w:color w:val="000000" w:themeColor="text1"/>
                          <w:sz w:val="18"/>
                          <w:szCs w:val="20"/>
                        </w:rPr>
                      </w:pPr>
                      <w:r>
                        <w:rPr>
                          <w:rFonts w:ascii="Arial" w:hAnsi="Arial" w:cs="Arial"/>
                          <w:color w:val="000000" w:themeColor="text1"/>
                          <w:sz w:val="18"/>
                          <w:szCs w:val="20"/>
                        </w:rPr>
                        <w:tab/>
                        <w:t>Wrong Publication Type= 5</w:t>
                      </w:r>
                    </w:p>
                    <w:p w14:paraId="56CA470D" w14:textId="77777777" w:rsidR="00562D10" w:rsidRDefault="00562D10" w:rsidP="00562D10">
                      <w:pPr>
                        <w:ind w:firstLine="720"/>
                        <w:rPr>
                          <w:rFonts w:ascii="Arial" w:hAnsi="Arial" w:cs="Arial"/>
                          <w:color w:val="000000" w:themeColor="text1"/>
                          <w:sz w:val="18"/>
                          <w:szCs w:val="20"/>
                        </w:rPr>
                      </w:pPr>
                      <w:r>
                        <w:rPr>
                          <w:rFonts w:ascii="Arial" w:hAnsi="Arial" w:cs="Arial"/>
                          <w:color w:val="000000" w:themeColor="text1"/>
                          <w:sz w:val="18"/>
                          <w:szCs w:val="20"/>
                        </w:rPr>
                        <w:t>Not acute = 1</w:t>
                      </w:r>
                    </w:p>
                    <w:p w14:paraId="2914A49A" w14:textId="77777777" w:rsidR="00562D10" w:rsidRDefault="00562D10" w:rsidP="00562D10">
                      <w:pPr>
                        <w:rPr>
                          <w:rFonts w:ascii="Arial" w:hAnsi="Arial" w:cs="Arial"/>
                          <w:color w:val="000000" w:themeColor="text1"/>
                          <w:sz w:val="18"/>
                          <w:szCs w:val="20"/>
                        </w:rPr>
                      </w:pPr>
                    </w:p>
                    <w:p w14:paraId="17FB6A7C" w14:textId="77777777" w:rsidR="00562D10" w:rsidRDefault="00562D10" w:rsidP="00562D10">
                      <w:pPr>
                        <w:rPr>
                          <w:rFonts w:ascii="Arial" w:hAnsi="Arial" w:cs="Arial"/>
                          <w:color w:val="000000" w:themeColor="text1"/>
                          <w:sz w:val="18"/>
                          <w:szCs w:val="20"/>
                        </w:rPr>
                      </w:pPr>
                      <w:r>
                        <w:rPr>
                          <w:rFonts w:ascii="Arial" w:hAnsi="Arial" w:cs="Arial"/>
                          <w:color w:val="000000" w:themeColor="text1"/>
                          <w:sz w:val="18"/>
                          <w:szCs w:val="20"/>
                        </w:rPr>
                        <w:tab/>
                      </w:r>
                    </w:p>
                    <w:p w14:paraId="2330D5EA" w14:textId="77777777" w:rsidR="00562D10" w:rsidRPr="00560609" w:rsidRDefault="00562D10" w:rsidP="00562D10">
                      <w:pPr>
                        <w:rPr>
                          <w:rFonts w:ascii="Arial" w:hAnsi="Arial" w:cs="Arial"/>
                          <w:color w:val="000000" w:themeColor="text1"/>
                          <w:sz w:val="18"/>
                          <w:szCs w:val="20"/>
                        </w:rPr>
                      </w:pPr>
                      <w:r>
                        <w:rPr>
                          <w:rFonts w:ascii="Arial" w:hAnsi="Arial" w:cs="Arial"/>
                          <w:color w:val="000000" w:themeColor="text1"/>
                          <w:sz w:val="18"/>
                          <w:szCs w:val="20"/>
                        </w:rPr>
                        <w:tab/>
                      </w:r>
                    </w:p>
                  </w:txbxContent>
                </v:textbox>
              </v:rect>
            </w:pict>
          </mc:Fallback>
        </mc:AlternateContent>
      </w:r>
      <w:r w:rsidRPr="00560609">
        <w:rPr>
          <w:noProof/>
        </w:rPr>
        <mc:AlternateContent>
          <mc:Choice Requires="wps">
            <w:drawing>
              <wp:anchor distT="0" distB="0" distL="114300" distR="114300" simplePos="0" relativeHeight="251663360" behindDoc="0" locked="0" layoutInCell="1" allowOverlap="1" wp14:anchorId="4DAECE09" wp14:editId="462320B6">
                <wp:simplePos x="0" y="0"/>
                <wp:positionH relativeFrom="column">
                  <wp:posOffset>499435</wp:posOffset>
                </wp:positionH>
                <wp:positionV relativeFrom="paragraph">
                  <wp:posOffset>111258</wp:posOffset>
                </wp:positionV>
                <wp:extent cx="1887220" cy="584791"/>
                <wp:effectExtent l="0" t="0" r="17780" b="25400"/>
                <wp:wrapNone/>
                <wp:docPr id="1100966689" name="Rectangle 1100966689"/>
                <wp:cNvGraphicFramePr/>
                <a:graphic xmlns:a="http://schemas.openxmlformats.org/drawingml/2006/main">
                  <a:graphicData uri="http://schemas.microsoft.com/office/word/2010/wordprocessingShape">
                    <wps:wsp>
                      <wps:cNvSpPr/>
                      <wps:spPr>
                        <a:xfrm>
                          <a:off x="0" y="0"/>
                          <a:ext cx="1887220" cy="5847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15D78" w14:textId="77777777" w:rsidR="00562D10" w:rsidRPr="005508DC" w:rsidRDefault="00562D10" w:rsidP="00562D10">
                            <w:pPr>
                              <w:jc w:val="center"/>
                              <w:rPr>
                                <w:rFonts w:ascii="Arial" w:hAnsi="Arial" w:cs="Arial"/>
                                <w:color w:val="000000" w:themeColor="text1"/>
                                <w:sz w:val="18"/>
                                <w:szCs w:val="20"/>
                              </w:rPr>
                            </w:pPr>
                            <w:r w:rsidRPr="005508DC">
                              <w:rPr>
                                <w:rFonts w:ascii="Arial" w:hAnsi="Arial" w:cs="Arial"/>
                                <w:color w:val="000000" w:themeColor="text1"/>
                                <w:sz w:val="18"/>
                                <w:szCs w:val="20"/>
                              </w:rPr>
                              <w:t>Full-text articles assessed for eligibility</w:t>
                            </w:r>
                          </w:p>
                          <w:p w14:paraId="4E1B7F0A" w14:textId="77777777" w:rsidR="00562D10" w:rsidRPr="00560609" w:rsidRDefault="00562D10" w:rsidP="00562D10">
                            <w:pPr>
                              <w:jc w:val="center"/>
                              <w:rPr>
                                <w:rFonts w:ascii="Arial" w:hAnsi="Arial" w:cs="Arial"/>
                                <w:color w:val="000000" w:themeColor="text1"/>
                                <w:sz w:val="18"/>
                                <w:szCs w:val="20"/>
                              </w:rPr>
                            </w:pPr>
                            <w:r w:rsidRPr="005508DC">
                              <w:rPr>
                                <w:rFonts w:ascii="Arial" w:hAnsi="Arial" w:cs="Arial"/>
                                <w:color w:val="000000" w:themeColor="text1"/>
                                <w:sz w:val="18"/>
                                <w:szCs w:val="20"/>
                              </w:rPr>
                              <w:t>(n = 2</w:t>
                            </w:r>
                            <w:r>
                              <w:rPr>
                                <w:rFonts w:ascii="Arial" w:hAnsi="Arial" w:cs="Arial"/>
                                <w:color w:val="000000" w:themeColor="text1"/>
                                <w:sz w:val="18"/>
                                <w:szCs w:val="20"/>
                              </w:rPr>
                              <w:t>2</w:t>
                            </w:r>
                            <w:r w:rsidRPr="005508DC">
                              <w:rPr>
                                <w:rFonts w:ascii="Arial" w:hAnsi="Arial" w:cs="Arial"/>
                                <w:color w:val="000000" w:themeColor="text1"/>
                                <w:sz w:val="18"/>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ECE09" id="Rectangle 1100966689" o:spid="_x0000_s1034" style="position:absolute;margin-left:39.35pt;margin-top:8.75pt;width:148.6pt;height:4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c04hQIAAHAFAAAOAAAAZHJzL2Uyb0RvYy54bWysVE1v2zAMvQ/YfxB0Xx0H6ZoGdYogRYYB&#10;RVssHXpWZKkWIIuapMTOfv0o+SNZV+wwzAdZEslH8onkzW1ba3IQziswBc0vJpQIw6FU5rWg3583&#10;n+aU+MBMyTQYUdCj8PR2+fHDTWMXYgoV6FI4giDGLxpb0CoEu8gyzytRM38BVhgUSnA1C3h0r1np&#10;WIPotc6mk8nnrAFXWgdceI+3d52QLhO+lIKHRym9CEQXFGMLaXVp3cU1W96wxatjtlK8D4P9QxQ1&#10;UwadjlB3LDCyd+oPqFpxBx5kuOBQZyCl4iLlgNnkkzfZbCtmRcoFyfF2pMn/P1j+cNjaJ4c0NNYv&#10;PG5jFq10dfxjfKRNZB1HskQbCMfLfD6/mk6RU46yy/ns6jqPbGYna+t8+CKgJnFTUIePkThih3sf&#10;OtVBJTozsFFapwfRJl540KqMd+kQK0KstSMHhm8Z2sHbmRb6jpbZKZW0C0ctIoQ234QkqsTgpymQ&#10;VGUnTMa5MCHvRBUrRefqcoJfn9pokRJNgBFZYpAjdg/we7wDdpd2rx9NRSrS0Xjyt8A649EieQYT&#10;RuNaGXDvAWjMqvfc6Q8kddRElkK7a5Gbgs6jZrzZQXl8csRB1zTe8o3Ch7xnPjwxh12Cb4+dHx5x&#10;kRqagkK/o6QC9/O9+6iPxYtSShrsuoL6H3vmBCX6q8Gyvs5ns9im6TC7vIr15c4lu3OJ2ddrwGLI&#10;ccZYnrZRP+hhKx3ULzggVtEripjh6LugPLjhsA7dNMARw8VqldSwNS0L92ZreQSPPMdCfW5fmLN9&#10;NQfsgwcYOpQt3hR1pxstDaz2AaRKFX/itX8BbOtUSv0IinPj/Jy0ToNy+QsAAP//AwBQSwMEFAAG&#10;AAgAAAAhAIePzbLhAAAACQEAAA8AAABkcnMvZG93bnJldi54bWxMj8FOwzAQRO9I/IO1SFwq6lDU&#10;pg1xqgqptEICiQIHbm68jSPitRW7bfh7lhMcd2Y0+6ZcDq4TJ+xj60nB7TgDgVR701Kj4P1tfTMH&#10;EZMmoztPqOAbIyyry4tSF8af6RVPu9QILqFYaAU2pVBIGWuLTsexD0jsHXzvdOKzb6Tp9ZnLXScn&#10;WTaTTrfEH6wO+GCx/todnYL1xo5W8un5I2zjy8FNtuFxM/pU6vpqWN2DSDikvzD84jM6VMy090cy&#10;UXQK8nnOSdbzKQj27/LpAsSehWwxA1mV8v+C6gcAAP//AwBQSwECLQAUAAYACAAAACEAtoM4kv4A&#10;AADhAQAAEwAAAAAAAAAAAAAAAAAAAAAAW0NvbnRlbnRfVHlwZXNdLnhtbFBLAQItABQABgAIAAAA&#10;IQA4/SH/1gAAAJQBAAALAAAAAAAAAAAAAAAAAC8BAABfcmVscy8ucmVsc1BLAQItABQABgAIAAAA&#10;IQB6cc04hQIAAHAFAAAOAAAAAAAAAAAAAAAAAC4CAABkcnMvZTJvRG9jLnhtbFBLAQItABQABgAI&#10;AAAAIQCHj82y4QAAAAkBAAAPAAAAAAAAAAAAAAAAAN8EAABkcnMvZG93bnJldi54bWxQSwUGAAAA&#10;AAQABADzAAAA7QUAAAAA&#10;" filled="f" strokecolor="black [3213]" strokeweight="2pt">
                <v:textbox>
                  <w:txbxContent>
                    <w:p w14:paraId="2E715D78" w14:textId="77777777" w:rsidR="00562D10" w:rsidRPr="005508DC" w:rsidRDefault="00562D10" w:rsidP="00562D10">
                      <w:pPr>
                        <w:jc w:val="center"/>
                        <w:rPr>
                          <w:rFonts w:ascii="Arial" w:hAnsi="Arial" w:cs="Arial"/>
                          <w:color w:val="000000" w:themeColor="text1"/>
                          <w:sz w:val="18"/>
                          <w:szCs w:val="20"/>
                        </w:rPr>
                      </w:pPr>
                      <w:r w:rsidRPr="005508DC">
                        <w:rPr>
                          <w:rFonts w:ascii="Arial" w:hAnsi="Arial" w:cs="Arial"/>
                          <w:color w:val="000000" w:themeColor="text1"/>
                          <w:sz w:val="18"/>
                          <w:szCs w:val="20"/>
                        </w:rPr>
                        <w:t>Full-text articles assessed for eligibility</w:t>
                      </w:r>
                    </w:p>
                    <w:p w14:paraId="4E1B7F0A" w14:textId="77777777" w:rsidR="00562D10" w:rsidRPr="00560609" w:rsidRDefault="00562D10" w:rsidP="00562D10">
                      <w:pPr>
                        <w:jc w:val="center"/>
                        <w:rPr>
                          <w:rFonts w:ascii="Arial" w:hAnsi="Arial" w:cs="Arial"/>
                          <w:color w:val="000000" w:themeColor="text1"/>
                          <w:sz w:val="18"/>
                          <w:szCs w:val="20"/>
                        </w:rPr>
                      </w:pPr>
                      <w:r w:rsidRPr="005508DC">
                        <w:rPr>
                          <w:rFonts w:ascii="Arial" w:hAnsi="Arial" w:cs="Arial"/>
                          <w:color w:val="000000" w:themeColor="text1"/>
                          <w:sz w:val="18"/>
                          <w:szCs w:val="20"/>
                        </w:rPr>
                        <w:t>(n = 2</w:t>
                      </w:r>
                      <w:r>
                        <w:rPr>
                          <w:rFonts w:ascii="Arial" w:hAnsi="Arial" w:cs="Arial"/>
                          <w:color w:val="000000" w:themeColor="text1"/>
                          <w:sz w:val="18"/>
                          <w:szCs w:val="20"/>
                        </w:rPr>
                        <w:t>2</w:t>
                      </w:r>
                      <w:r w:rsidRPr="005508DC">
                        <w:rPr>
                          <w:rFonts w:ascii="Arial" w:hAnsi="Arial" w:cs="Arial"/>
                          <w:color w:val="000000" w:themeColor="text1"/>
                          <w:sz w:val="18"/>
                          <w:szCs w:val="20"/>
                        </w:rPr>
                        <w:t xml:space="preserve"> )</w:t>
                      </w:r>
                    </w:p>
                  </w:txbxContent>
                </v:textbox>
              </v:rect>
            </w:pict>
          </mc:Fallback>
        </mc:AlternateContent>
      </w:r>
    </w:p>
    <w:p w14:paraId="6A28B075" w14:textId="77777777" w:rsidR="00562D10" w:rsidRDefault="00562D10" w:rsidP="00562D10">
      <w:r>
        <w:rPr>
          <w:noProof/>
        </w:rPr>
        <mc:AlternateContent>
          <mc:Choice Requires="wps">
            <w:drawing>
              <wp:anchor distT="0" distB="0" distL="114300" distR="114300" simplePos="0" relativeHeight="251675648" behindDoc="0" locked="0" layoutInCell="1" allowOverlap="1" wp14:anchorId="4CAAC01B" wp14:editId="4D98AB6B">
                <wp:simplePos x="0" y="0"/>
                <wp:positionH relativeFrom="column">
                  <wp:posOffset>-184412</wp:posOffset>
                </wp:positionH>
                <wp:positionV relativeFrom="paragraph">
                  <wp:posOffset>116341</wp:posOffset>
                </wp:positionV>
                <wp:extent cx="809027" cy="262890"/>
                <wp:effectExtent l="6350" t="0" r="16510" b="16510"/>
                <wp:wrapNone/>
                <wp:docPr id="792002730" name="Flowchart: Alternate Process 792002730"/>
                <wp:cNvGraphicFramePr/>
                <a:graphic xmlns:a="http://schemas.openxmlformats.org/drawingml/2006/main">
                  <a:graphicData uri="http://schemas.microsoft.com/office/word/2010/wordprocessingShape">
                    <wps:wsp>
                      <wps:cNvSpPr/>
                      <wps:spPr>
                        <a:xfrm rot="16200000">
                          <a:off x="0" y="0"/>
                          <a:ext cx="809027"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00D94D6" w14:textId="77777777" w:rsidR="00562D10" w:rsidRPr="001502CF" w:rsidRDefault="00562D10" w:rsidP="00562D10">
                            <w:pPr>
                              <w:jc w:val="center"/>
                              <w:rPr>
                                <w:rFonts w:ascii="Arial" w:hAnsi="Arial" w:cs="Arial"/>
                                <w:b/>
                                <w:color w:val="000000" w:themeColor="text1"/>
                                <w:sz w:val="18"/>
                                <w:szCs w:val="18"/>
                              </w:rPr>
                            </w:pPr>
                            <w:r>
                              <w:rPr>
                                <w:rFonts w:ascii="Arial" w:hAnsi="Arial" w:cs="Arial"/>
                                <w:b/>
                                <w:color w:val="000000" w:themeColor="text1"/>
                                <w:sz w:val="18"/>
                                <w:szCs w:val="18"/>
                              </w:rPr>
                              <w:t>Eligibility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AC01B" id="Flowchart: Alternate Process 792002730" o:spid="_x0000_s1035" type="#_x0000_t176" style="position:absolute;margin-left:-14.5pt;margin-top:9.15pt;width:63.7pt;height:20.7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NrusgIAAPoFAAAOAAAAZHJzL2Uyb0RvYy54bWysVMFu2zAMvQ/YPwi6r46NNG2COkWQosOA&#10;rgvWDj0rslQbkCVNYhJnXz9Kip2sazdgmA+GSIqP5BPJq+uuVWQrnG+MLml+NqJEaG6qRj+X9Nvj&#10;7YdLSjwwXTFltCjpXnh6PX//7mpnZ6IwtVGVcARBtJ/tbElrADvLMs9r0TJ/ZqzQaJTGtQxQdM9Z&#10;5dgO0VuVFaPRJNsZV1lnuPAetTfJSOcRX0rB4YuUXgBRJcXcIP5d/K/DP5tfsdmzY7Zu+CEN9g9Z&#10;tKzRGHSAumHAyMY1v0G1DXfGGwln3LSZkbLhItaA1eSjF9U81MyKWAuS4+1Ak/9/sPx++2BXDmnY&#10;WT/zeAxVdNK1xBlkK58gy/jF4jBd0kXu9gN3ogPCUXk5mo6KC0o4mopJcTmN3GYJK2Ba5+GjMC0J&#10;h5JKZXbLmjlYKBBOMxCr9IoxEtveecCk0L/3CxjeqKa6bZSKQugRsVSObBm+LuNcaDiP7mrTfjZV&#10;0k9i+vGdUY3dkNTjXo0hYrcFpBjwlyBK/y0udHnoogBzzA6l4JkdSY0n2CsR8JT+KiRpKuStiAkP&#10;GZzWMk6mmlUiqc/fzDkCBmSJ5AzY+Z+wU86H+8FVxHEZnNOTv5FYch48YmSjYXBuG23ca9EV9GzJ&#10;dL8nKVETWIJu3SE3JZ0GXoNmbar9yqWGxCH2lt822ER3zMOKOZxXVOIOgi/4C31VUnM4UVIb9+M1&#10;fbiPY4RWSnY4/yX13zfMCUrUJ40DNs3H47AwojA+vyhQcKeW9alFb9qlwSbMY3bxGO6D6o/SmfYJ&#10;V9UiREUT0xxjl5SD64UlpL2Ey46LxSJewyVhGdzpB8sDeOA5zMNj98ScPUwS4Ajem35XsNmL2Ul3&#10;g6c2iw0Y2cTBOvJ6eAFcMLGLD8swbLBTOd46ruz5TwAAAP//AwBQSwMEFAAGAAgAAAAhAEn5WvLf&#10;AAAACQEAAA8AAABkcnMvZG93bnJldi54bWxMj0FPg0AUhO8m/ofNM/HWLhJqDbI0tYkxqRdbevG2&#10;ZZ9AYN8SdqHor/d5qsfJTGa+yTaz7cSEg28cKXhYRiCQSmcaqhScitfFEwgfNBndOUIF3+hhk9/e&#10;ZDo17kIHnI6hElxCPtUK6hD6VEpf1mi1X7oeib0vN1gdWA6VNIO+cLntZBxFj9Lqhnih1j3uaizb&#10;42gV6Oll/zHt7bZoP4vd+3ho337Gk1L3d/P2GUTAOVzD8IfP6JAz09mNZLzoWCd8JShYxMkaBAdW&#10;qwTEmY0oXoPMM/n/Qf4LAAD//wMAUEsBAi0AFAAGAAgAAAAhALaDOJL+AAAA4QEAABMAAAAAAAAA&#10;AAAAAAAAAAAAAFtDb250ZW50X1R5cGVzXS54bWxQSwECLQAUAAYACAAAACEAOP0h/9YAAACUAQAA&#10;CwAAAAAAAAAAAAAAAAAvAQAAX3JlbHMvLnJlbHNQSwECLQAUAAYACAAAACEAu0za7rICAAD6BQAA&#10;DgAAAAAAAAAAAAAAAAAuAgAAZHJzL2Uyb0RvYy54bWxQSwECLQAUAAYACAAAACEASfla8t8AAAAJ&#10;AQAADwAAAAAAAAAAAAAAAAAMBQAAZHJzL2Rvd25yZXYueG1sUEsFBgAAAAAEAAQA8wAAABgGAAAA&#10;AA==&#10;" fillcolor="#92cddc [1944]" strokecolor="black [3213]" strokeweight="2pt">
                <v:textbox>
                  <w:txbxContent>
                    <w:p w14:paraId="700D94D6" w14:textId="77777777" w:rsidR="00562D10" w:rsidRPr="001502CF" w:rsidRDefault="00562D10" w:rsidP="00562D10">
                      <w:pPr>
                        <w:jc w:val="center"/>
                        <w:rPr>
                          <w:rFonts w:ascii="Arial" w:hAnsi="Arial" w:cs="Arial"/>
                          <w:b/>
                          <w:color w:val="000000" w:themeColor="text1"/>
                          <w:sz w:val="18"/>
                          <w:szCs w:val="18"/>
                        </w:rPr>
                      </w:pPr>
                      <w:r>
                        <w:rPr>
                          <w:rFonts w:ascii="Arial" w:hAnsi="Arial" w:cs="Arial"/>
                          <w:b/>
                          <w:color w:val="000000" w:themeColor="text1"/>
                          <w:sz w:val="18"/>
                          <w:szCs w:val="18"/>
                        </w:rPr>
                        <w:t>Eligibility</w:t>
                      </w:r>
                    </w:p>
                  </w:txbxContent>
                </v:textbox>
              </v:shape>
            </w:pict>
          </mc:Fallback>
        </mc:AlternateContent>
      </w:r>
    </w:p>
    <w:p w14:paraId="36065857" w14:textId="77777777" w:rsidR="00562D10" w:rsidRDefault="00562D10" w:rsidP="00562D10">
      <w:r>
        <w:rPr>
          <w:noProof/>
        </w:rPr>
        <mc:AlternateContent>
          <mc:Choice Requires="wps">
            <w:drawing>
              <wp:anchor distT="0" distB="0" distL="114300" distR="114300" simplePos="0" relativeHeight="251668480" behindDoc="0" locked="0" layoutInCell="1" allowOverlap="1" wp14:anchorId="74F4F904" wp14:editId="750203CA">
                <wp:simplePos x="0" y="0"/>
                <wp:positionH relativeFrom="column">
                  <wp:posOffset>2455235</wp:posOffset>
                </wp:positionH>
                <wp:positionV relativeFrom="paragraph">
                  <wp:posOffset>70603</wp:posOffset>
                </wp:positionV>
                <wp:extent cx="563245" cy="0"/>
                <wp:effectExtent l="0" t="76200" r="27305" b="95250"/>
                <wp:wrapNone/>
                <wp:docPr id="17" name="Straight Arrow Connector 17"/>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E5F377" id="Straight Arrow Connector 17" o:spid="_x0000_s1026" type="#_x0000_t32" style="position:absolute;margin-left:193.35pt;margin-top:5.55pt;width:44.3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cuRH4d8AAAAJ&#10;AQAADwAAAGRycy9kb3ducmV2LnhtbEyPwU7DMAyG70i8Q2QkbixtGesoTaeBxNAum7Yhzllj2orG&#10;qZp0Kzw9RhzgaP+ffn/OF6NtxQl73zhSEE8iEEilMw1VCl4PzzdzED5oMrp1hAo+0cOiuLzIdWbc&#10;mXZ42odKcAn5TCuoQ+gyKX1Zo9V+4jokzt5db3Xgsa+k6fWZy20rkyiaSasb4gu17vCpxvJjP1gF&#10;6YvbNJv7cZvgkKyW26+3x3W7Uur6alw+gAg4hj8YfvRZHQp2OrqBjBetgtv5LGWUgzgGwcA0vZuC&#10;OP4uZJHL/x8U3wAAAP//AwBQSwECLQAUAAYACAAAACEAtoM4kv4AAADhAQAAEwAAAAAAAAAAAAAA&#10;AAAAAAAAW0NvbnRlbnRfVHlwZXNdLnhtbFBLAQItABQABgAIAAAAIQA4/SH/1gAAAJQBAAALAAAA&#10;AAAAAAAAAAAAAC8BAABfcmVscy8ucmVsc1BLAQItABQABgAIAAAAIQADRW7NygEAAP0DAAAOAAAA&#10;AAAAAAAAAAAAAC4CAABkcnMvZTJvRG9jLnhtbFBLAQItABQABgAIAAAAIQBy5Efh3wAAAAkBAAAP&#10;AAAAAAAAAAAAAAAAACQEAABkcnMvZG93bnJldi54bWxQSwUGAAAAAAQABADzAAAAMAUAAAAA&#10;" strokecolor="black [3213]">
                <v:stroke endarrow="block"/>
              </v:shape>
            </w:pict>
          </mc:Fallback>
        </mc:AlternateContent>
      </w:r>
    </w:p>
    <w:p w14:paraId="2C77C14C" w14:textId="77777777" w:rsidR="00562D10" w:rsidRDefault="00562D10" w:rsidP="00562D10"/>
    <w:p w14:paraId="093F4339" w14:textId="77777777" w:rsidR="00562D10" w:rsidRDefault="00562D10" w:rsidP="00562D10">
      <w:r>
        <w:rPr>
          <w:noProof/>
        </w:rPr>
        <mc:AlternateContent>
          <mc:Choice Requires="wps">
            <w:drawing>
              <wp:anchor distT="0" distB="0" distL="114300" distR="114300" simplePos="0" relativeHeight="251674624" behindDoc="0" locked="0" layoutInCell="1" allowOverlap="1" wp14:anchorId="6958479A" wp14:editId="7ABFDC72">
                <wp:simplePos x="0" y="0"/>
                <wp:positionH relativeFrom="column">
                  <wp:posOffset>1392865</wp:posOffset>
                </wp:positionH>
                <wp:positionV relativeFrom="paragraph">
                  <wp:posOffset>140770</wp:posOffset>
                </wp:positionV>
                <wp:extent cx="12405" cy="460058"/>
                <wp:effectExtent l="38100" t="0" r="64135" b="54610"/>
                <wp:wrapNone/>
                <wp:docPr id="19" name="Straight Arrow Connector 19"/>
                <wp:cNvGraphicFramePr/>
                <a:graphic xmlns:a="http://schemas.openxmlformats.org/drawingml/2006/main">
                  <a:graphicData uri="http://schemas.microsoft.com/office/word/2010/wordprocessingShape">
                    <wps:wsp>
                      <wps:cNvCnPr/>
                      <wps:spPr>
                        <a:xfrm>
                          <a:off x="0" y="0"/>
                          <a:ext cx="12405" cy="4600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54193" id="Straight Arrow Connector 19" o:spid="_x0000_s1026" type="#_x0000_t32" style="position:absolute;margin-left:109.65pt;margin-top:11.1pt;width:1pt;height:3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BDzAEAAAEEAAAOAAAAZHJzL2Uyb0RvYy54bWysU9tunDAQfa/Uf7D83gVWSRShZfOwafpS&#10;tVHbfIBjxmDJN9nTBf6+tmEhvUhVo74M2J4zZ87x+HA3akXO4IO0pqHVrqQEDLetNF1Dn749vLul&#10;JCAzLVPWQEMnCPTu+PbNYXA17G1vVQuexCIm1INraI/o6qIIvAfNws46MPFQWK8ZxqXvitazIVbX&#10;qtiX5U0xWN86bzmEEHfv50N6zPWFAI6fhQiARDU09oY5+hyfUyyOB1Z3nrle8qUN9oouNJMmkq6l&#10;7hky8t3L30ppyb0NVuCOW11YISSHrCGqqcpf1HztmYOsJZoT3GpT+H9l+afzyTz6aMPgQh3co08q&#10;RuF1+sb+yJjNmlazYETC42a1vyqvKeHx5OqmLK9vk5fFhnU+4AewmqSfhgb0THY9nqwx8Vasr7Jf&#10;7Pwx4Ay8ABKxMikGq2T7IJXKizQScFKenFm8TByrhfCnLGRSvTctwcnFaUMvmekULJmparHpzH84&#10;KZgZv4Agsk3Kcmd5BDc+xjkYvHAqE7MTTMTuVmD5d+CSn6CQx/NfwCsiM1uDK1hLY/2f2DebxJx/&#10;cWDWnSx4tu2UJyBbE+csX+PyJtIgv1xn+PZyjz8AAAD//wMAUEsDBBQABgAIAAAAIQBjFPte3wAA&#10;AAkBAAAPAAAAZHJzL2Rvd25yZXYueG1sTI9NT8MwDIbvSPyHyEjcWNqAGC1Np4HEEJdNbBPnrDVt&#10;ReJUTboVfj3eCW7+ePT6cbGYnBVHHELnSUM6S0AgVb7uqNGw373cPIAI0VBtrCfU8I0BFuXlRWHy&#10;2p/oHY/b2AgOoZAbDW2MfS5lqFp0Jsx8j8S7Tz84E7kdGlkP5sThzkqVJPfSmY74Qmt6fG6x+tqO&#10;TsP81a+7dTZtFI5qtdz8fDy92ZXW11fT8hFExCn+wXDWZ3Uo2engR6qDsBpUmt0yyoVSIBhQKuXB&#10;QUN2NwdZFvL/B+UvAAAA//8DAFBLAQItABQABgAIAAAAIQC2gziS/gAAAOEBAAATAAAAAAAAAAAA&#10;AAAAAAAAAABbQ29udGVudF9UeXBlc10ueG1sUEsBAi0AFAAGAAgAAAAhADj9If/WAAAAlAEAAAsA&#10;AAAAAAAAAAAAAAAALwEAAF9yZWxzLy5yZWxzUEsBAi0AFAAGAAgAAAAhAIl5QEPMAQAAAQQAAA4A&#10;AAAAAAAAAAAAAAAALgIAAGRycy9lMm9Eb2MueG1sUEsBAi0AFAAGAAgAAAAhAGMU+17fAAAACQEA&#10;AA8AAAAAAAAAAAAAAAAAJgQAAGRycy9kb3ducmV2LnhtbFBLBQYAAAAABAAEAPMAAAAyBQAAAAA=&#10;" strokecolor="black [3213]">
                <v:stroke endarrow="block"/>
              </v:shape>
            </w:pict>
          </mc:Fallback>
        </mc:AlternateContent>
      </w:r>
    </w:p>
    <w:p w14:paraId="5B02A78A" w14:textId="77777777" w:rsidR="00562D10" w:rsidRDefault="00562D10" w:rsidP="00562D10"/>
    <w:p w14:paraId="0FE23E11" w14:textId="77777777" w:rsidR="00562D10" w:rsidRDefault="00562D10" w:rsidP="00562D10"/>
    <w:p w14:paraId="7573B8FC" w14:textId="77777777" w:rsidR="00562D10" w:rsidRDefault="00562D10" w:rsidP="00562D10">
      <w:r w:rsidRPr="00560609">
        <w:rPr>
          <w:noProof/>
        </w:rPr>
        <mc:AlternateContent>
          <mc:Choice Requires="wps">
            <w:drawing>
              <wp:anchor distT="0" distB="0" distL="114300" distR="114300" simplePos="0" relativeHeight="251665408" behindDoc="0" locked="0" layoutInCell="1" allowOverlap="1" wp14:anchorId="2D790B22" wp14:editId="17ACEBCC">
                <wp:simplePos x="0" y="0"/>
                <wp:positionH relativeFrom="column">
                  <wp:posOffset>540385</wp:posOffset>
                </wp:positionH>
                <wp:positionV relativeFrom="paragraph">
                  <wp:posOffset>110795</wp:posOffset>
                </wp:positionV>
                <wp:extent cx="1887220" cy="723900"/>
                <wp:effectExtent l="0" t="0" r="17780" b="19050"/>
                <wp:wrapNone/>
                <wp:docPr id="13" name="Rectangle 13"/>
                <wp:cNvGraphicFramePr/>
                <a:graphic xmlns:a="http://schemas.openxmlformats.org/drawingml/2006/main">
                  <a:graphicData uri="http://schemas.microsoft.com/office/word/2010/wordprocessingShape">
                    <wps:wsp>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ED0CA" w14:textId="77777777" w:rsidR="00562D10" w:rsidRDefault="00562D10" w:rsidP="00562D10">
                            <w:pPr>
                              <w:jc w:val="center"/>
                              <w:rPr>
                                <w:rFonts w:ascii="Arial" w:hAnsi="Arial" w:cs="Arial"/>
                                <w:color w:val="000000" w:themeColor="text1"/>
                                <w:sz w:val="18"/>
                                <w:szCs w:val="20"/>
                              </w:rPr>
                            </w:pPr>
                            <w:r>
                              <w:rPr>
                                <w:rFonts w:ascii="Arial" w:hAnsi="Arial" w:cs="Arial"/>
                                <w:color w:val="000000" w:themeColor="text1"/>
                                <w:sz w:val="18"/>
                                <w:szCs w:val="20"/>
                              </w:rPr>
                              <w:t>Studies included in quantitative synthesis  (Meta Analysis)</w:t>
                            </w:r>
                          </w:p>
                          <w:p w14:paraId="545C83D6" w14:textId="77777777" w:rsidR="00562D10" w:rsidRDefault="00562D10" w:rsidP="00562D10">
                            <w:pPr>
                              <w:jc w:val="center"/>
                              <w:rPr>
                                <w:rFonts w:ascii="Arial" w:hAnsi="Arial" w:cs="Arial"/>
                                <w:color w:val="000000" w:themeColor="text1"/>
                                <w:sz w:val="18"/>
                                <w:szCs w:val="20"/>
                              </w:rPr>
                            </w:pPr>
                            <w:r>
                              <w:rPr>
                                <w:rFonts w:ascii="Arial" w:hAnsi="Arial" w:cs="Arial"/>
                                <w:color w:val="000000" w:themeColor="text1"/>
                                <w:sz w:val="18"/>
                                <w:szCs w:val="20"/>
                              </w:rPr>
                              <w:t>(n = 13 )</w:t>
                            </w:r>
                          </w:p>
                          <w:p w14:paraId="7C3A9A41" w14:textId="77777777" w:rsidR="00562D10" w:rsidRPr="00560609" w:rsidRDefault="00562D10" w:rsidP="00562D10">
                            <w:pPr>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90B22" id="Rectangle 13" o:spid="_x0000_s1036" style="position:absolute;margin-left:42.55pt;margin-top:8.7pt;width:148.6pt;height: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zhiQIAAHEFAAAOAAAAZHJzL2Uyb0RvYy54bWysVEtv2zAMvg/YfxB0X21n6doGdYogRYcB&#10;RRusHXpWZKkWIIuapMTOfv0o+ZGgK3YYloMjieRH8uPj+qZrNNkL5xWYkhZnOSXCcKiUeS3pj+e7&#10;T5eU+MBMxTQYUdKD8PRm+fHDdWsXYgY16Eo4giDGL1pb0joEu8gyz2vRMH8GVhgUSnANC3h1r1nl&#10;WIvojc5mef4la8FV1gEX3uPrbS+ky4QvpeDhUUovAtElxdhC+rr03cZvtrxmi1fHbK34EAb7hyga&#10;pgw6naBuWWBk59QfUI3iDjzIcMahyUBKxUXKAbMp8jfZPNXMipQLkuPtRJP/f7D8Yf9kNw5paK1f&#10;eDzGLDrpmviP8ZEukXWYyBJdIBwfi8vLi9kMOeUou5h9vsoTm9nR2jofvgpoSDyU1GExEkdsf+8D&#10;ekTVUSU6M3CntE4F0SY+eNCqim/pEjtCrLUje4a1DF0Ra4cQJ1p4i5bZMZV0CgctIoQ234UkqsLg&#10;ZymQ1GVHTMa5MKHoRTWrRO/qPMff6GyMIrlOgBFZYpAT9gAwavYgI3Yf86AfTUVq0sk4/1tgvfFk&#10;kTyDCZNxowy49wA0ZjV47vVHknpqIkuh23bIDdY15RqftlAdNo446KfGW36nsJL3zIcNczgmWHwc&#10;/fCIH6mhLSkMJ0pqcL/ee4/62L0opaTFsSup/7ljTlCivxns66tiPo9zmi7z84vYYO5Usj2VmF2z&#10;BuyGApeM5ekY9YMej9JB84IbYhW9oogZjr5LyoMbL+vQrwPcMVysVkkNZ9OycG+eLI/gkejYqc/d&#10;C3N2aOeAg/AA44iyxZuu7nWjpYHVLoBUqeWPvA4lwLlOvTTsoLg4Tu9J67gpl78BAAD//wMAUEsD&#10;BBQABgAIAAAAIQAQ2SiF4gAAAAkBAAAPAAAAZHJzL2Rvd25yZXYueG1sTI9LT8MwEITvSPwHa5G4&#10;VK3zKCUKcaoKqbSqBBIFDtzceBtHxA/Fbhv+PcsJjjszmv2mWo6mZ2ccQuesgHSWAEPbONXZVsD7&#10;23paAAtRWiV7Z1HANwZY1tdXlSyVu9hXPO9jy6jEhlIK0DH6kvPQaDQyzJxHS97RDUZGOoeWq0Fe&#10;qNz0PEuSBTeys/RBS4+PGpuv/ckIWG/0ZMV3zx9+G16OJtv6p83kU4jbm3H1ACziGP/C8ItP6FAT&#10;08GdrAqsF1DcpZQk/X4OjPy8yHJgBxLydA68rvj/BfUPAAAA//8DAFBLAQItABQABgAIAAAAIQC2&#10;gziS/gAAAOEBAAATAAAAAAAAAAAAAAAAAAAAAABbQ29udGVudF9UeXBlc10ueG1sUEsBAi0AFAAG&#10;AAgAAAAhADj9If/WAAAAlAEAAAsAAAAAAAAAAAAAAAAALwEAAF9yZWxzLy5yZWxzUEsBAi0AFAAG&#10;AAgAAAAhAEkITOGJAgAAcQUAAA4AAAAAAAAAAAAAAAAALgIAAGRycy9lMm9Eb2MueG1sUEsBAi0A&#10;FAAGAAgAAAAhABDZKIXiAAAACQEAAA8AAAAAAAAAAAAAAAAA4wQAAGRycy9kb3ducmV2LnhtbFBL&#10;BQYAAAAABAAEAPMAAADyBQAAAAA=&#10;" filled="f" strokecolor="black [3213]" strokeweight="2pt">
                <v:textbox>
                  <w:txbxContent>
                    <w:p w14:paraId="15BED0CA" w14:textId="77777777" w:rsidR="00562D10" w:rsidRDefault="00562D10" w:rsidP="00562D10">
                      <w:pPr>
                        <w:jc w:val="center"/>
                        <w:rPr>
                          <w:rFonts w:ascii="Arial" w:hAnsi="Arial" w:cs="Arial"/>
                          <w:color w:val="000000" w:themeColor="text1"/>
                          <w:sz w:val="18"/>
                          <w:szCs w:val="20"/>
                        </w:rPr>
                      </w:pPr>
                      <w:r>
                        <w:rPr>
                          <w:rFonts w:ascii="Arial" w:hAnsi="Arial" w:cs="Arial"/>
                          <w:color w:val="000000" w:themeColor="text1"/>
                          <w:sz w:val="18"/>
                          <w:szCs w:val="20"/>
                        </w:rPr>
                        <w:t>Studies included in quantitative synthesis  (Meta Analysis)</w:t>
                      </w:r>
                    </w:p>
                    <w:p w14:paraId="545C83D6" w14:textId="77777777" w:rsidR="00562D10" w:rsidRDefault="00562D10" w:rsidP="00562D10">
                      <w:pPr>
                        <w:jc w:val="center"/>
                        <w:rPr>
                          <w:rFonts w:ascii="Arial" w:hAnsi="Arial" w:cs="Arial"/>
                          <w:color w:val="000000" w:themeColor="text1"/>
                          <w:sz w:val="18"/>
                          <w:szCs w:val="20"/>
                        </w:rPr>
                      </w:pPr>
                      <w:r>
                        <w:rPr>
                          <w:rFonts w:ascii="Arial" w:hAnsi="Arial" w:cs="Arial"/>
                          <w:color w:val="000000" w:themeColor="text1"/>
                          <w:sz w:val="18"/>
                          <w:szCs w:val="20"/>
                        </w:rPr>
                        <w:t>(n = 13 )</w:t>
                      </w:r>
                    </w:p>
                    <w:p w14:paraId="7C3A9A41" w14:textId="77777777" w:rsidR="00562D10" w:rsidRPr="00560609" w:rsidRDefault="00562D10" w:rsidP="00562D10">
                      <w:pPr>
                        <w:rPr>
                          <w:rFonts w:ascii="Arial" w:hAnsi="Arial" w:cs="Arial"/>
                          <w:color w:val="000000" w:themeColor="text1"/>
                          <w:sz w:val="18"/>
                          <w:szCs w:val="20"/>
                        </w:rPr>
                      </w:pPr>
                    </w:p>
                  </w:txbxContent>
                </v:textbox>
              </v:rect>
            </w:pict>
          </mc:Fallback>
        </mc:AlternateContent>
      </w:r>
    </w:p>
    <w:p w14:paraId="738C9F31" w14:textId="77777777" w:rsidR="00562D10" w:rsidRDefault="00562D10" w:rsidP="00562D10">
      <w:r>
        <w:rPr>
          <w:noProof/>
        </w:rPr>
        <mc:AlternateContent>
          <mc:Choice Requires="wps">
            <w:drawing>
              <wp:anchor distT="0" distB="0" distL="114300" distR="114300" simplePos="0" relativeHeight="251672576" behindDoc="0" locked="0" layoutInCell="1" allowOverlap="1" wp14:anchorId="5FDEBFC8" wp14:editId="7F705137">
                <wp:simplePos x="0" y="0"/>
                <wp:positionH relativeFrom="column">
                  <wp:posOffset>-197462</wp:posOffset>
                </wp:positionH>
                <wp:positionV relativeFrom="paragraph">
                  <wp:posOffset>96070</wp:posOffset>
                </wp:positionV>
                <wp:extent cx="764223" cy="262890"/>
                <wp:effectExtent l="2858" t="0" r="20002" b="20003"/>
                <wp:wrapNone/>
                <wp:docPr id="33" name="Flowchart: Alternate Process 33"/>
                <wp:cNvGraphicFramePr/>
                <a:graphic xmlns:a="http://schemas.openxmlformats.org/drawingml/2006/main">
                  <a:graphicData uri="http://schemas.microsoft.com/office/word/2010/wordprocessingShape">
                    <wps:wsp>
                      <wps:cNvSpPr/>
                      <wps:spPr>
                        <a:xfrm rot="16200000">
                          <a:off x="0" y="0"/>
                          <a:ext cx="76422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742CA77" w14:textId="77777777" w:rsidR="00562D10" w:rsidRPr="001502CF" w:rsidRDefault="00562D10" w:rsidP="00562D10">
                            <w:pPr>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EBFC8" id="Flowchart: Alternate Process 33" o:spid="_x0000_s1037" type="#_x0000_t176" style="position:absolute;margin-left:-15.55pt;margin-top:7.55pt;width:60.2pt;height:20.7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lcYsQIAAPsFAAAOAAAAZHJzL2Uyb0RvYy54bWysVN9P2zAQfp+0/8Hy+0iblQIVKaqKmCYx&#10;qAYTz65jk0iO7dnXJt1fv7PdpB2DTZqWh8j367vz57u7vOoaRbbC+drogo5PRpQIzU1Z6+eCfnu8&#10;+XBOiQemS6aMFgXdCU+v5u/fXbZ2JnJTGVUKRxBE+1lrC1oB2FmWeV6JhvkTY4VGozSuYYCie85K&#10;x1pEb1SWj0bTrDWutM5w4T1qr5ORziO+lILDvZReAFEFxdog/l38r8M/m1+y2bNjtqr5vgz2D1U0&#10;rNaYdIC6ZsDIxtW/QTU1d8YbCSfcNJmRsuYi3gFvMx69uM1DxayId0FyvB1o8v8Plt9tH+zKIQ2t&#10;9TOPx3CLTrqGOINsjafIMn7xclgu6SJ3u4E70QHhqDybTvL8IyUcTfk0P7+I3GYJK2Ba5+GTMA0J&#10;h4JKZdplxRwsFAinGYhVesWYiW1vPWBRGN/HBQxvVF3e1EpFIfSIWCpHtgxfl3EuNJzGcLVpvpgy&#10;6aex/PjOqMZuSOpJr8YUsdsCUkz4SxKl/5YXunHoogBzqA6lEJkdSI0n2CkR8JT+KiSpS+QtjwUP&#10;FRzfZZJMFStFUp++WXMEDMgSyRmwx3/CTjXv/UOoiOMyBKcnf6OwFDxExMxGwxDc1Nq417Ir6NmS&#10;yb8nKVETWIJu3SE32HvRNajWptytXOpInGJv+U2NXXTLPKyYw4FFJS4huMdfaKyCmv2Jksq4H6/p&#10;gz/OEVopaXEBFNR/3zAnKFGfNU7YxXgyCRsjCpPTsxwFd2xZH1v0plka7MJxrC4egz+o/iidaZ5w&#10;Vy1CVjQxzTF3QTm4XlhCWky47bhYLKIbbgnL4FY/WB7AA9FhIB67J+bsfpQAZ/DO9MuCzV4MT/IN&#10;kdosNmBkHSfrwOv+CXDDxDbeb8Owwo7l6HXY2fOfAAAA//8DAFBLAwQUAAYACAAAACEAYpYbjt8A&#10;AAAHAQAADwAAAGRycy9kb3ducmV2LnhtbEyPQWvCQBCF74X+h2UKvelGCaJpNmKFUrCXarz0tmbH&#10;JCQ7G7KbmPbXd3qqtze8x3vfpNvJtmLE3teOFCzmEQikwpmaSgXn/G22BuGDJqNbR6jgGz1ss8eH&#10;VCfG3eiI4ymUgkvIJ1pBFUKXSOmLCq32c9chsXd1vdWBz76Uptc3LretXEbRSlpdEy9UusN9hUVz&#10;GqwCPb4ePseD3eXNV77/GI7N+89wVur5adq9gAg4hf8w/OEzOmTMdHEDGS9aBeuYgwpmy5gF+/GG&#10;P7ko2KwikFkq7/mzXwAAAP//AwBQSwECLQAUAAYACAAAACEAtoM4kv4AAADhAQAAEwAAAAAAAAAA&#10;AAAAAAAAAAAAW0NvbnRlbnRfVHlwZXNdLnhtbFBLAQItABQABgAIAAAAIQA4/SH/1gAAAJQBAAAL&#10;AAAAAAAAAAAAAAAAAC8BAABfcmVscy8ucmVsc1BLAQItABQABgAIAAAAIQBfYlcYsQIAAPsFAAAO&#10;AAAAAAAAAAAAAAAAAC4CAABkcnMvZTJvRG9jLnhtbFBLAQItABQABgAIAAAAIQBilhuO3wAAAAcB&#10;AAAPAAAAAAAAAAAAAAAAAAsFAABkcnMvZG93bnJldi54bWxQSwUGAAAAAAQABADzAAAAFwYAAAAA&#10;" fillcolor="#92cddc [1944]" strokecolor="black [3213]" strokeweight="2pt">
                <v:textbox>
                  <w:txbxContent>
                    <w:p w14:paraId="0742CA77" w14:textId="77777777" w:rsidR="00562D10" w:rsidRPr="001502CF" w:rsidRDefault="00562D10" w:rsidP="00562D10">
                      <w:pPr>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74C4208B" w14:textId="77777777" w:rsidR="00562D10" w:rsidRDefault="00562D10" w:rsidP="00562D10"/>
    <w:p w14:paraId="23217D8B" w14:textId="77777777" w:rsidR="00562D10" w:rsidRDefault="00562D10" w:rsidP="00562D10"/>
    <w:p w14:paraId="56D9F983" w14:textId="77777777" w:rsidR="00562D10" w:rsidRDefault="00562D10" w:rsidP="00562D10"/>
    <w:p w14:paraId="03460364" w14:textId="77777777" w:rsidR="00562D10" w:rsidRPr="00950F9E" w:rsidRDefault="00562D10" w:rsidP="00562D10">
      <w:pPr>
        <w:rPr>
          <w:lang w:val="en-CA"/>
        </w:rPr>
      </w:pPr>
      <w:r w:rsidRPr="00950F9E">
        <w:rPr>
          <w:i/>
          <w:iCs/>
          <w:lang w:val="en-CA"/>
        </w:rPr>
        <w:t xml:space="preserve">From: </w:t>
      </w:r>
      <w:r w:rsidRPr="00950F9E">
        <w:rPr>
          <w:lang w:val="en-CA"/>
        </w:rPr>
        <w:t xml:space="preserve"> Page MJ, McKenzie JE, Bossuyt PM, </w:t>
      </w:r>
      <w:proofErr w:type="spellStart"/>
      <w:r w:rsidRPr="00950F9E">
        <w:rPr>
          <w:lang w:val="en-CA"/>
        </w:rPr>
        <w:t>Boutron</w:t>
      </w:r>
      <w:proofErr w:type="spellEnd"/>
      <w:r w:rsidRPr="00950F9E">
        <w:rPr>
          <w:lang w:val="en-CA"/>
        </w:rPr>
        <w:t xml:space="preserve"> I, Hoffmann TC, Mulrow CD, et al. The PRISMA 2020 statement: an updated guideline for reporting systematic reviews. BMJ 2021;372:n71. </w:t>
      </w:r>
      <w:proofErr w:type="spellStart"/>
      <w:r w:rsidRPr="00950F9E">
        <w:rPr>
          <w:lang w:val="en-CA"/>
        </w:rPr>
        <w:t>doi</w:t>
      </w:r>
      <w:proofErr w:type="spellEnd"/>
      <w:r w:rsidRPr="00950F9E">
        <w:rPr>
          <w:lang w:val="en-CA"/>
        </w:rPr>
        <w:t>: 10.1136/bmj.n71</w:t>
      </w:r>
    </w:p>
    <w:p w14:paraId="6DBD5A9F" w14:textId="32E88219" w:rsidR="00716AAA" w:rsidRPr="00FC5E97" w:rsidRDefault="00FC5E97" w:rsidP="00FC5E97">
      <w:pPr>
        <w:rPr>
          <w:rFonts w:ascii="Courier New" w:eastAsia="Courier New" w:hAnsi="Courier New" w:cs="Courier New"/>
        </w:rPr>
      </w:pPr>
      <w:r>
        <w:rPr>
          <w:rFonts w:ascii="Courier New" w:eastAsia="Courier New" w:hAnsi="Courier New" w:cs="Courier New"/>
        </w:rPr>
        <w:br w:type="page"/>
      </w:r>
    </w:p>
    <w:p w14:paraId="5DEAA5B3" w14:textId="0C359458" w:rsidR="00144611" w:rsidRDefault="00144611" w:rsidP="00163040">
      <w:pPr>
        <w:widowControl w:val="0"/>
        <w:tabs>
          <w:tab w:val="left" w:pos="1440"/>
          <w:tab w:val="left" w:pos="2160"/>
          <w:tab w:val="left" w:pos="2880"/>
        </w:tabs>
        <w:spacing w:line="480" w:lineRule="auto"/>
        <w:jc w:val="both"/>
        <w:rPr>
          <w:rFonts w:ascii="Times New Roman" w:eastAsia="Times New Roman" w:hAnsi="Times New Roman" w:cs="Times New Roman"/>
        </w:rPr>
        <w:sectPr w:rsidR="00144611">
          <w:pgSz w:w="12240" w:h="15840"/>
          <w:pgMar w:top="1440" w:right="1440" w:bottom="1440" w:left="1440" w:header="720" w:footer="720" w:gutter="0"/>
          <w:lnNumType w:countBy="1" w:restart="continuous"/>
          <w:cols w:space="720"/>
        </w:sectPr>
      </w:pPr>
    </w:p>
    <w:p w14:paraId="5DEAA5B4" w14:textId="77777777" w:rsidR="00144611" w:rsidRDefault="003422DA">
      <w:pPr>
        <w:widowControl w:val="0"/>
        <w:pBdr>
          <w:top w:val="nil"/>
          <w:left w:val="nil"/>
          <w:bottom w:val="nil"/>
          <w:right w:val="nil"/>
          <w:between w:val="nil"/>
        </w:pBdr>
        <w:spacing w:line="276"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114300" distB="114300" distL="114300" distR="114300" simplePos="0" relativeHeight="251652608" behindDoc="0" locked="0" layoutInCell="1" hidden="0" allowOverlap="1" wp14:anchorId="5DEAA76E" wp14:editId="5DEAA76F">
                <wp:simplePos x="0" y="0"/>
                <wp:positionH relativeFrom="margin">
                  <wp:posOffset>-753236</wp:posOffset>
                </wp:positionH>
                <wp:positionV relativeFrom="margin">
                  <wp:posOffset>2495184</wp:posOffset>
                </wp:positionV>
                <wp:extent cx="1525334" cy="305767"/>
                <wp:effectExtent l="0" t="0" r="0" b="0"/>
                <wp:wrapNone/>
                <wp:docPr id="1" name="Text Box 1"/>
                <wp:cNvGraphicFramePr/>
                <a:graphic xmlns:a="http://schemas.openxmlformats.org/drawingml/2006/main">
                  <a:graphicData uri="http://schemas.microsoft.com/office/word/2010/wordprocessingShape">
                    <wps:wsp>
                      <wps:cNvSpPr txBox="1"/>
                      <wps:spPr>
                        <a:xfrm>
                          <a:off x="1661850" y="2557450"/>
                          <a:ext cx="8139900" cy="1393200"/>
                        </a:xfrm>
                        <a:prstGeom prst="rect">
                          <a:avLst/>
                        </a:prstGeom>
                        <a:noFill/>
                        <a:ln>
                          <a:noFill/>
                        </a:ln>
                      </wps:spPr>
                      <wps:txbx>
                        <w:txbxContent>
                          <w:p w14:paraId="5DEAA7A1" w14:textId="77777777" w:rsidR="00144611" w:rsidRDefault="003422DA">
                            <w:pPr>
                              <w:spacing w:after="60"/>
                              <w:ind w:left="113" w:right="113" w:firstLine="113"/>
                              <w:jc w:val="both"/>
                              <w:textDirection w:val="btLr"/>
                            </w:pPr>
                            <w:r>
                              <w:rPr>
                                <w:rFonts w:ascii="Times New Roman" w:eastAsia="Times New Roman" w:hAnsi="Times New Roman" w:cs="Times New Roman"/>
                                <w:b/>
                                <w:color w:val="000000"/>
                                <w:sz w:val="96"/>
                              </w:rPr>
                              <w:t>Specific Executive Function</w:t>
                            </w:r>
                          </w:p>
                        </w:txbxContent>
                      </wps:txbx>
                      <wps:bodyPr spcFirstLastPara="1" wrap="square" lIns="91425" tIns="91425" rIns="91425" bIns="91425" anchor="t" anchorCtr="0">
                        <a:noAutofit/>
                      </wps:bodyPr>
                    </wps:wsp>
                  </a:graphicData>
                </a:graphic>
              </wp:anchor>
            </w:drawing>
          </mc:Choice>
          <mc:Fallback>
            <w:pict>
              <v:shapetype w14:anchorId="5DEAA76E" id="_x0000_t202" coordsize="21600,21600" o:spt="202" path="m,l,21600r21600,l21600,xe">
                <v:stroke joinstyle="miter"/>
                <v:path gradientshapeok="t" o:connecttype="rect"/>
              </v:shapetype>
              <v:shape id="Text Box 1" o:spid="_x0000_s1038" type="#_x0000_t202" style="position:absolute;left:0;text-align:left;margin-left:-59.3pt;margin-top:196.45pt;width:120.1pt;height:24.1pt;z-index:251652608;visibility:visible;mso-wrap-style:square;mso-wrap-distance-left:9pt;mso-wrap-distance-top:9pt;mso-wrap-distance-right:9pt;mso-wrap-distance-bottom:9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E8vwEAAG0DAAAOAAAAZHJzL2Uyb0RvYy54bWysU9tu2zAMfR+wfxD0vvjSJkuMOMW2IsOA&#10;YivQ7QMUWYoF2KImKrHz96PktMnWt2IvMikRh+cc0uu7se/YUXk0YGtezHLOlJXQGLuv+a+f2w9L&#10;zjAI24gOrKr5SSG/27x/tx5cpUpooWuUZwRisRpczdsQXJVlKFvVC5yBU5YeNfheBEr9Pmu8GAi9&#10;77IyzxfZAL5xHqRCpNv76ZFvEr7WSoYfWqMKrKs5cQvp9OncxTPbrEW198K1Rp5piDew6IWx1PQF&#10;6l4EwQ7evILqjfSAoMNMQp+B1kaqpIHUFPk/ap5a4VTSQuage7EJ/x+s/H58co+ehfEzjDTAaMjg&#10;sEK6jHpG7fv4JaYsvi8WxXJORp5qXs7nH28pThaqMTBJBcviZrXKqUBSBcU3NKRYkV2gnMfwVUHP&#10;YlBzTzNK1onjA4ap9LkkdrawNV2XmnT2rwvCjDfZhW+MwrgbmWmoe/ksZgfNiTSik1tDPR8Ehkfh&#10;ac4FZwPNvub4+yC84qz7ZsncVXFbzmlZrhN/neyuE2FlC7RSgbMp/BLSgk1cPx0CaJN0RXYTlTNp&#10;mmly5rx/cWmu81R1+Us2fwAAAP//AwBQSwMEFAAGAAgAAAAhANpzxerlAAAADAEAAA8AAABkcnMv&#10;ZG93bnJldi54bWxMj9FKwzAUhu8F3yEcwRvZ0tRR1tp0iKCIMMQ6ht5lTdpEm5PaZFv16c2u9PKc&#10;8/Gf7y9Xk+3JQY3eOOTA5gkQhY2TBjsOm9f72RKIDwKl6B0qDt/Kw6o6PytFId0RX9ShDh2JIegL&#10;wUGHMBSU+kYrK/zcDQrjrXWjFSGOY0flKI4x3PY0TZKMWmEwftBiUHdaNZ/13nLIt29X7bvRP93D&#10;80fWPtZr8/W05vzyYrq9ARLUFP5gOOlHdaii087tUXrSc5gxtswiy+E6T3MgJyRlcbPjsFgwBrQq&#10;6f8S1S8AAAD//wMAUEsBAi0AFAAGAAgAAAAhALaDOJL+AAAA4QEAABMAAAAAAAAAAAAAAAAAAAAA&#10;AFtDb250ZW50X1R5cGVzXS54bWxQSwECLQAUAAYACAAAACEAOP0h/9YAAACUAQAACwAAAAAAAAAA&#10;AAAAAAAvAQAAX3JlbHMvLnJlbHNQSwECLQAUAAYACAAAACEABGXBPL8BAABtAwAADgAAAAAAAAAA&#10;AAAAAAAuAgAAZHJzL2Uyb0RvYy54bWxQSwECLQAUAAYACAAAACEA2nPF6uUAAAAMAQAADwAAAAAA&#10;AAAAAAAAAAAZBAAAZHJzL2Rvd25yZXYueG1sUEsFBgAAAAAEAAQA8wAAACsFAAAAAA==&#10;" filled="f" stroked="f">
                <v:textbox inset="2.53958mm,2.53958mm,2.53958mm,2.53958mm">
                  <w:txbxContent>
                    <w:p w14:paraId="5DEAA7A1" w14:textId="77777777" w:rsidR="00144611" w:rsidRDefault="003422DA">
                      <w:pPr>
                        <w:spacing w:after="60"/>
                        <w:ind w:left="113" w:right="113" w:firstLine="113"/>
                        <w:jc w:val="both"/>
                        <w:textDirection w:val="btLr"/>
                      </w:pPr>
                      <w:r>
                        <w:rPr>
                          <w:rFonts w:ascii="Times New Roman" w:eastAsia="Times New Roman" w:hAnsi="Times New Roman" w:cs="Times New Roman"/>
                          <w:b/>
                          <w:color w:val="000000"/>
                          <w:sz w:val="96"/>
                        </w:rPr>
                        <w:t>Specific Executive Function</w:t>
                      </w:r>
                    </w:p>
                  </w:txbxContent>
                </v:textbox>
                <w10:wrap anchorx="margin" anchory="margin"/>
              </v:shape>
            </w:pict>
          </mc:Fallback>
        </mc:AlternateContent>
      </w:r>
    </w:p>
    <w:tbl>
      <w:tblPr>
        <w:tblStyle w:val="a1"/>
        <w:tblW w:w="14895" w:type="dxa"/>
        <w:tblInd w:w="-360" w:type="dxa"/>
        <w:tblBorders>
          <w:bottom w:val="single" w:sz="4" w:space="0" w:color="000000"/>
        </w:tblBorders>
        <w:tblLayout w:type="fixed"/>
        <w:tblLook w:val="0400" w:firstRow="0" w:lastRow="0" w:firstColumn="0" w:lastColumn="0" w:noHBand="0" w:noVBand="1"/>
      </w:tblPr>
      <w:tblGrid>
        <w:gridCol w:w="990"/>
        <w:gridCol w:w="1200"/>
        <w:gridCol w:w="1260"/>
        <w:gridCol w:w="780"/>
        <w:gridCol w:w="7830"/>
        <w:gridCol w:w="2730"/>
        <w:gridCol w:w="105"/>
      </w:tblGrid>
      <w:tr w:rsidR="00144611" w14:paraId="5DEAA5B7" w14:textId="77777777" w:rsidTr="00E402E0">
        <w:trPr>
          <w:gridAfter w:val="1"/>
          <w:wAfter w:w="105" w:type="dxa"/>
          <w:trHeight w:val="20"/>
        </w:trPr>
        <w:tc>
          <w:tcPr>
            <w:tcW w:w="14790" w:type="dxa"/>
            <w:gridSpan w:val="6"/>
            <w:tcMar>
              <w:top w:w="0" w:type="dxa"/>
              <w:left w:w="45" w:type="dxa"/>
              <w:bottom w:w="0" w:type="dxa"/>
              <w:right w:w="45" w:type="dxa"/>
            </w:tcMar>
            <w:vAlign w:val="center"/>
          </w:tcPr>
          <w:p w14:paraId="5DEAA5B5" w14:textId="77777777" w:rsidR="00144611" w:rsidRDefault="00144611">
            <w:pPr>
              <w:spacing w:after="60"/>
              <w:jc w:val="both"/>
              <w:rPr>
                <w:rFonts w:ascii="Times New Roman" w:eastAsia="Times New Roman" w:hAnsi="Times New Roman" w:cs="Times New Roman"/>
                <w:b/>
              </w:rPr>
            </w:pPr>
          </w:p>
          <w:p w14:paraId="5DEAA5B6" w14:textId="53F782B3" w:rsidR="00144611" w:rsidRDefault="00144611">
            <w:pPr>
              <w:spacing w:after="60"/>
              <w:jc w:val="both"/>
              <w:rPr>
                <w:rFonts w:ascii="Times New Roman" w:eastAsia="Times New Roman" w:hAnsi="Times New Roman" w:cs="Times New Roman"/>
                <w:b/>
              </w:rPr>
            </w:pPr>
          </w:p>
        </w:tc>
      </w:tr>
      <w:tr w:rsidR="00144611" w14:paraId="5DEAA5B9" w14:textId="77777777" w:rsidTr="00E402E0">
        <w:trPr>
          <w:gridAfter w:val="1"/>
          <w:wAfter w:w="105" w:type="dxa"/>
          <w:trHeight w:val="20"/>
        </w:trPr>
        <w:tc>
          <w:tcPr>
            <w:tcW w:w="14790" w:type="dxa"/>
            <w:gridSpan w:val="6"/>
            <w:tcBorders>
              <w:bottom w:val="single" w:sz="4" w:space="0" w:color="000000"/>
            </w:tcBorders>
            <w:shd w:val="clear" w:color="auto" w:fill="FFFFFF"/>
            <w:tcMar>
              <w:top w:w="0" w:type="dxa"/>
              <w:left w:w="45" w:type="dxa"/>
              <w:bottom w:w="0" w:type="dxa"/>
              <w:right w:w="45" w:type="dxa"/>
            </w:tcMar>
            <w:vAlign w:val="bottom"/>
          </w:tcPr>
          <w:p w14:paraId="5DEAA5B8" w14:textId="7A387507" w:rsidR="00144611" w:rsidRDefault="00163040">
            <w:pPr>
              <w:spacing w:after="60"/>
              <w:jc w:val="both"/>
              <w:rPr>
                <w:rFonts w:ascii="Times New Roman" w:eastAsia="Times New Roman" w:hAnsi="Times New Roman" w:cs="Times New Roman"/>
                <w:i/>
              </w:rPr>
            </w:pPr>
            <w:r>
              <w:rPr>
                <w:rFonts w:ascii="Times New Roman" w:eastAsia="Times New Roman" w:hAnsi="Times New Roman" w:cs="Times New Roman"/>
                <w:b/>
              </w:rPr>
              <w:t xml:space="preserve">Table 3: </w:t>
            </w:r>
            <w:r w:rsidR="003422DA" w:rsidRPr="00A24699">
              <w:rPr>
                <w:rFonts w:ascii="Times New Roman" w:eastAsia="Times New Roman" w:hAnsi="Times New Roman" w:cs="Times New Roman"/>
                <w:b/>
              </w:rPr>
              <w:t>Overview of cognitive measures used in the included studies</w:t>
            </w:r>
          </w:p>
        </w:tc>
      </w:tr>
      <w:tr w:rsidR="00144611" w14:paraId="5DEAA5BF" w14:textId="77777777" w:rsidTr="00E402E0">
        <w:trPr>
          <w:gridAfter w:val="1"/>
          <w:wAfter w:w="105" w:type="dxa"/>
          <w:trHeight w:val="20"/>
        </w:trPr>
        <w:tc>
          <w:tcPr>
            <w:tcW w:w="2190" w:type="dxa"/>
            <w:gridSpan w:val="2"/>
            <w:tcBorders>
              <w:top w:val="single" w:sz="4" w:space="0" w:color="000000"/>
              <w:bottom w:val="single" w:sz="4" w:space="0" w:color="000000"/>
            </w:tcBorders>
            <w:tcMar>
              <w:top w:w="0" w:type="dxa"/>
              <w:left w:w="45" w:type="dxa"/>
              <w:bottom w:w="0" w:type="dxa"/>
              <w:right w:w="45" w:type="dxa"/>
            </w:tcMar>
            <w:vAlign w:val="center"/>
          </w:tcPr>
          <w:p w14:paraId="5DEAA5BA"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Domain</w:t>
            </w:r>
          </w:p>
        </w:tc>
        <w:tc>
          <w:tcPr>
            <w:tcW w:w="1260" w:type="dxa"/>
            <w:tcBorders>
              <w:top w:val="single" w:sz="4" w:space="0" w:color="000000"/>
              <w:bottom w:val="single" w:sz="4" w:space="0" w:color="000000"/>
            </w:tcBorders>
            <w:tcMar>
              <w:top w:w="0" w:type="dxa"/>
              <w:left w:w="45" w:type="dxa"/>
              <w:bottom w:w="0" w:type="dxa"/>
              <w:right w:w="45" w:type="dxa"/>
            </w:tcMar>
            <w:vAlign w:val="center"/>
          </w:tcPr>
          <w:p w14:paraId="5DEAA5BB"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Task</w:t>
            </w:r>
          </w:p>
        </w:tc>
        <w:tc>
          <w:tcPr>
            <w:tcW w:w="780" w:type="dxa"/>
            <w:tcBorders>
              <w:top w:val="single" w:sz="4" w:space="0" w:color="000000"/>
              <w:bottom w:val="single" w:sz="4" w:space="0" w:color="000000"/>
            </w:tcBorders>
            <w:tcMar>
              <w:top w:w="0" w:type="dxa"/>
              <w:left w:w="45" w:type="dxa"/>
              <w:bottom w:w="0" w:type="dxa"/>
              <w:right w:w="45" w:type="dxa"/>
            </w:tcMar>
          </w:tcPr>
          <w:p w14:paraId="5DEAA5BC"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Study IDs</w:t>
            </w:r>
          </w:p>
        </w:tc>
        <w:tc>
          <w:tcPr>
            <w:tcW w:w="7830" w:type="dxa"/>
            <w:tcBorders>
              <w:top w:val="single" w:sz="4" w:space="0" w:color="000000"/>
              <w:bottom w:val="single" w:sz="4" w:space="0" w:color="000000"/>
            </w:tcBorders>
            <w:tcMar>
              <w:top w:w="0" w:type="dxa"/>
              <w:left w:w="45" w:type="dxa"/>
              <w:bottom w:w="0" w:type="dxa"/>
              <w:right w:w="45" w:type="dxa"/>
            </w:tcMar>
            <w:vAlign w:val="bottom"/>
          </w:tcPr>
          <w:p w14:paraId="5DEAA5BD"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tc>
        <w:tc>
          <w:tcPr>
            <w:tcW w:w="2730" w:type="dxa"/>
            <w:tcBorders>
              <w:top w:val="single" w:sz="4" w:space="0" w:color="000000"/>
              <w:bottom w:val="single" w:sz="4" w:space="0" w:color="000000"/>
            </w:tcBorders>
            <w:tcMar>
              <w:top w:w="0" w:type="dxa"/>
              <w:left w:w="45" w:type="dxa"/>
              <w:bottom w:w="0" w:type="dxa"/>
              <w:right w:w="45" w:type="dxa"/>
            </w:tcMar>
            <w:vAlign w:val="bottom"/>
          </w:tcPr>
          <w:p w14:paraId="5DEAA5BE"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Variables</w:t>
            </w:r>
          </w:p>
        </w:tc>
      </w:tr>
      <w:tr w:rsidR="00144611" w14:paraId="5DEAA5CA" w14:textId="77777777" w:rsidTr="00E402E0">
        <w:trPr>
          <w:gridAfter w:val="1"/>
          <w:wAfter w:w="105" w:type="dxa"/>
          <w:trHeight w:val="460"/>
        </w:trPr>
        <w:tc>
          <w:tcPr>
            <w:tcW w:w="990" w:type="dxa"/>
            <w:vMerge w:val="restart"/>
            <w:tcBorders>
              <w:top w:val="nil"/>
              <w:bottom w:val="nil"/>
            </w:tcBorders>
            <w:tcMar>
              <w:top w:w="0" w:type="dxa"/>
              <w:left w:w="45" w:type="dxa"/>
              <w:bottom w:w="0" w:type="dxa"/>
              <w:right w:w="45" w:type="dxa"/>
            </w:tcMar>
            <w:textDirection w:val="btLr"/>
          </w:tcPr>
          <w:p w14:paraId="5DEAA5C2" w14:textId="49AB9FC3" w:rsidR="00144611" w:rsidRDefault="003422DA">
            <w:pPr>
              <w:spacing w:after="60"/>
              <w:ind w:left="113" w:right="113"/>
              <w:jc w:val="both"/>
              <w:rPr>
                <w:rFonts w:ascii="Times New Roman" w:eastAsia="Times New Roman" w:hAnsi="Times New Roman" w:cs="Times New Roman"/>
                <w:b/>
                <w:sz w:val="20"/>
                <w:szCs w:val="20"/>
              </w:rPr>
            </w:pPr>
            <w:r>
              <w:rPr>
                <w:rFonts w:ascii="Times New Roman" w:eastAsia="Times New Roman" w:hAnsi="Times New Roman" w:cs="Times New Roman"/>
                <w:b/>
              </w:rPr>
              <w:t xml:space="preserve">        </w:t>
            </w:r>
          </w:p>
          <w:p w14:paraId="5DEAA5C3" w14:textId="440C512D" w:rsidR="00144611" w:rsidRDefault="00E402E0">
            <w:pPr>
              <w:spacing w:after="60"/>
              <w:ind w:left="113" w:right="113"/>
              <w:jc w:val="both"/>
              <w:rPr>
                <w:rFonts w:ascii="Times New Roman" w:eastAsia="Times New Roman" w:hAnsi="Times New Roman" w:cs="Times New Roman"/>
                <w:b/>
                <w:sz w:val="20"/>
                <w:szCs w:val="20"/>
              </w:rPr>
            </w:pPr>
            <w:r>
              <w:rPr>
                <w:rFonts w:ascii="Times New Roman" w:hAnsi="Times New Roman"/>
                <w:b/>
                <w:bCs/>
                <w:lang w:val="en-DE" w:eastAsia="en-DE"/>
              </w:rPr>
              <w:t xml:space="preserve">                                     </w:t>
            </w:r>
            <w:r w:rsidR="00D16195" w:rsidRPr="00486AEA">
              <w:rPr>
                <w:rFonts w:ascii="Times New Roman" w:hAnsi="Times New Roman"/>
                <w:b/>
                <w:bCs/>
                <w:lang w:val="en-DE" w:eastAsia="en-DE"/>
              </w:rPr>
              <w:t>Specific E</w:t>
            </w:r>
            <w:r w:rsidR="00D16195" w:rsidRPr="004A1910">
              <w:rPr>
                <w:rFonts w:ascii="Times New Roman" w:hAnsi="Times New Roman"/>
                <w:b/>
                <w:bCs/>
                <w:lang w:val="en-DE" w:eastAsia="en-DE"/>
              </w:rPr>
              <w:t>xecutive Function</w:t>
            </w:r>
          </w:p>
        </w:tc>
        <w:tc>
          <w:tcPr>
            <w:tcW w:w="1200" w:type="dxa"/>
            <w:vMerge w:val="restart"/>
            <w:tcBorders>
              <w:top w:val="nil"/>
              <w:bottom w:val="single" w:sz="4" w:space="0" w:color="000000"/>
            </w:tcBorders>
            <w:tcMar>
              <w:top w:w="0" w:type="dxa"/>
              <w:left w:w="45" w:type="dxa"/>
              <w:bottom w:w="0" w:type="dxa"/>
              <w:right w:w="45" w:type="dxa"/>
            </w:tcMar>
            <w:textDirection w:val="btLr"/>
          </w:tcPr>
          <w:p w14:paraId="5DEAA5C4" w14:textId="77777777" w:rsidR="00144611" w:rsidRDefault="00144611">
            <w:pPr>
              <w:spacing w:after="60"/>
              <w:ind w:left="113" w:right="113"/>
              <w:jc w:val="both"/>
              <w:rPr>
                <w:rFonts w:ascii="Times New Roman" w:eastAsia="Times New Roman" w:hAnsi="Times New Roman" w:cs="Times New Roman"/>
                <w:b/>
                <w:sz w:val="20"/>
                <w:szCs w:val="20"/>
              </w:rPr>
            </w:pPr>
          </w:p>
          <w:p w14:paraId="5DEAA5C5" w14:textId="77777777" w:rsidR="00144611" w:rsidRDefault="003422DA" w:rsidP="00E402E0">
            <w:pPr>
              <w:spacing w:after="60"/>
              <w:ind w:left="113" w:right="11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Working memory (updating)</w:t>
            </w:r>
          </w:p>
        </w:tc>
        <w:tc>
          <w:tcPr>
            <w:tcW w:w="1260" w:type="dxa"/>
            <w:vMerge w:val="restart"/>
            <w:tcBorders>
              <w:top w:val="single" w:sz="4" w:space="0" w:color="000000"/>
            </w:tcBorders>
            <w:tcMar>
              <w:top w:w="0" w:type="dxa"/>
              <w:left w:w="45" w:type="dxa"/>
              <w:bottom w:w="0" w:type="dxa"/>
              <w:right w:w="45" w:type="dxa"/>
            </w:tcMar>
          </w:tcPr>
          <w:p w14:paraId="5DEAA5C6"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N-back</w:t>
            </w:r>
          </w:p>
        </w:tc>
        <w:tc>
          <w:tcPr>
            <w:tcW w:w="780" w:type="dxa"/>
            <w:vMerge w:val="restart"/>
            <w:tcBorders>
              <w:top w:val="single" w:sz="4" w:space="0" w:color="000000"/>
            </w:tcBorders>
            <w:tcMar>
              <w:top w:w="0" w:type="dxa"/>
              <w:left w:w="45" w:type="dxa"/>
              <w:bottom w:w="0" w:type="dxa"/>
              <w:right w:w="45" w:type="dxa"/>
            </w:tcMar>
          </w:tcPr>
          <w:p w14:paraId="5DEAA5C7"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7830" w:type="dxa"/>
            <w:vMerge w:val="restart"/>
            <w:tcBorders>
              <w:top w:val="single" w:sz="4" w:space="0" w:color="000000"/>
            </w:tcBorders>
            <w:tcMar>
              <w:top w:w="0" w:type="dxa"/>
              <w:left w:w="45" w:type="dxa"/>
              <w:bottom w:w="0" w:type="dxa"/>
              <w:right w:w="45" w:type="dxa"/>
            </w:tcMar>
          </w:tcPr>
          <w:p w14:paraId="5DEAA5C8"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N-Back task is a measure of working memory (updating). Participants view a sequence of letters and must indicate whether the current letter matches the one presented "n" steps back. </w:t>
            </w:r>
          </w:p>
        </w:tc>
        <w:tc>
          <w:tcPr>
            <w:tcW w:w="2730" w:type="dxa"/>
            <w:vMerge w:val="restart"/>
            <w:tcBorders>
              <w:top w:val="single" w:sz="4" w:space="0" w:color="000000"/>
            </w:tcBorders>
            <w:tcMar>
              <w:top w:w="0" w:type="dxa"/>
              <w:left w:w="45" w:type="dxa"/>
              <w:bottom w:w="0" w:type="dxa"/>
              <w:right w:w="45" w:type="dxa"/>
            </w:tcMar>
          </w:tcPr>
          <w:p w14:paraId="5DEAA5C9"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 Discriminately rate (hit rate [HR] - false alarm rate [FAR]),Response bias (FAR/[1-ACC]), RT</w:t>
            </w:r>
          </w:p>
        </w:tc>
      </w:tr>
      <w:tr w:rsidR="00144611" w14:paraId="5DEAA5D2" w14:textId="77777777" w:rsidTr="00E402E0">
        <w:trPr>
          <w:trHeight w:val="20"/>
        </w:trPr>
        <w:tc>
          <w:tcPr>
            <w:tcW w:w="990" w:type="dxa"/>
            <w:vMerge/>
            <w:tcBorders>
              <w:top w:val="nil"/>
              <w:bottom w:val="nil"/>
            </w:tcBorders>
            <w:tcMar>
              <w:top w:w="0" w:type="dxa"/>
              <w:left w:w="45" w:type="dxa"/>
              <w:bottom w:w="0" w:type="dxa"/>
              <w:right w:w="45" w:type="dxa"/>
            </w:tcMar>
          </w:tcPr>
          <w:p w14:paraId="5DEAA5CB"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00" w:type="dxa"/>
            <w:vMerge/>
            <w:tcBorders>
              <w:top w:val="nil"/>
              <w:bottom w:val="single" w:sz="4" w:space="0" w:color="000000"/>
            </w:tcBorders>
            <w:tcMar>
              <w:top w:w="0" w:type="dxa"/>
              <w:left w:w="45" w:type="dxa"/>
              <w:bottom w:w="0" w:type="dxa"/>
              <w:right w:w="45" w:type="dxa"/>
            </w:tcMar>
          </w:tcPr>
          <w:p w14:paraId="5DEAA5CC"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60" w:type="dxa"/>
            <w:vMerge/>
            <w:tcBorders>
              <w:top w:val="single" w:sz="4" w:space="0" w:color="000000"/>
            </w:tcBorders>
            <w:tcMar>
              <w:top w:w="0" w:type="dxa"/>
              <w:left w:w="45" w:type="dxa"/>
              <w:bottom w:w="0" w:type="dxa"/>
              <w:right w:w="45" w:type="dxa"/>
            </w:tcMar>
          </w:tcPr>
          <w:p w14:paraId="5DEAA5CD"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780" w:type="dxa"/>
            <w:vMerge/>
            <w:tcBorders>
              <w:top w:val="single" w:sz="4" w:space="0" w:color="000000"/>
            </w:tcBorders>
            <w:tcMar>
              <w:top w:w="0" w:type="dxa"/>
              <w:left w:w="45" w:type="dxa"/>
              <w:bottom w:w="0" w:type="dxa"/>
              <w:right w:w="45" w:type="dxa"/>
            </w:tcMar>
          </w:tcPr>
          <w:p w14:paraId="5DEAA5CE"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7830" w:type="dxa"/>
            <w:vMerge/>
            <w:tcBorders>
              <w:top w:val="single" w:sz="4" w:space="0" w:color="000000"/>
            </w:tcBorders>
            <w:tcMar>
              <w:top w:w="0" w:type="dxa"/>
              <w:left w:w="45" w:type="dxa"/>
              <w:bottom w:w="0" w:type="dxa"/>
              <w:right w:w="45" w:type="dxa"/>
            </w:tcMar>
          </w:tcPr>
          <w:p w14:paraId="5DEAA5CF"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2730" w:type="dxa"/>
            <w:vMerge/>
            <w:tcBorders>
              <w:top w:val="single" w:sz="4" w:space="0" w:color="000000"/>
            </w:tcBorders>
            <w:tcMar>
              <w:top w:w="0" w:type="dxa"/>
              <w:left w:w="45" w:type="dxa"/>
              <w:bottom w:w="0" w:type="dxa"/>
              <w:right w:w="45" w:type="dxa"/>
            </w:tcMar>
          </w:tcPr>
          <w:p w14:paraId="5DEAA5D0"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05" w:type="dxa"/>
            <w:vAlign w:val="center"/>
          </w:tcPr>
          <w:p w14:paraId="5DEAA5D1" w14:textId="77777777" w:rsidR="00144611" w:rsidRDefault="00144611">
            <w:pPr>
              <w:spacing w:after="60"/>
              <w:jc w:val="both"/>
              <w:rPr>
                <w:rFonts w:ascii="Times New Roman" w:eastAsia="Times New Roman" w:hAnsi="Times New Roman" w:cs="Times New Roman"/>
                <w:sz w:val="20"/>
                <w:szCs w:val="20"/>
              </w:rPr>
            </w:pPr>
          </w:p>
        </w:tc>
      </w:tr>
      <w:tr w:rsidR="00144611" w14:paraId="5DEAA5DA" w14:textId="77777777" w:rsidTr="00E402E0">
        <w:trPr>
          <w:trHeight w:val="20"/>
        </w:trPr>
        <w:tc>
          <w:tcPr>
            <w:tcW w:w="990" w:type="dxa"/>
            <w:vMerge/>
            <w:tcBorders>
              <w:top w:val="nil"/>
              <w:bottom w:val="nil"/>
            </w:tcBorders>
            <w:tcMar>
              <w:top w:w="0" w:type="dxa"/>
              <w:left w:w="45" w:type="dxa"/>
              <w:bottom w:w="0" w:type="dxa"/>
              <w:right w:w="45" w:type="dxa"/>
            </w:tcMar>
          </w:tcPr>
          <w:p w14:paraId="5DEAA5D3"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00" w:type="dxa"/>
            <w:vMerge/>
            <w:tcBorders>
              <w:top w:val="nil"/>
              <w:bottom w:val="single" w:sz="4" w:space="0" w:color="000000"/>
            </w:tcBorders>
            <w:tcMar>
              <w:top w:w="0" w:type="dxa"/>
              <w:left w:w="45" w:type="dxa"/>
              <w:bottom w:w="0" w:type="dxa"/>
              <w:right w:w="45" w:type="dxa"/>
            </w:tcMar>
          </w:tcPr>
          <w:p w14:paraId="5DEAA5D4"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60" w:type="dxa"/>
            <w:tcBorders>
              <w:bottom w:val="nil"/>
            </w:tcBorders>
            <w:tcMar>
              <w:top w:w="0" w:type="dxa"/>
              <w:left w:w="45" w:type="dxa"/>
              <w:bottom w:w="0" w:type="dxa"/>
              <w:right w:w="45" w:type="dxa"/>
            </w:tcMar>
          </w:tcPr>
          <w:p w14:paraId="5DEAA5D5"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Spatial Memory Task </w:t>
            </w:r>
          </w:p>
        </w:tc>
        <w:tc>
          <w:tcPr>
            <w:tcW w:w="780" w:type="dxa"/>
            <w:tcBorders>
              <w:bottom w:val="nil"/>
            </w:tcBorders>
            <w:tcMar>
              <w:top w:w="0" w:type="dxa"/>
              <w:left w:w="45" w:type="dxa"/>
              <w:bottom w:w="0" w:type="dxa"/>
              <w:right w:w="45" w:type="dxa"/>
            </w:tcMar>
          </w:tcPr>
          <w:p w14:paraId="5DEAA5D6"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7830" w:type="dxa"/>
            <w:tcBorders>
              <w:bottom w:val="nil"/>
            </w:tcBorders>
            <w:tcMar>
              <w:top w:w="0" w:type="dxa"/>
              <w:left w:w="45" w:type="dxa"/>
              <w:bottom w:w="0" w:type="dxa"/>
              <w:right w:w="45" w:type="dxa"/>
            </w:tcMar>
          </w:tcPr>
          <w:p w14:paraId="5DEAA5D7"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Spatial Memory Test (SMT) is used mainly in psychopharmacological drug research to assess visuospatial memory and reasoning. It has two phases: immediate and delayed recall.</w:t>
            </w:r>
            <w:r>
              <w:rPr>
                <w:rFonts w:ascii="Times New Roman" w:eastAsia="Times New Roman" w:hAnsi="Times New Roman" w:cs="Times New Roman"/>
                <w:sz w:val="20"/>
                <w:szCs w:val="20"/>
              </w:rPr>
              <w:br/>
              <w:t>In the immediate recall, participants view six sets of ten black-and-white images on a computer screen, each for 2 seconds with a 1-second gap in between. Subsequently, they must identify the original location of each image as it reappears on the screen. After a 30-minute interval, the delayed recall phase requires participants to recall the locations of the pictures.</w:t>
            </w:r>
          </w:p>
        </w:tc>
        <w:tc>
          <w:tcPr>
            <w:tcW w:w="2730" w:type="dxa"/>
            <w:tcBorders>
              <w:bottom w:val="nil"/>
            </w:tcBorders>
            <w:tcMar>
              <w:top w:w="0" w:type="dxa"/>
              <w:left w:w="45" w:type="dxa"/>
              <w:bottom w:w="0" w:type="dxa"/>
              <w:right w:w="45" w:type="dxa"/>
            </w:tcMar>
          </w:tcPr>
          <w:p w14:paraId="5DEAA5D8"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(12): Mean ACC, Mean RT</w:t>
            </w:r>
          </w:p>
        </w:tc>
        <w:tc>
          <w:tcPr>
            <w:tcW w:w="105" w:type="dxa"/>
            <w:vAlign w:val="center"/>
          </w:tcPr>
          <w:p w14:paraId="5DEAA5D9" w14:textId="77777777" w:rsidR="00144611" w:rsidRDefault="00144611">
            <w:pPr>
              <w:spacing w:after="60"/>
              <w:jc w:val="both"/>
              <w:rPr>
                <w:rFonts w:ascii="Times New Roman" w:eastAsia="Times New Roman" w:hAnsi="Times New Roman" w:cs="Times New Roman"/>
                <w:sz w:val="20"/>
                <w:szCs w:val="20"/>
              </w:rPr>
            </w:pPr>
          </w:p>
        </w:tc>
      </w:tr>
      <w:tr w:rsidR="00144611" w14:paraId="5DEAA5E2" w14:textId="77777777" w:rsidTr="00E402E0">
        <w:trPr>
          <w:trHeight w:val="20"/>
        </w:trPr>
        <w:tc>
          <w:tcPr>
            <w:tcW w:w="990" w:type="dxa"/>
            <w:vMerge/>
            <w:tcBorders>
              <w:top w:val="nil"/>
              <w:bottom w:val="nil"/>
            </w:tcBorders>
            <w:tcMar>
              <w:top w:w="0" w:type="dxa"/>
              <w:left w:w="45" w:type="dxa"/>
              <w:bottom w:w="0" w:type="dxa"/>
              <w:right w:w="45" w:type="dxa"/>
            </w:tcMar>
          </w:tcPr>
          <w:p w14:paraId="5DEAA5DB"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00" w:type="dxa"/>
            <w:vMerge/>
            <w:tcBorders>
              <w:top w:val="nil"/>
              <w:bottom w:val="single" w:sz="4" w:space="0" w:color="000000"/>
            </w:tcBorders>
            <w:tcMar>
              <w:top w:w="0" w:type="dxa"/>
              <w:left w:w="45" w:type="dxa"/>
              <w:bottom w:w="0" w:type="dxa"/>
              <w:right w:w="45" w:type="dxa"/>
            </w:tcMar>
          </w:tcPr>
          <w:p w14:paraId="5DEAA5DC"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60" w:type="dxa"/>
            <w:tcBorders>
              <w:bottom w:val="nil"/>
            </w:tcBorders>
            <w:tcMar>
              <w:top w:w="0" w:type="dxa"/>
              <w:left w:w="45" w:type="dxa"/>
              <w:bottom w:w="0" w:type="dxa"/>
              <w:right w:w="45" w:type="dxa"/>
            </w:tcMar>
          </w:tcPr>
          <w:p w14:paraId="5DEAA5DD"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Delayed Response Task </w:t>
            </w:r>
          </w:p>
        </w:tc>
        <w:tc>
          <w:tcPr>
            <w:tcW w:w="780" w:type="dxa"/>
            <w:tcBorders>
              <w:bottom w:val="nil"/>
            </w:tcBorders>
            <w:tcMar>
              <w:top w:w="0" w:type="dxa"/>
              <w:left w:w="45" w:type="dxa"/>
              <w:bottom w:w="0" w:type="dxa"/>
              <w:right w:w="45" w:type="dxa"/>
            </w:tcMar>
          </w:tcPr>
          <w:p w14:paraId="5DEAA5DE" w14:textId="77777777" w:rsidR="00144611" w:rsidRDefault="00144611">
            <w:pPr>
              <w:spacing w:after="60"/>
              <w:jc w:val="both"/>
              <w:rPr>
                <w:rFonts w:ascii="Times New Roman" w:eastAsia="Times New Roman" w:hAnsi="Times New Roman" w:cs="Times New Roman"/>
                <w:sz w:val="20"/>
                <w:szCs w:val="20"/>
              </w:rPr>
            </w:pPr>
          </w:p>
        </w:tc>
        <w:tc>
          <w:tcPr>
            <w:tcW w:w="7830" w:type="dxa"/>
            <w:tcBorders>
              <w:bottom w:val="nil"/>
            </w:tcBorders>
            <w:tcMar>
              <w:top w:w="0" w:type="dxa"/>
              <w:left w:w="45" w:type="dxa"/>
              <w:bottom w:w="0" w:type="dxa"/>
              <w:right w:w="45" w:type="dxa"/>
            </w:tcMar>
          </w:tcPr>
          <w:p w14:paraId="5DEAA5DF"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delayed-response task is a cognitive test that evaluates working memory, focusing particularly on spatial working memory. In this task, participants view a stimulus briefly displayed in a specific location on a touch screen. After the stimulus disappears, a numerical distraction task fills a ten-second delay period to prevent the rehearsal of the stimulus location. Subsequently, participants must accurately recall and indicate where the stimulus was located by touching the corresponding area on the screen. This task measures the ability to retain and manipulate visuospatial information over short periods without external cues and is commonly used to explore the functions of the dorsolateral prefrontal cortex, a key area for memory and executive functions.</w:t>
            </w:r>
          </w:p>
        </w:tc>
        <w:tc>
          <w:tcPr>
            <w:tcW w:w="2730" w:type="dxa"/>
            <w:tcBorders>
              <w:bottom w:val="nil"/>
            </w:tcBorders>
            <w:tcMar>
              <w:top w:w="0" w:type="dxa"/>
              <w:left w:w="45" w:type="dxa"/>
              <w:bottom w:w="0" w:type="dxa"/>
              <w:right w:w="45" w:type="dxa"/>
            </w:tcMar>
          </w:tcPr>
          <w:p w14:paraId="5DEAA5E0"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(13): RT</w:t>
            </w:r>
          </w:p>
        </w:tc>
        <w:tc>
          <w:tcPr>
            <w:tcW w:w="105" w:type="dxa"/>
            <w:vAlign w:val="center"/>
          </w:tcPr>
          <w:p w14:paraId="5DEAA5E1" w14:textId="77777777" w:rsidR="00144611" w:rsidRDefault="00144611">
            <w:pPr>
              <w:spacing w:after="60"/>
              <w:jc w:val="both"/>
              <w:rPr>
                <w:rFonts w:ascii="Times New Roman" w:eastAsia="Times New Roman" w:hAnsi="Times New Roman" w:cs="Times New Roman"/>
                <w:sz w:val="20"/>
                <w:szCs w:val="20"/>
              </w:rPr>
            </w:pPr>
          </w:p>
        </w:tc>
      </w:tr>
      <w:tr w:rsidR="00144611" w14:paraId="5DEAA5EA" w14:textId="77777777" w:rsidTr="007553F3">
        <w:trPr>
          <w:trHeight w:val="1101"/>
        </w:trPr>
        <w:tc>
          <w:tcPr>
            <w:tcW w:w="990" w:type="dxa"/>
            <w:vMerge/>
            <w:tcBorders>
              <w:top w:val="nil"/>
              <w:bottom w:val="nil"/>
            </w:tcBorders>
            <w:tcMar>
              <w:top w:w="0" w:type="dxa"/>
              <w:left w:w="45" w:type="dxa"/>
              <w:bottom w:w="0" w:type="dxa"/>
              <w:right w:w="45" w:type="dxa"/>
            </w:tcMar>
          </w:tcPr>
          <w:p w14:paraId="5DEAA5E3"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00" w:type="dxa"/>
            <w:vMerge/>
            <w:tcBorders>
              <w:top w:val="nil"/>
              <w:bottom w:val="single" w:sz="4" w:space="0" w:color="000000"/>
            </w:tcBorders>
            <w:tcMar>
              <w:top w:w="0" w:type="dxa"/>
              <w:left w:w="45" w:type="dxa"/>
              <w:bottom w:w="0" w:type="dxa"/>
              <w:right w:w="45" w:type="dxa"/>
            </w:tcMar>
          </w:tcPr>
          <w:p w14:paraId="5DEAA5E4"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60" w:type="dxa"/>
            <w:tcBorders>
              <w:top w:val="nil"/>
              <w:bottom w:val="single" w:sz="4" w:space="0" w:color="000000"/>
            </w:tcBorders>
            <w:tcMar>
              <w:top w:w="0" w:type="dxa"/>
              <w:left w:w="45" w:type="dxa"/>
              <w:bottom w:w="0" w:type="dxa"/>
              <w:right w:w="45" w:type="dxa"/>
            </w:tcMar>
          </w:tcPr>
          <w:p w14:paraId="5DEAA5E5"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Spatial Span Test</w:t>
            </w:r>
          </w:p>
        </w:tc>
        <w:tc>
          <w:tcPr>
            <w:tcW w:w="780" w:type="dxa"/>
            <w:tcBorders>
              <w:top w:val="nil"/>
              <w:bottom w:val="single" w:sz="4" w:space="0" w:color="000000"/>
            </w:tcBorders>
            <w:tcMar>
              <w:top w:w="0" w:type="dxa"/>
              <w:left w:w="45" w:type="dxa"/>
              <w:bottom w:w="0" w:type="dxa"/>
              <w:right w:w="45" w:type="dxa"/>
            </w:tcMar>
          </w:tcPr>
          <w:p w14:paraId="5DEAA5E6"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r>
              <w:rPr>
                <w:rFonts w:ascii="Times New Roman" w:eastAsia="Times New Roman" w:hAnsi="Times New Roman" w:cs="Times New Roman"/>
                <w:sz w:val="20"/>
                <w:szCs w:val="20"/>
              </w:rPr>
              <w:br/>
              <w:t>(2)</w:t>
            </w:r>
          </w:p>
        </w:tc>
        <w:tc>
          <w:tcPr>
            <w:tcW w:w="7830" w:type="dxa"/>
            <w:tcBorders>
              <w:top w:val="nil"/>
              <w:bottom w:val="single" w:sz="4" w:space="0" w:color="000000"/>
            </w:tcBorders>
            <w:tcMar>
              <w:top w:w="0" w:type="dxa"/>
              <w:left w:w="45" w:type="dxa"/>
              <w:bottom w:w="0" w:type="dxa"/>
              <w:right w:w="45" w:type="dxa"/>
            </w:tcMar>
          </w:tcPr>
          <w:p w14:paraId="5DEAA5E7"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spatial span test is a measure of visual-spatial working memory performance. Nine white squares are randomly displayed on a black background on a touch screen. On each trial, some of the squares are highlighted at a specific interstimulus interval. Participants indicate the order of the highlighted squares. The trial starts with two squares and increases up to nine. The test ends after three wrong answers or reaching a maximum of 9 squares (Max. score). The number of squares correctly reproduced is the span-length.</w:t>
            </w:r>
          </w:p>
        </w:tc>
        <w:tc>
          <w:tcPr>
            <w:tcW w:w="2730" w:type="dxa"/>
            <w:tcBorders>
              <w:top w:val="nil"/>
              <w:bottom w:val="single" w:sz="4" w:space="0" w:color="000000"/>
            </w:tcBorders>
            <w:tcMar>
              <w:top w:w="0" w:type="dxa"/>
              <w:left w:w="45" w:type="dxa"/>
              <w:bottom w:w="0" w:type="dxa"/>
              <w:right w:w="45" w:type="dxa"/>
            </w:tcMar>
          </w:tcPr>
          <w:p w14:paraId="5DEAA5E8"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 Span-length,# of errors</w:t>
            </w:r>
            <w:r>
              <w:rPr>
                <w:rFonts w:ascii="Times New Roman" w:eastAsia="Times New Roman" w:hAnsi="Times New Roman" w:cs="Times New Roman"/>
                <w:sz w:val="20"/>
                <w:szCs w:val="20"/>
              </w:rPr>
              <w:br/>
              <w:t>(10): Span-length</w:t>
            </w:r>
          </w:p>
        </w:tc>
        <w:tc>
          <w:tcPr>
            <w:tcW w:w="105" w:type="dxa"/>
            <w:vAlign w:val="center"/>
          </w:tcPr>
          <w:p w14:paraId="5DEAA5E9" w14:textId="77777777" w:rsidR="00144611" w:rsidRDefault="00144611">
            <w:pPr>
              <w:spacing w:after="60"/>
              <w:jc w:val="both"/>
              <w:rPr>
                <w:rFonts w:ascii="Times New Roman" w:eastAsia="Times New Roman" w:hAnsi="Times New Roman" w:cs="Times New Roman"/>
                <w:sz w:val="20"/>
                <w:szCs w:val="20"/>
              </w:rPr>
            </w:pPr>
          </w:p>
        </w:tc>
      </w:tr>
      <w:tr w:rsidR="00144611" w14:paraId="5DEAA5F3" w14:textId="77777777" w:rsidTr="007553F3">
        <w:trPr>
          <w:cantSplit/>
          <w:trHeight w:val="1335"/>
        </w:trPr>
        <w:tc>
          <w:tcPr>
            <w:tcW w:w="990" w:type="dxa"/>
            <w:vMerge/>
            <w:tcBorders>
              <w:top w:val="nil"/>
              <w:bottom w:val="nil"/>
            </w:tcBorders>
            <w:tcMar>
              <w:top w:w="0" w:type="dxa"/>
              <w:left w:w="45" w:type="dxa"/>
              <w:bottom w:w="0" w:type="dxa"/>
              <w:right w:w="45" w:type="dxa"/>
            </w:tcMar>
          </w:tcPr>
          <w:p w14:paraId="5DEAA5EB"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00" w:type="dxa"/>
            <w:vMerge w:val="restart"/>
            <w:tcBorders>
              <w:top w:val="single" w:sz="4" w:space="0" w:color="000000"/>
              <w:bottom w:val="nil"/>
            </w:tcBorders>
            <w:tcMar>
              <w:top w:w="0" w:type="dxa"/>
              <w:left w:w="45" w:type="dxa"/>
              <w:bottom w:w="0" w:type="dxa"/>
              <w:right w:w="45" w:type="dxa"/>
            </w:tcMar>
            <w:textDirection w:val="btLr"/>
          </w:tcPr>
          <w:p w14:paraId="5DEAA5ED" w14:textId="5A7C0C53" w:rsidR="00144611" w:rsidRDefault="003422DA" w:rsidP="007553F3">
            <w:pPr>
              <w:spacing w:after="60"/>
              <w:ind w:left="113" w:right="113"/>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Conflict</w:t>
            </w:r>
            <w:r w:rsidR="007553F3">
              <w:rPr>
                <w:rFonts w:ascii="Times New Roman" w:eastAsia="Times New Roman" w:hAnsi="Times New Roman" w:cs="Times New Roman"/>
                <w:b/>
                <w:sz w:val="20"/>
                <w:szCs w:val="20"/>
              </w:rPr>
              <w:t xml:space="preserve"> M</w:t>
            </w:r>
            <w:r>
              <w:rPr>
                <w:rFonts w:ascii="Times New Roman" w:eastAsia="Times New Roman" w:hAnsi="Times New Roman" w:cs="Times New Roman"/>
                <w:b/>
                <w:sz w:val="20"/>
                <w:szCs w:val="20"/>
              </w:rPr>
              <w:t>onitoring</w:t>
            </w:r>
          </w:p>
        </w:tc>
        <w:tc>
          <w:tcPr>
            <w:tcW w:w="1260" w:type="dxa"/>
            <w:tcBorders>
              <w:top w:val="single" w:sz="4" w:space="0" w:color="000000"/>
              <w:bottom w:val="nil"/>
            </w:tcBorders>
            <w:tcMar>
              <w:top w:w="0" w:type="dxa"/>
              <w:left w:w="45" w:type="dxa"/>
              <w:bottom w:w="0" w:type="dxa"/>
              <w:right w:w="45" w:type="dxa"/>
            </w:tcMar>
          </w:tcPr>
          <w:p w14:paraId="5DEAA5EE"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Stroop task</w:t>
            </w:r>
          </w:p>
        </w:tc>
        <w:tc>
          <w:tcPr>
            <w:tcW w:w="780" w:type="dxa"/>
            <w:tcBorders>
              <w:top w:val="single" w:sz="4" w:space="0" w:color="000000"/>
              <w:bottom w:val="nil"/>
            </w:tcBorders>
            <w:tcMar>
              <w:top w:w="0" w:type="dxa"/>
              <w:left w:w="45" w:type="dxa"/>
              <w:bottom w:w="0" w:type="dxa"/>
              <w:right w:w="45" w:type="dxa"/>
            </w:tcMar>
          </w:tcPr>
          <w:p w14:paraId="5DEAA5EF"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 (3) (8)</w:t>
            </w:r>
          </w:p>
        </w:tc>
        <w:tc>
          <w:tcPr>
            <w:tcW w:w="7830" w:type="dxa"/>
            <w:tcBorders>
              <w:top w:val="single" w:sz="4" w:space="0" w:color="000000"/>
              <w:bottom w:val="nil"/>
            </w:tcBorders>
            <w:tcMar>
              <w:top w:w="0" w:type="dxa"/>
              <w:left w:w="45" w:type="dxa"/>
              <w:bottom w:w="0" w:type="dxa"/>
              <w:right w:w="45" w:type="dxa"/>
            </w:tcMar>
          </w:tcPr>
          <w:p w14:paraId="5DEAA5F0"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Stroop task is a measure of conflict monitoring. Typically a </w:t>
            </w:r>
            <w:proofErr w:type="spellStart"/>
            <w:r>
              <w:rPr>
                <w:rFonts w:ascii="Times New Roman" w:eastAsia="Times New Roman" w:hAnsi="Times New Roman" w:cs="Times New Roman"/>
                <w:sz w:val="20"/>
                <w:szCs w:val="20"/>
              </w:rPr>
              <w:t>colour</w:t>
            </w:r>
            <w:proofErr w:type="spellEnd"/>
            <w:r>
              <w:rPr>
                <w:rFonts w:ascii="Times New Roman" w:eastAsia="Times New Roman" w:hAnsi="Times New Roman" w:cs="Times New Roman"/>
                <w:sz w:val="20"/>
                <w:szCs w:val="20"/>
              </w:rPr>
              <w:t xml:space="preserve"> word is presented in a specific </w:t>
            </w:r>
            <w:proofErr w:type="spellStart"/>
            <w:r>
              <w:rPr>
                <w:rFonts w:ascii="Times New Roman" w:eastAsia="Times New Roman" w:hAnsi="Times New Roman" w:cs="Times New Roman"/>
                <w:sz w:val="20"/>
                <w:szCs w:val="20"/>
              </w:rPr>
              <w:t>colour</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br/>
              <w:t xml:space="preserve">Participants have to indicate the ink </w:t>
            </w:r>
            <w:proofErr w:type="spellStart"/>
            <w:r>
              <w:rPr>
                <w:rFonts w:ascii="Times New Roman" w:eastAsia="Times New Roman" w:hAnsi="Times New Roman" w:cs="Times New Roman"/>
                <w:sz w:val="20"/>
                <w:szCs w:val="20"/>
              </w:rPr>
              <w:t>colour</w:t>
            </w:r>
            <w:proofErr w:type="spellEnd"/>
            <w:r>
              <w:rPr>
                <w:rFonts w:ascii="Times New Roman" w:eastAsia="Times New Roman" w:hAnsi="Times New Roman" w:cs="Times New Roman"/>
                <w:sz w:val="20"/>
                <w:szCs w:val="20"/>
              </w:rPr>
              <w:t xml:space="preserve"> of the </w:t>
            </w:r>
            <w:proofErr w:type="spellStart"/>
            <w:r>
              <w:rPr>
                <w:rFonts w:ascii="Times New Roman" w:eastAsia="Times New Roman" w:hAnsi="Times New Roman" w:cs="Times New Roman"/>
                <w:sz w:val="20"/>
                <w:szCs w:val="20"/>
              </w:rPr>
              <w:t>colour</w:t>
            </w:r>
            <w:proofErr w:type="spellEnd"/>
            <w:r>
              <w:rPr>
                <w:rFonts w:ascii="Times New Roman" w:eastAsia="Times New Roman" w:hAnsi="Times New Roman" w:cs="Times New Roman"/>
                <w:sz w:val="20"/>
                <w:szCs w:val="20"/>
              </w:rPr>
              <w:t xml:space="preserve"> words, which can either be congruent (e.g., the word "red" in red ink) or incongruent (e.g., the word "red" in blue ink). The incongruent condition usually results in longer RTs and more errors, illustrating the cognitive conflict between word reading and </w:t>
            </w:r>
            <w:proofErr w:type="spellStart"/>
            <w:r>
              <w:rPr>
                <w:rFonts w:ascii="Times New Roman" w:eastAsia="Times New Roman" w:hAnsi="Times New Roman" w:cs="Times New Roman"/>
                <w:sz w:val="20"/>
                <w:szCs w:val="20"/>
              </w:rPr>
              <w:t>colour</w:t>
            </w:r>
            <w:proofErr w:type="spellEnd"/>
            <w:r>
              <w:rPr>
                <w:rFonts w:ascii="Times New Roman" w:eastAsia="Times New Roman" w:hAnsi="Times New Roman" w:cs="Times New Roman"/>
                <w:sz w:val="20"/>
                <w:szCs w:val="20"/>
              </w:rPr>
              <w:t xml:space="preserve"> naming ("Stroop effect"). </w:t>
            </w:r>
          </w:p>
        </w:tc>
        <w:tc>
          <w:tcPr>
            <w:tcW w:w="2730" w:type="dxa"/>
            <w:tcBorders>
              <w:top w:val="single" w:sz="4" w:space="0" w:color="000000"/>
              <w:bottom w:val="nil"/>
            </w:tcBorders>
            <w:tcMar>
              <w:top w:w="0" w:type="dxa"/>
              <w:left w:w="45" w:type="dxa"/>
              <w:bottom w:w="0" w:type="dxa"/>
              <w:right w:w="45" w:type="dxa"/>
            </w:tcMar>
          </w:tcPr>
          <w:p w14:paraId="5DEAA5F1"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 RT, ACC</w:t>
            </w:r>
            <w:r>
              <w:rPr>
                <w:rFonts w:ascii="Times New Roman" w:eastAsia="Times New Roman" w:hAnsi="Times New Roman" w:cs="Times New Roman"/>
                <w:sz w:val="20"/>
                <w:szCs w:val="20"/>
              </w:rPr>
              <w:br/>
              <w:t>(4): Hit Rate, median RT, Signal detection (discrimination d')</w:t>
            </w:r>
            <w:r>
              <w:rPr>
                <w:rFonts w:ascii="Times New Roman" w:eastAsia="Times New Roman" w:hAnsi="Times New Roman" w:cs="Times New Roman"/>
                <w:sz w:val="20"/>
                <w:szCs w:val="20"/>
              </w:rPr>
              <w:br/>
              <w:t>(8): RT, # errors, Interference, facilitation, Stroop effect</w:t>
            </w:r>
          </w:p>
        </w:tc>
        <w:tc>
          <w:tcPr>
            <w:tcW w:w="105" w:type="dxa"/>
            <w:vAlign w:val="center"/>
          </w:tcPr>
          <w:p w14:paraId="5DEAA5F2" w14:textId="77777777" w:rsidR="00144611" w:rsidRDefault="00144611">
            <w:pPr>
              <w:spacing w:after="60"/>
              <w:jc w:val="both"/>
              <w:rPr>
                <w:rFonts w:ascii="Times New Roman" w:eastAsia="Times New Roman" w:hAnsi="Times New Roman" w:cs="Times New Roman"/>
                <w:sz w:val="20"/>
                <w:szCs w:val="20"/>
              </w:rPr>
            </w:pPr>
          </w:p>
        </w:tc>
      </w:tr>
      <w:tr w:rsidR="00144611" w14:paraId="5DEAA5FC" w14:textId="77777777" w:rsidTr="007553F3">
        <w:trPr>
          <w:cantSplit/>
          <w:trHeight w:val="598"/>
        </w:trPr>
        <w:tc>
          <w:tcPr>
            <w:tcW w:w="990" w:type="dxa"/>
            <w:vMerge/>
            <w:tcBorders>
              <w:top w:val="nil"/>
              <w:bottom w:val="nil"/>
            </w:tcBorders>
            <w:tcMar>
              <w:top w:w="0" w:type="dxa"/>
              <w:left w:w="45" w:type="dxa"/>
              <w:bottom w:w="0" w:type="dxa"/>
              <w:right w:w="45" w:type="dxa"/>
            </w:tcMar>
          </w:tcPr>
          <w:p w14:paraId="5DEAA5F4"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00" w:type="dxa"/>
            <w:vMerge/>
            <w:tcBorders>
              <w:top w:val="single" w:sz="4" w:space="0" w:color="000000"/>
              <w:bottom w:val="single" w:sz="4" w:space="0" w:color="auto"/>
            </w:tcBorders>
            <w:tcMar>
              <w:top w:w="0" w:type="dxa"/>
              <w:left w:w="45" w:type="dxa"/>
              <w:bottom w:w="0" w:type="dxa"/>
              <w:right w:w="45" w:type="dxa"/>
            </w:tcMar>
          </w:tcPr>
          <w:p w14:paraId="5DEAA5F5"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60" w:type="dxa"/>
            <w:tcBorders>
              <w:top w:val="nil"/>
              <w:bottom w:val="single" w:sz="4" w:space="0" w:color="auto"/>
            </w:tcBorders>
            <w:tcMar>
              <w:top w:w="0" w:type="dxa"/>
              <w:left w:w="45" w:type="dxa"/>
              <w:bottom w:w="0" w:type="dxa"/>
              <w:right w:w="45" w:type="dxa"/>
            </w:tcMar>
          </w:tcPr>
          <w:p w14:paraId="5DEAA5F6"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Emotional Stroop task</w:t>
            </w:r>
          </w:p>
        </w:tc>
        <w:tc>
          <w:tcPr>
            <w:tcW w:w="780" w:type="dxa"/>
            <w:tcBorders>
              <w:bottom w:val="single" w:sz="4" w:space="0" w:color="000000"/>
            </w:tcBorders>
            <w:tcMar>
              <w:top w:w="0" w:type="dxa"/>
              <w:left w:w="45" w:type="dxa"/>
              <w:bottom w:w="0" w:type="dxa"/>
              <w:right w:w="45" w:type="dxa"/>
            </w:tcMar>
          </w:tcPr>
          <w:p w14:paraId="5DEAA5F7"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7830" w:type="dxa"/>
            <w:tcBorders>
              <w:bottom w:val="single" w:sz="4" w:space="0" w:color="000000"/>
            </w:tcBorders>
            <w:tcMar>
              <w:top w:w="0" w:type="dxa"/>
              <w:left w:w="45" w:type="dxa"/>
              <w:bottom w:w="0" w:type="dxa"/>
              <w:right w:w="45" w:type="dxa"/>
            </w:tcMar>
          </w:tcPr>
          <w:p w14:paraId="5DEAA5F8"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emotional Stroop task is a measure of emotional conflict monitoring. Participants are presented with words that are emotionally salient and neutral words. Participants indicate the </w:t>
            </w:r>
            <w:proofErr w:type="spellStart"/>
            <w:r>
              <w:rPr>
                <w:rFonts w:ascii="Times New Roman" w:eastAsia="Times New Roman" w:hAnsi="Times New Roman" w:cs="Times New Roman"/>
                <w:sz w:val="20"/>
                <w:szCs w:val="20"/>
              </w:rPr>
              <w:t>colour</w:t>
            </w:r>
            <w:proofErr w:type="spellEnd"/>
            <w:r>
              <w:rPr>
                <w:rFonts w:ascii="Times New Roman" w:eastAsia="Times New Roman" w:hAnsi="Times New Roman" w:cs="Times New Roman"/>
                <w:sz w:val="20"/>
                <w:szCs w:val="20"/>
              </w:rPr>
              <w:t xml:space="preserve"> in which the words are presented.</w:t>
            </w:r>
          </w:p>
          <w:p w14:paraId="5DEAA5F9" w14:textId="77777777" w:rsidR="00144611" w:rsidRDefault="00144611">
            <w:pPr>
              <w:spacing w:after="60"/>
              <w:jc w:val="both"/>
              <w:rPr>
                <w:rFonts w:ascii="Times New Roman" w:eastAsia="Times New Roman" w:hAnsi="Times New Roman" w:cs="Times New Roman"/>
                <w:sz w:val="20"/>
                <w:szCs w:val="20"/>
              </w:rPr>
            </w:pPr>
          </w:p>
        </w:tc>
        <w:tc>
          <w:tcPr>
            <w:tcW w:w="2730" w:type="dxa"/>
            <w:tcBorders>
              <w:bottom w:val="single" w:sz="4" w:space="0" w:color="000000"/>
            </w:tcBorders>
            <w:tcMar>
              <w:top w:w="0" w:type="dxa"/>
              <w:left w:w="45" w:type="dxa"/>
              <w:bottom w:w="0" w:type="dxa"/>
              <w:right w:w="45" w:type="dxa"/>
            </w:tcMar>
          </w:tcPr>
          <w:p w14:paraId="5DEAA5FA"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 RT, ACC</w:t>
            </w:r>
          </w:p>
        </w:tc>
        <w:tc>
          <w:tcPr>
            <w:tcW w:w="105" w:type="dxa"/>
            <w:vAlign w:val="center"/>
          </w:tcPr>
          <w:p w14:paraId="5DEAA5FB" w14:textId="77777777" w:rsidR="00144611" w:rsidRDefault="00144611">
            <w:pPr>
              <w:spacing w:after="60"/>
              <w:jc w:val="both"/>
              <w:rPr>
                <w:rFonts w:ascii="Times New Roman" w:eastAsia="Times New Roman" w:hAnsi="Times New Roman" w:cs="Times New Roman"/>
                <w:sz w:val="20"/>
                <w:szCs w:val="20"/>
              </w:rPr>
            </w:pPr>
          </w:p>
        </w:tc>
      </w:tr>
      <w:tr w:rsidR="00144611" w14:paraId="5DEAA604" w14:textId="77777777" w:rsidTr="007553F3">
        <w:trPr>
          <w:cantSplit/>
          <w:trHeight w:val="20"/>
        </w:trPr>
        <w:tc>
          <w:tcPr>
            <w:tcW w:w="990" w:type="dxa"/>
            <w:vMerge/>
            <w:tcBorders>
              <w:top w:val="nil"/>
              <w:bottom w:val="nil"/>
            </w:tcBorders>
            <w:tcMar>
              <w:top w:w="0" w:type="dxa"/>
              <w:left w:w="45" w:type="dxa"/>
              <w:bottom w:w="0" w:type="dxa"/>
              <w:right w:w="45" w:type="dxa"/>
            </w:tcMar>
          </w:tcPr>
          <w:p w14:paraId="5DEAA5FD"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00" w:type="dxa"/>
            <w:vMerge w:val="restart"/>
            <w:tcBorders>
              <w:top w:val="single" w:sz="4" w:space="0" w:color="auto"/>
              <w:bottom w:val="nil"/>
            </w:tcBorders>
            <w:tcMar>
              <w:top w:w="0" w:type="dxa"/>
              <w:left w:w="45" w:type="dxa"/>
              <w:bottom w:w="0" w:type="dxa"/>
              <w:right w:w="45" w:type="dxa"/>
            </w:tcMar>
            <w:textDirection w:val="btLr"/>
          </w:tcPr>
          <w:p w14:paraId="5DEAA5FE" w14:textId="77777777" w:rsidR="00144611" w:rsidRDefault="003422DA" w:rsidP="007553F3">
            <w:pPr>
              <w:spacing w:after="60"/>
              <w:ind w:left="113" w:right="11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Response Inhibition</w:t>
            </w:r>
          </w:p>
        </w:tc>
        <w:tc>
          <w:tcPr>
            <w:tcW w:w="1260" w:type="dxa"/>
            <w:tcBorders>
              <w:top w:val="single" w:sz="4" w:space="0" w:color="auto"/>
              <w:bottom w:val="nil"/>
            </w:tcBorders>
            <w:tcMar>
              <w:top w:w="0" w:type="dxa"/>
              <w:left w:w="45" w:type="dxa"/>
              <w:bottom w:w="0" w:type="dxa"/>
              <w:right w:w="45" w:type="dxa"/>
            </w:tcMar>
          </w:tcPr>
          <w:p w14:paraId="5DEAA5FF"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Go/NoGo</w:t>
            </w:r>
          </w:p>
        </w:tc>
        <w:tc>
          <w:tcPr>
            <w:tcW w:w="780" w:type="dxa"/>
            <w:tcBorders>
              <w:top w:val="single" w:sz="4" w:space="0" w:color="000000"/>
              <w:bottom w:val="nil"/>
            </w:tcBorders>
            <w:tcMar>
              <w:top w:w="0" w:type="dxa"/>
              <w:left w:w="45" w:type="dxa"/>
              <w:bottom w:w="0" w:type="dxa"/>
              <w:right w:w="45" w:type="dxa"/>
            </w:tcMar>
          </w:tcPr>
          <w:p w14:paraId="5DEAA600"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7830" w:type="dxa"/>
            <w:tcBorders>
              <w:top w:val="single" w:sz="4" w:space="0" w:color="000000"/>
              <w:bottom w:val="nil"/>
            </w:tcBorders>
            <w:tcMar>
              <w:top w:w="0" w:type="dxa"/>
              <w:left w:w="45" w:type="dxa"/>
              <w:bottom w:w="0" w:type="dxa"/>
              <w:right w:w="45" w:type="dxa"/>
            </w:tcMar>
          </w:tcPr>
          <w:p w14:paraId="5DEAA601"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Go/NoGo task is a measure of response inhibition. Participants are required to respond (Go) or withhold their response to a specific stimuli (NoGo) , allowing for the measurement of the ability to inhibit prepotent responses.</w:t>
            </w:r>
          </w:p>
        </w:tc>
        <w:tc>
          <w:tcPr>
            <w:tcW w:w="2730" w:type="dxa"/>
            <w:tcBorders>
              <w:top w:val="single" w:sz="4" w:space="0" w:color="000000"/>
              <w:bottom w:val="nil"/>
            </w:tcBorders>
            <w:tcMar>
              <w:top w:w="0" w:type="dxa"/>
              <w:left w:w="45" w:type="dxa"/>
              <w:bottom w:w="0" w:type="dxa"/>
              <w:right w:w="45" w:type="dxa"/>
            </w:tcMar>
          </w:tcPr>
          <w:p w14:paraId="5DEAA602"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 ACC</w:t>
            </w:r>
          </w:p>
        </w:tc>
        <w:tc>
          <w:tcPr>
            <w:tcW w:w="105" w:type="dxa"/>
            <w:vAlign w:val="center"/>
          </w:tcPr>
          <w:p w14:paraId="5DEAA603" w14:textId="77777777" w:rsidR="00144611" w:rsidRDefault="00144611">
            <w:pPr>
              <w:spacing w:after="60"/>
              <w:jc w:val="both"/>
              <w:rPr>
                <w:rFonts w:ascii="Times New Roman" w:eastAsia="Times New Roman" w:hAnsi="Times New Roman" w:cs="Times New Roman"/>
                <w:sz w:val="20"/>
                <w:szCs w:val="20"/>
              </w:rPr>
            </w:pPr>
          </w:p>
        </w:tc>
      </w:tr>
      <w:tr w:rsidR="00144611" w14:paraId="5DEAA60C" w14:textId="77777777" w:rsidTr="007553F3">
        <w:trPr>
          <w:cantSplit/>
          <w:trHeight w:val="521"/>
        </w:trPr>
        <w:tc>
          <w:tcPr>
            <w:tcW w:w="990" w:type="dxa"/>
            <w:vMerge/>
            <w:tcBorders>
              <w:top w:val="nil"/>
              <w:bottom w:val="nil"/>
            </w:tcBorders>
            <w:tcMar>
              <w:top w:w="0" w:type="dxa"/>
              <w:left w:w="45" w:type="dxa"/>
              <w:bottom w:w="0" w:type="dxa"/>
              <w:right w:w="45" w:type="dxa"/>
            </w:tcMar>
          </w:tcPr>
          <w:p w14:paraId="5DEAA605"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00" w:type="dxa"/>
            <w:vMerge/>
            <w:tcBorders>
              <w:top w:val="single" w:sz="4" w:space="0" w:color="000000"/>
              <w:bottom w:val="single" w:sz="4" w:space="0" w:color="000000"/>
            </w:tcBorders>
            <w:tcMar>
              <w:top w:w="0" w:type="dxa"/>
              <w:left w:w="45" w:type="dxa"/>
              <w:bottom w:w="0" w:type="dxa"/>
              <w:right w:w="45" w:type="dxa"/>
            </w:tcMar>
            <w:textDirection w:val="btLr"/>
          </w:tcPr>
          <w:p w14:paraId="5DEAA606" w14:textId="77777777" w:rsidR="00144611" w:rsidRDefault="00144611" w:rsidP="005C0229">
            <w:pPr>
              <w:widowControl w:val="0"/>
              <w:pBdr>
                <w:top w:val="nil"/>
                <w:left w:val="nil"/>
                <w:bottom w:val="nil"/>
                <w:right w:val="nil"/>
                <w:between w:val="nil"/>
              </w:pBdr>
              <w:spacing w:line="276" w:lineRule="auto"/>
              <w:ind w:left="113" w:right="113"/>
              <w:jc w:val="both"/>
              <w:rPr>
                <w:rFonts w:ascii="Times New Roman" w:eastAsia="Times New Roman" w:hAnsi="Times New Roman" w:cs="Times New Roman"/>
                <w:sz w:val="20"/>
                <w:szCs w:val="20"/>
              </w:rPr>
            </w:pPr>
          </w:p>
        </w:tc>
        <w:tc>
          <w:tcPr>
            <w:tcW w:w="1260" w:type="dxa"/>
            <w:tcBorders>
              <w:top w:val="nil"/>
              <w:bottom w:val="single" w:sz="4" w:space="0" w:color="000000"/>
            </w:tcBorders>
            <w:tcMar>
              <w:top w:w="0" w:type="dxa"/>
              <w:left w:w="45" w:type="dxa"/>
              <w:bottom w:w="0" w:type="dxa"/>
              <w:right w:w="45" w:type="dxa"/>
            </w:tcMar>
          </w:tcPr>
          <w:p w14:paraId="5DEAA607"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emotional Go/NoGo</w:t>
            </w:r>
          </w:p>
        </w:tc>
        <w:tc>
          <w:tcPr>
            <w:tcW w:w="780" w:type="dxa"/>
            <w:tcBorders>
              <w:top w:val="nil"/>
              <w:bottom w:val="single" w:sz="4" w:space="0" w:color="000000"/>
            </w:tcBorders>
            <w:tcMar>
              <w:top w:w="0" w:type="dxa"/>
              <w:left w:w="45" w:type="dxa"/>
              <w:bottom w:w="0" w:type="dxa"/>
              <w:right w:w="45" w:type="dxa"/>
            </w:tcMar>
          </w:tcPr>
          <w:p w14:paraId="5DEAA608"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(7) (11)</w:t>
            </w:r>
          </w:p>
        </w:tc>
        <w:tc>
          <w:tcPr>
            <w:tcW w:w="7830" w:type="dxa"/>
            <w:tcBorders>
              <w:top w:val="nil"/>
              <w:bottom w:val="single" w:sz="4" w:space="0" w:color="000000"/>
            </w:tcBorders>
            <w:tcMar>
              <w:top w:w="0" w:type="dxa"/>
              <w:left w:w="45" w:type="dxa"/>
              <w:bottom w:w="0" w:type="dxa"/>
              <w:right w:w="45" w:type="dxa"/>
            </w:tcMar>
          </w:tcPr>
          <w:p w14:paraId="5DEAA609"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emotional Go/NoGo task is a measure of emotional inhibition. Participants see affective stimuli (e.g., positive, negative, or neutral words) and respond only to a specific emotional category (e.g., positive) while withholding a response to another (e.g., negative or neutral).</w:t>
            </w:r>
          </w:p>
        </w:tc>
        <w:tc>
          <w:tcPr>
            <w:tcW w:w="2730" w:type="dxa"/>
            <w:tcBorders>
              <w:top w:val="nil"/>
              <w:bottom w:val="single" w:sz="4" w:space="0" w:color="000000"/>
            </w:tcBorders>
            <w:tcMar>
              <w:top w:w="0" w:type="dxa"/>
              <w:left w:w="45" w:type="dxa"/>
              <w:bottom w:w="0" w:type="dxa"/>
              <w:right w:w="45" w:type="dxa"/>
            </w:tcMar>
          </w:tcPr>
          <w:p w14:paraId="5DEAA60A"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(7): RT, ACC, Sequential effects</w:t>
            </w:r>
            <w:r>
              <w:rPr>
                <w:rFonts w:ascii="Times New Roman" w:eastAsia="Times New Roman" w:hAnsi="Times New Roman" w:cs="Times New Roman"/>
                <w:sz w:val="20"/>
                <w:szCs w:val="20"/>
              </w:rPr>
              <w:br/>
              <w:t>(11): RT, ACC</w:t>
            </w:r>
          </w:p>
        </w:tc>
        <w:tc>
          <w:tcPr>
            <w:tcW w:w="105" w:type="dxa"/>
            <w:vAlign w:val="center"/>
          </w:tcPr>
          <w:p w14:paraId="5DEAA60B" w14:textId="77777777" w:rsidR="00144611" w:rsidRDefault="00144611">
            <w:pPr>
              <w:spacing w:after="60"/>
              <w:jc w:val="both"/>
              <w:rPr>
                <w:rFonts w:ascii="Times New Roman" w:eastAsia="Times New Roman" w:hAnsi="Times New Roman" w:cs="Times New Roman"/>
                <w:sz w:val="20"/>
                <w:szCs w:val="20"/>
              </w:rPr>
            </w:pPr>
          </w:p>
        </w:tc>
      </w:tr>
      <w:tr w:rsidR="00144611" w14:paraId="5DEAA615" w14:textId="77777777" w:rsidTr="007553F3">
        <w:trPr>
          <w:trHeight w:val="890"/>
        </w:trPr>
        <w:tc>
          <w:tcPr>
            <w:tcW w:w="990" w:type="dxa"/>
            <w:vMerge/>
            <w:tcBorders>
              <w:top w:val="nil"/>
              <w:bottom w:val="nil"/>
            </w:tcBorders>
            <w:tcMar>
              <w:top w:w="0" w:type="dxa"/>
              <w:left w:w="45" w:type="dxa"/>
              <w:bottom w:w="0" w:type="dxa"/>
              <w:right w:w="45" w:type="dxa"/>
            </w:tcMar>
          </w:tcPr>
          <w:p w14:paraId="5DEAA60D"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00" w:type="dxa"/>
            <w:vMerge w:val="restart"/>
            <w:tcBorders>
              <w:top w:val="single" w:sz="4" w:space="0" w:color="000000"/>
              <w:bottom w:val="single" w:sz="4" w:space="0" w:color="auto"/>
            </w:tcBorders>
            <w:tcMar>
              <w:top w:w="0" w:type="dxa"/>
              <w:left w:w="45" w:type="dxa"/>
              <w:bottom w:w="0" w:type="dxa"/>
              <w:right w:w="45" w:type="dxa"/>
            </w:tcMar>
            <w:textDirection w:val="btLr"/>
          </w:tcPr>
          <w:p w14:paraId="5DEAA60E" w14:textId="77777777" w:rsidR="00144611" w:rsidRDefault="00144611">
            <w:pPr>
              <w:spacing w:after="60"/>
              <w:ind w:left="113" w:right="113"/>
              <w:jc w:val="both"/>
              <w:rPr>
                <w:rFonts w:ascii="Times New Roman" w:eastAsia="Times New Roman" w:hAnsi="Times New Roman" w:cs="Times New Roman"/>
                <w:b/>
                <w:sz w:val="20"/>
                <w:szCs w:val="20"/>
              </w:rPr>
            </w:pPr>
          </w:p>
          <w:p w14:paraId="5DEAA60F" w14:textId="77777777" w:rsidR="00144611" w:rsidRDefault="003422DA" w:rsidP="007553F3">
            <w:pPr>
              <w:spacing w:after="60"/>
              <w:ind w:left="113" w:right="11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Cognitive Flexibility</w:t>
            </w:r>
          </w:p>
        </w:tc>
        <w:tc>
          <w:tcPr>
            <w:tcW w:w="1260" w:type="dxa"/>
            <w:tcBorders>
              <w:top w:val="single" w:sz="4" w:space="0" w:color="000000"/>
              <w:bottom w:val="nil"/>
            </w:tcBorders>
            <w:tcMar>
              <w:top w:w="0" w:type="dxa"/>
              <w:left w:w="45" w:type="dxa"/>
              <w:bottom w:w="0" w:type="dxa"/>
              <w:right w:w="45" w:type="dxa"/>
            </w:tcMar>
          </w:tcPr>
          <w:p w14:paraId="5DEAA610"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Digit-Symbol Substitution Task </w:t>
            </w:r>
          </w:p>
        </w:tc>
        <w:tc>
          <w:tcPr>
            <w:tcW w:w="780" w:type="dxa"/>
            <w:tcBorders>
              <w:top w:val="single" w:sz="4" w:space="0" w:color="000000"/>
              <w:bottom w:val="nil"/>
            </w:tcBorders>
            <w:tcMar>
              <w:top w:w="0" w:type="dxa"/>
              <w:left w:w="45" w:type="dxa"/>
              <w:bottom w:w="0" w:type="dxa"/>
              <w:right w:w="45" w:type="dxa"/>
            </w:tcMar>
          </w:tcPr>
          <w:p w14:paraId="5DEAA611"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 (12)</w:t>
            </w:r>
          </w:p>
        </w:tc>
        <w:tc>
          <w:tcPr>
            <w:tcW w:w="7830" w:type="dxa"/>
            <w:tcBorders>
              <w:top w:val="single" w:sz="4" w:space="0" w:color="000000"/>
              <w:bottom w:val="nil"/>
            </w:tcBorders>
            <w:tcMar>
              <w:top w:w="0" w:type="dxa"/>
              <w:left w:w="45" w:type="dxa"/>
              <w:bottom w:w="0" w:type="dxa"/>
              <w:right w:w="45" w:type="dxa"/>
            </w:tcMar>
          </w:tcPr>
          <w:p w14:paraId="5DEAA612"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Digit-Symbol Substitution Task (DSST) evaluates cognitive flexibility through rapid task-switching and adaptive strategy use. Participants must flexibly apply symbol-digit pairings, quickly shifting between different associations as they fill in a series of boxes. This constant adaptation of mental sets demonstrates cognitive flexibility in real-time problem-solving.</w:t>
            </w:r>
          </w:p>
        </w:tc>
        <w:tc>
          <w:tcPr>
            <w:tcW w:w="2730" w:type="dxa"/>
            <w:tcBorders>
              <w:top w:val="single" w:sz="4" w:space="0" w:color="000000"/>
              <w:bottom w:val="nil"/>
            </w:tcBorders>
            <w:tcMar>
              <w:top w:w="0" w:type="dxa"/>
              <w:left w:w="45" w:type="dxa"/>
              <w:bottom w:w="0" w:type="dxa"/>
              <w:right w:w="45" w:type="dxa"/>
            </w:tcMar>
          </w:tcPr>
          <w:p w14:paraId="5DEAA613"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 Total # of attempted trials, ACC (% correct)</w:t>
            </w:r>
            <w:r>
              <w:rPr>
                <w:rFonts w:ascii="Times New Roman" w:eastAsia="Times New Roman" w:hAnsi="Times New Roman" w:cs="Times New Roman"/>
                <w:sz w:val="20"/>
                <w:szCs w:val="20"/>
              </w:rPr>
              <w:br/>
              <w:t>(12): Total #Reponses,Total #Correct, Mean RT</w:t>
            </w:r>
          </w:p>
        </w:tc>
        <w:tc>
          <w:tcPr>
            <w:tcW w:w="105" w:type="dxa"/>
            <w:vAlign w:val="center"/>
          </w:tcPr>
          <w:p w14:paraId="5DEAA614" w14:textId="77777777" w:rsidR="00144611" w:rsidRDefault="00144611">
            <w:pPr>
              <w:spacing w:after="60"/>
              <w:jc w:val="both"/>
              <w:rPr>
                <w:rFonts w:ascii="Times New Roman" w:eastAsia="Times New Roman" w:hAnsi="Times New Roman" w:cs="Times New Roman"/>
                <w:sz w:val="20"/>
                <w:szCs w:val="20"/>
              </w:rPr>
            </w:pPr>
          </w:p>
        </w:tc>
      </w:tr>
      <w:tr w:rsidR="00144611" w14:paraId="5DEAA61D" w14:textId="77777777" w:rsidTr="007553F3">
        <w:trPr>
          <w:trHeight w:val="796"/>
        </w:trPr>
        <w:tc>
          <w:tcPr>
            <w:tcW w:w="990" w:type="dxa"/>
            <w:vMerge/>
            <w:tcBorders>
              <w:top w:val="nil"/>
              <w:bottom w:val="nil"/>
            </w:tcBorders>
            <w:tcMar>
              <w:top w:w="0" w:type="dxa"/>
              <w:left w:w="45" w:type="dxa"/>
              <w:bottom w:w="0" w:type="dxa"/>
              <w:right w:w="45" w:type="dxa"/>
            </w:tcMar>
          </w:tcPr>
          <w:p w14:paraId="5DEAA616"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00" w:type="dxa"/>
            <w:vMerge/>
            <w:tcBorders>
              <w:top w:val="single" w:sz="4" w:space="0" w:color="000000"/>
              <w:bottom w:val="single" w:sz="4" w:space="0" w:color="auto"/>
            </w:tcBorders>
            <w:tcMar>
              <w:top w:w="0" w:type="dxa"/>
              <w:left w:w="45" w:type="dxa"/>
              <w:bottom w:w="0" w:type="dxa"/>
              <w:right w:w="45" w:type="dxa"/>
            </w:tcMar>
          </w:tcPr>
          <w:p w14:paraId="5DEAA617"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60" w:type="dxa"/>
            <w:tcBorders>
              <w:bottom w:val="nil"/>
            </w:tcBorders>
            <w:shd w:val="clear" w:color="auto" w:fill="FFFFFF"/>
            <w:tcMar>
              <w:top w:w="0" w:type="dxa"/>
              <w:left w:w="45" w:type="dxa"/>
              <w:bottom w:w="0" w:type="dxa"/>
              <w:right w:w="45" w:type="dxa"/>
            </w:tcMar>
          </w:tcPr>
          <w:p w14:paraId="5DEAA618"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Penn Conditional Exclusion Test </w:t>
            </w:r>
          </w:p>
        </w:tc>
        <w:tc>
          <w:tcPr>
            <w:tcW w:w="780" w:type="dxa"/>
            <w:tcBorders>
              <w:bottom w:val="nil"/>
            </w:tcBorders>
            <w:shd w:val="clear" w:color="auto" w:fill="FFFFFF"/>
            <w:tcMar>
              <w:top w:w="0" w:type="dxa"/>
              <w:left w:w="45" w:type="dxa"/>
              <w:bottom w:w="0" w:type="dxa"/>
              <w:right w:w="45" w:type="dxa"/>
            </w:tcMar>
          </w:tcPr>
          <w:p w14:paraId="5DEAA619"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7830" w:type="dxa"/>
            <w:tcBorders>
              <w:bottom w:val="nil"/>
            </w:tcBorders>
            <w:shd w:val="clear" w:color="auto" w:fill="FFFFFF"/>
            <w:tcMar>
              <w:top w:w="0" w:type="dxa"/>
              <w:left w:w="45" w:type="dxa"/>
              <w:bottom w:w="0" w:type="dxa"/>
              <w:right w:w="45" w:type="dxa"/>
            </w:tcMar>
          </w:tcPr>
          <w:p w14:paraId="5DEAA61A"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Penn Conditional Exclusion Test (PCET) directly assesses cognitive flexibility, mirroring the Wisconsin Card Sorting Test. By requiring participants to identify common characteristics among item sets, it measures their ability to flexibly shift mental strategies and adapt to changing rules - key components of cognitive flexibility.</w:t>
            </w:r>
          </w:p>
        </w:tc>
        <w:tc>
          <w:tcPr>
            <w:tcW w:w="2730" w:type="dxa"/>
            <w:tcBorders>
              <w:bottom w:val="nil"/>
            </w:tcBorders>
            <w:tcMar>
              <w:top w:w="0" w:type="dxa"/>
              <w:left w:w="45" w:type="dxa"/>
              <w:bottom w:w="0" w:type="dxa"/>
              <w:right w:w="45" w:type="dxa"/>
            </w:tcMar>
          </w:tcPr>
          <w:p w14:paraId="5DEAA61B"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 Preservation errors, Median RT, Correct, incorrect, total responses</w:t>
            </w:r>
            <w:r>
              <w:rPr>
                <w:rFonts w:ascii="Times New Roman" w:eastAsia="Times New Roman" w:hAnsi="Times New Roman" w:cs="Times New Roman"/>
                <w:sz w:val="20"/>
                <w:szCs w:val="20"/>
              </w:rPr>
              <w:br/>
            </w:r>
          </w:p>
        </w:tc>
        <w:tc>
          <w:tcPr>
            <w:tcW w:w="105" w:type="dxa"/>
            <w:vAlign w:val="center"/>
          </w:tcPr>
          <w:p w14:paraId="5DEAA61C" w14:textId="77777777" w:rsidR="00144611" w:rsidRDefault="00144611">
            <w:pPr>
              <w:spacing w:after="60"/>
              <w:jc w:val="both"/>
              <w:rPr>
                <w:rFonts w:ascii="Times New Roman" w:eastAsia="Times New Roman" w:hAnsi="Times New Roman" w:cs="Times New Roman"/>
                <w:sz w:val="20"/>
                <w:szCs w:val="20"/>
              </w:rPr>
            </w:pPr>
          </w:p>
        </w:tc>
      </w:tr>
      <w:tr w:rsidR="00144611" w14:paraId="5DEAA625" w14:textId="77777777" w:rsidTr="007553F3">
        <w:trPr>
          <w:trHeight w:val="20"/>
        </w:trPr>
        <w:tc>
          <w:tcPr>
            <w:tcW w:w="990" w:type="dxa"/>
            <w:vMerge/>
            <w:tcBorders>
              <w:top w:val="nil"/>
              <w:bottom w:val="nil"/>
            </w:tcBorders>
            <w:tcMar>
              <w:top w:w="0" w:type="dxa"/>
              <w:left w:w="45" w:type="dxa"/>
              <w:bottom w:w="0" w:type="dxa"/>
              <w:right w:w="45" w:type="dxa"/>
            </w:tcMar>
          </w:tcPr>
          <w:p w14:paraId="5DEAA61E"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00" w:type="dxa"/>
            <w:vMerge/>
            <w:tcBorders>
              <w:top w:val="single" w:sz="4" w:space="0" w:color="000000"/>
              <w:bottom w:val="single" w:sz="4" w:space="0" w:color="auto"/>
            </w:tcBorders>
            <w:tcMar>
              <w:top w:w="0" w:type="dxa"/>
              <w:left w:w="45" w:type="dxa"/>
              <w:bottom w:w="0" w:type="dxa"/>
              <w:right w:w="45" w:type="dxa"/>
            </w:tcMar>
          </w:tcPr>
          <w:p w14:paraId="5DEAA61F"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60" w:type="dxa"/>
            <w:tcBorders>
              <w:bottom w:val="nil"/>
            </w:tcBorders>
            <w:shd w:val="clear" w:color="auto" w:fill="FFFFFF"/>
            <w:tcMar>
              <w:top w:w="0" w:type="dxa"/>
              <w:left w:w="45" w:type="dxa"/>
              <w:bottom w:w="0" w:type="dxa"/>
              <w:right w:w="45" w:type="dxa"/>
            </w:tcMar>
          </w:tcPr>
          <w:p w14:paraId="5DEAA620"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Trail Making Test</w:t>
            </w:r>
          </w:p>
        </w:tc>
        <w:tc>
          <w:tcPr>
            <w:tcW w:w="780" w:type="dxa"/>
            <w:tcBorders>
              <w:bottom w:val="nil"/>
            </w:tcBorders>
            <w:shd w:val="clear" w:color="auto" w:fill="FFFFFF"/>
            <w:tcMar>
              <w:top w:w="0" w:type="dxa"/>
              <w:left w:w="45" w:type="dxa"/>
              <w:bottom w:w="0" w:type="dxa"/>
              <w:right w:w="45" w:type="dxa"/>
            </w:tcMar>
          </w:tcPr>
          <w:p w14:paraId="5DEAA621"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7830" w:type="dxa"/>
            <w:tcBorders>
              <w:bottom w:val="nil"/>
            </w:tcBorders>
            <w:shd w:val="clear" w:color="auto" w:fill="FFFFFF"/>
            <w:tcMar>
              <w:top w:w="0" w:type="dxa"/>
              <w:left w:w="45" w:type="dxa"/>
              <w:bottom w:w="0" w:type="dxa"/>
              <w:right w:w="45" w:type="dxa"/>
            </w:tcMar>
          </w:tcPr>
          <w:p w14:paraId="5DEAA622"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Trail Making Test, particularly Part B, is a prime measure of cognitive flexibility. While Part A involves simple sequencing, Part B demands flexible alternation between numbers and letters. This task switching directly taps into cognitive flexibility, requiring participants to mentally shift between two sequences, adapting their approach throughout the test.</w:t>
            </w:r>
          </w:p>
        </w:tc>
        <w:tc>
          <w:tcPr>
            <w:tcW w:w="2730" w:type="dxa"/>
            <w:tcBorders>
              <w:bottom w:val="nil"/>
            </w:tcBorders>
            <w:tcMar>
              <w:top w:w="0" w:type="dxa"/>
              <w:left w:w="45" w:type="dxa"/>
              <w:bottom w:w="0" w:type="dxa"/>
              <w:right w:w="45" w:type="dxa"/>
            </w:tcMar>
          </w:tcPr>
          <w:p w14:paraId="5DEAA623"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 Time to finish the task, Number of errors</w:t>
            </w:r>
          </w:p>
        </w:tc>
        <w:tc>
          <w:tcPr>
            <w:tcW w:w="105" w:type="dxa"/>
            <w:vAlign w:val="center"/>
          </w:tcPr>
          <w:p w14:paraId="5DEAA624" w14:textId="77777777" w:rsidR="00144611" w:rsidRDefault="00144611">
            <w:pPr>
              <w:spacing w:after="60"/>
              <w:jc w:val="both"/>
              <w:rPr>
                <w:rFonts w:ascii="Times New Roman" w:eastAsia="Times New Roman" w:hAnsi="Times New Roman" w:cs="Times New Roman"/>
                <w:sz w:val="20"/>
                <w:szCs w:val="20"/>
              </w:rPr>
            </w:pPr>
          </w:p>
        </w:tc>
      </w:tr>
      <w:tr w:rsidR="00144611" w14:paraId="5DEAA62D" w14:textId="77777777" w:rsidTr="007553F3">
        <w:trPr>
          <w:trHeight w:val="20"/>
        </w:trPr>
        <w:tc>
          <w:tcPr>
            <w:tcW w:w="990" w:type="dxa"/>
            <w:vMerge/>
            <w:tcBorders>
              <w:top w:val="nil"/>
              <w:bottom w:val="nil"/>
            </w:tcBorders>
            <w:tcMar>
              <w:top w:w="0" w:type="dxa"/>
              <w:left w:w="45" w:type="dxa"/>
              <w:bottom w:w="0" w:type="dxa"/>
              <w:right w:w="45" w:type="dxa"/>
            </w:tcMar>
          </w:tcPr>
          <w:p w14:paraId="5DEAA626"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00" w:type="dxa"/>
            <w:vMerge/>
            <w:tcBorders>
              <w:top w:val="single" w:sz="4" w:space="0" w:color="000000"/>
              <w:bottom w:val="single" w:sz="4" w:space="0" w:color="auto"/>
            </w:tcBorders>
            <w:tcMar>
              <w:top w:w="0" w:type="dxa"/>
              <w:left w:w="45" w:type="dxa"/>
              <w:bottom w:w="0" w:type="dxa"/>
              <w:right w:w="45" w:type="dxa"/>
            </w:tcMar>
          </w:tcPr>
          <w:p w14:paraId="5DEAA627"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60" w:type="dxa"/>
            <w:tcBorders>
              <w:bottom w:val="single" w:sz="4" w:space="0" w:color="000000"/>
            </w:tcBorders>
            <w:shd w:val="clear" w:color="auto" w:fill="FFFFFF"/>
            <w:tcMar>
              <w:top w:w="0" w:type="dxa"/>
              <w:left w:w="45" w:type="dxa"/>
              <w:bottom w:w="0" w:type="dxa"/>
              <w:right w:w="45" w:type="dxa"/>
            </w:tcMar>
          </w:tcPr>
          <w:p w14:paraId="5DEAA628"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Tower of London </w:t>
            </w:r>
          </w:p>
        </w:tc>
        <w:tc>
          <w:tcPr>
            <w:tcW w:w="780" w:type="dxa"/>
            <w:tcBorders>
              <w:bottom w:val="single" w:sz="4" w:space="0" w:color="000000"/>
            </w:tcBorders>
            <w:shd w:val="clear" w:color="auto" w:fill="FFFFFF"/>
            <w:tcMar>
              <w:top w:w="0" w:type="dxa"/>
              <w:left w:w="45" w:type="dxa"/>
              <w:bottom w:w="0" w:type="dxa"/>
              <w:right w:w="45" w:type="dxa"/>
            </w:tcMar>
          </w:tcPr>
          <w:p w14:paraId="5DEAA629"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7830" w:type="dxa"/>
            <w:tcBorders>
              <w:bottom w:val="single" w:sz="4" w:space="0" w:color="000000"/>
            </w:tcBorders>
            <w:shd w:val="clear" w:color="auto" w:fill="FFFFFF"/>
            <w:tcMar>
              <w:top w:w="0" w:type="dxa"/>
              <w:left w:w="45" w:type="dxa"/>
              <w:bottom w:w="0" w:type="dxa"/>
              <w:right w:w="45" w:type="dxa"/>
            </w:tcMar>
          </w:tcPr>
          <w:p w14:paraId="5DEAA62A"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Tower of London (TOL) task evaluates cognitive flexibility within the context of planning and problem-solving. Participants must flexibly generate and modify strategies to rearrange beads with minimal moves. This constant adaptation of plans and approaches as the task progresses demonstrates cognitive flexibility in complex problem-solving scenarios, even in individuals with severe cognitive impairments.</w:t>
            </w:r>
          </w:p>
        </w:tc>
        <w:tc>
          <w:tcPr>
            <w:tcW w:w="2730" w:type="dxa"/>
            <w:tcBorders>
              <w:bottom w:val="single" w:sz="4" w:space="0" w:color="000000"/>
            </w:tcBorders>
            <w:tcMar>
              <w:top w:w="0" w:type="dxa"/>
              <w:left w:w="45" w:type="dxa"/>
              <w:bottom w:w="0" w:type="dxa"/>
              <w:right w:w="45" w:type="dxa"/>
            </w:tcMar>
          </w:tcPr>
          <w:p w14:paraId="5DEAA62B"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(12): Total correct trials, RT</w:t>
            </w:r>
          </w:p>
        </w:tc>
        <w:tc>
          <w:tcPr>
            <w:tcW w:w="105" w:type="dxa"/>
            <w:vAlign w:val="center"/>
          </w:tcPr>
          <w:p w14:paraId="5DEAA62C" w14:textId="77777777" w:rsidR="00144611" w:rsidRDefault="00144611">
            <w:pPr>
              <w:spacing w:after="60"/>
              <w:jc w:val="both"/>
              <w:rPr>
                <w:rFonts w:ascii="Times New Roman" w:eastAsia="Times New Roman" w:hAnsi="Times New Roman" w:cs="Times New Roman"/>
                <w:sz w:val="20"/>
                <w:szCs w:val="20"/>
              </w:rPr>
            </w:pPr>
          </w:p>
        </w:tc>
      </w:tr>
      <w:tr w:rsidR="00144611" w14:paraId="5DEAA637" w14:textId="77777777" w:rsidTr="005C0229">
        <w:trPr>
          <w:trHeight w:val="20"/>
        </w:trPr>
        <w:tc>
          <w:tcPr>
            <w:tcW w:w="2190" w:type="dxa"/>
            <w:gridSpan w:val="2"/>
            <w:vMerge w:val="restart"/>
            <w:tcBorders>
              <w:bottom w:val="nil"/>
            </w:tcBorders>
            <w:tcMar>
              <w:top w:w="0" w:type="dxa"/>
              <w:left w:w="45" w:type="dxa"/>
              <w:bottom w:w="0" w:type="dxa"/>
              <w:right w:w="45" w:type="dxa"/>
            </w:tcMar>
            <w:textDirection w:val="btLr"/>
          </w:tcPr>
          <w:p w14:paraId="5DEAA62E" w14:textId="77777777" w:rsidR="00144611" w:rsidRDefault="00144611">
            <w:pPr>
              <w:spacing w:after="60"/>
              <w:ind w:left="113" w:right="113"/>
              <w:jc w:val="both"/>
              <w:rPr>
                <w:rFonts w:ascii="Times New Roman" w:eastAsia="Times New Roman" w:hAnsi="Times New Roman" w:cs="Times New Roman"/>
                <w:b/>
                <w:sz w:val="20"/>
                <w:szCs w:val="20"/>
              </w:rPr>
            </w:pPr>
          </w:p>
          <w:p w14:paraId="5DEAA62F" w14:textId="77777777" w:rsidR="00144611" w:rsidRDefault="00144611">
            <w:pPr>
              <w:spacing w:after="60"/>
              <w:ind w:left="113" w:right="113"/>
              <w:jc w:val="both"/>
              <w:rPr>
                <w:rFonts w:ascii="Times New Roman" w:eastAsia="Times New Roman" w:hAnsi="Times New Roman" w:cs="Times New Roman"/>
                <w:b/>
                <w:sz w:val="20"/>
                <w:szCs w:val="20"/>
              </w:rPr>
            </w:pPr>
          </w:p>
          <w:p w14:paraId="5DEAA630" w14:textId="77777777" w:rsidR="00144611" w:rsidRDefault="00144611">
            <w:pPr>
              <w:spacing w:after="60"/>
              <w:ind w:left="113" w:right="113"/>
              <w:jc w:val="both"/>
              <w:rPr>
                <w:rFonts w:ascii="Times New Roman" w:eastAsia="Times New Roman" w:hAnsi="Times New Roman" w:cs="Times New Roman"/>
                <w:b/>
                <w:sz w:val="20"/>
                <w:szCs w:val="20"/>
              </w:rPr>
            </w:pPr>
          </w:p>
          <w:p w14:paraId="38E26BBF" w14:textId="77777777" w:rsidR="00907D08" w:rsidRDefault="00907D08">
            <w:pPr>
              <w:spacing w:after="60"/>
              <w:ind w:left="113" w:right="113"/>
              <w:jc w:val="both"/>
              <w:rPr>
                <w:rFonts w:ascii="Times New Roman" w:eastAsia="Times New Roman" w:hAnsi="Times New Roman" w:cs="Times New Roman"/>
                <w:b/>
                <w:sz w:val="20"/>
                <w:szCs w:val="20"/>
              </w:rPr>
            </w:pPr>
          </w:p>
          <w:p w14:paraId="5DEAA631" w14:textId="3FA1AFCF" w:rsidR="00144611" w:rsidRDefault="003422DA" w:rsidP="007553F3">
            <w:pPr>
              <w:spacing w:after="60"/>
              <w:ind w:left="113" w:right="11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Attention</w:t>
            </w:r>
          </w:p>
        </w:tc>
        <w:tc>
          <w:tcPr>
            <w:tcW w:w="1260" w:type="dxa"/>
            <w:tcBorders>
              <w:bottom w:val="nil"/>
            </w:tcBorders>
            <w:shd w:val="clear" w:color="auto" w:fill="FFFFFF"/>
            <w:tcMar>
              <w:top w:w="0" w:type="dxa"/>
              <w:left w:w="45" w:type="dxa"/>
              <w:bottom w:w="0" w:type="dxa"/>
              <w:right w:w="45" w:type="dxa"/>
            </w:tcMar>
          </w:tcPr>
          <w:p w14:paraId="5DEAA632"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Frankfurt Attention Inventory </w:t>
            </w:r>
          </w:p>
        </w:tc>
        <w:tc>
          <w:tcPr>
            <w:tcW w:w="780" w:type="dxa"/>
            <w:tcBorders>
              <w:bottom w:val="nil"/>
            </w:tcBorders>
            <w:shd w:val="clear" w:color="auto" w:fill="FFFFFF"/>
            <w:tcMar>
              <w:top w:w="0" w:type="dxa"/>
              <w:left w:w="45" w:type="dxa"/>
              <w:bottom w:w="0" w:type="dxa"/>
              <w:right w:w="45" w:type="dxa"/>
            </w:tcMar>
          </w:tcPr>
          <w:p w14:paraId="5DEAA633"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 (9)</w:t>
            </w:r>
          </w:p>
        </w:tc>
        <w:tc>
          <w:tcPr>
            <w:tcW w:w="7830" w:type="dxa"/>
            <w:tcBorders>
              <w:bottom w:val="nil"/>
            </w:tcBorders>
            <w:shd w:val="clear" w:color="auto" w:fill="FFFFFF"/>
            <w:tcMar>
              <w:top w:w="0" w:type="dxa"/>
              <w:left w:w="45" w:type="dxa"/>
              <w:bottom w:w="0" w:type="dxa"/>
              <w:right w:w="45" w:type="dxa"/>
            </w:tcMar>
          </w:tcPr>
          <w:p w14:paraId="5DEAA634"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Frankfurt Attention Inventory (FAIR) is a paper-pencil measure of sustained and directed attention. Participants identify target stimuli within distractor items within a limited time by spiking at each target and drawing a continuous line below the distractors. The test yields three main scores:</w:t>
            </w:r>
            <w:r>
              <w:rPr>
                <w:rFonts w:ascii="Times New Roman" w:eastAsia="Times New Roman" w:hAnsi="Times New Roman" w:cs="Times New Roman"/>
                <w:sz w:val="20"/>
                <w:szCs w:val="20"/>
              </w:rPr>
              <w:br/>
              <w:t>Performance score (P): Measures overall effectiveness in completing the task.</w:t>
            </w:r>
            <w:r>
              <w:rPr>
                <w:rFonts w:ascii="Times New Roman" w:eastAsia="Times New Roman" w:hAnsi="Times New Roman" w:cs="Times New Roman"/>
                <w:sz w:val="20"/>
                <w:szCs w:val="20"/>
              </w:rPr>
              <w:br/>
              <w:t>Quality score (Q): Reflects ACC, calculated as the ratio of correct decisions to total decisions made.</w:t>
            </w:r>
            <w:r>
              <w:rPr>
                <w:rFonts w:ascii="Times New Roman" w:eastAsia="Times New Roman" w:hAnsi="Times New Roman" w:cs="Times New Roman"/>
                <w:sz w:val="20"/>
                <w:szCs w:val="20"/>
              </w:rPr>
              <w:br/>
              <w:t>Continuity score (C): Assesses the consistency of attention throughout the task duration.</w:t>
            </w:r>
          </w:p>
        </w:tc>
        <w:tc>
          <w:tcPr>
            <w:tcW w:w="2730" w:type="dxa"/>
            <w:tcBorders>
              <w:bottom w:val="nil"/>
            </w:tcBorders>
            <w:tcMar>
              <w:top w:w="0" w:type="dxa"/>
              <w:left w:w="45" w:type="dxa"/>
              <w:bottom w:w="0" w:type="dxa"/>
              <w:right w:w="45" w:type="dxa"/>
            </w:tcMar>
          </w:tcPr>
          <w:p w14:paraId="5DEAA635"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(6)(9): Performance score (P) / Marker Value, Quality score (Q), Continuity score (C)</w:t>
            </w:r>
          </w:p>
        </w:tc>
        <w:tc>
          <w:tcPr>
            <w:tcW w:w="105" w:type="dxa"/>
            <w:vAlign w:val="center"/>
          </w:tcPr>
          <w:p w14:paraId="5DEAA636" w14:textId="77777777" w:rsidR="00144611" w:rsidRDefault="00144611">
            <w:pPr>
              <w:spacing w:after="60"/>
              <w:jc w:val="both"/>
              <w:rPr>
                <w:rFonts w:ascii="Times New Roman" w:eastAsia="Times New Roman" w:hAnsi="Times New Roman" w:cs="Times New Roman"/>
                <w:sz w:val="20"/>
                <w:szCs w:val="20"/>
              </w:rPr>
            </w:pPr>
          </w:p>
        </w:tc>
      </w:tr>
      <w:tr w:rsidR="00144611" w14:paraId="5DEAA63E" w14:textId="77777777" w:rsidTr="00E402E0">
        <w:trPr>
          <w:trHeight w:val="20"/>
        </w:trPr>
        <w:tc>
          <w:tcPr>
            <w:tcW w:w="2190" w:type="dxa"/>
            <w:gridSpan w:val="2"/>
            <w:vMerge/>
            <w:tcBorders>
              <w:bottom w:val="nil"/>
            </w:tcBorders>
            <w:tcMar>
              <w:top w:w="0" w:type="dxa"/>
              <w:left w:w="45" w:type="dxa"/>
              <w:bottom w:w="0" w:type="dxa"/>
              <w:right w:w="45" w:type="dxa"/>
            </w:tcMar>
          </w:tcPr>
          <w:p w14:paraId="5DEAA638"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60" w:type="dxa"/>
            <w:tcBorders>
              <w:bottom w:val="nil"/>
            </w:tcBorders>
            <w:shd w:val="clear" w:color="auto" w:fill="FFFFFF"/>
            <w:tcMar>
              <w:top w:w="0" w:type="dxa"/>
              <w:left w:w="45" w:type="dxa"/>
              <w:bottom w:w="0" w:type="dxa"/>
              <w:right w:w="45" w:type="dxa"/>
            </w:tcMar>
          </w:tcPr>
          <w:p w14:paraId="5DEAA639"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Attentional blink task</w:t>
            </w:r>
          </w:p>
        </w:tc>
        <w:tc>
          <w:tcPr>
            <w:tcW w:w="780" w:type="dxa"/>
            <w:tcBorders>
              <w:bottom w:val="nil"/>
            </w:tcBorders>
            <w:shd w:val="clear" w:color="auto" w:fill="FFFFFF"/>
            <w:tcMar>
              <w:top w:w="0" w:type="dxa"/>
              <w:left w:w="45" w:type="dxa"/>
              <w:bottom w:w="0" w:type="dxa"/>
              <w:right w:w="45" w:type="dxa"/>
            </w:tcMar>
          </w:tcPr>
          <w:p w14:paraId="5DEAA63A"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7830" w:type="dxa"/>
            <w:tcBorders>
              <w:bottom w:val="nil"/>
            </w:tcBorders>
            <w:shd w:val="clear" w:color="auto" w:fill="FFFFFF"/>
            <w:tcMar>
              <w:top w:w="0" w:type="dxa"/>
              <w:left w:w="45" w:type="dxa"/>
              <w:bottom w:w="0" w:type="dxa"/>
              <w:right w:w="45" w:type="dxa"/>
            </w:tcMar>
          </w:tcPr>
          <w:p w14:paraId="5DEAA63B"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attentional blink (AB) task is a measure for allocating attention over time.</w:t>
            </w:r>
            <w:r>
              <w:rPr>
                <w:rFonts w:ascii="Times New Roman" w:eastAsia="Times New Roman" w:hAnsi="Times New Roman" w:cs="Times New Roman"/>
                <w:sz w:val="20"/>
                <w:szCs w:val="20"/>
              </w:rPr>
              <w:br/>
              <w:t>Participants view a rapid stream of letters with two digit targets (T1 and T2) inserted. The aim is to identify both digits, and performance is evaluated based on correct detection rates. When T2 appears with a short stimulus onset interval, T2 is often not detected. The task incorporates varying time lags between the targets to assess the duration of the attentional "blink".</w:t>
            </w:r>
          </w:p>
        </w:tc>
        <w:tc>
          <w:tcPr>
            <w:tcW w:w="2730" w:type="dxa"/>
            <w:tcBorders>
              <w:bottom w:val="nil"/>
            </w:tcBorders>
            <w:tcMar>
              <w:top w:w="0" w:type="dxa"/>
              <w:left w:w="45" w:type="dxa"/>
              <w:bottom w:w="0" w:type="dxa"/>
              <w:right w:w="45" w:type="dxa"/>
            </w:tcMar>
          </w:tcPr>
          <w:p w14:paraId="5DEAA63C"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 Visibility rate of targets (T1,T2)</w:t>
            </w:r>
          </w:p>
        </w:tc>
        <w:tc>
          <w:tcPr>
            <w:tcW w:w="105" w:type="dxa"/>
            <w:vAlign w:val="center"/>
          </w:tcPr>
          <w:p w14:paraId="5DEAA63D" w14:textId="77777777" w:rsidR="00144611" w:rsidRDefault="00144611">
            <w:pPr>
              <w:spacing w:after="60"/>
              <w:jc w:val="both"/>
              <w:rPr>
                <w:rFonts w:ascii="Times New Roman" w:eastAsia="Times New Roman" w:hAnsi="Times New Roman" w:cs="Times New Roman"/>
                <w:sz w:val="20"/>
                <w:szCs w:val="20"/>
              </w:rPr>
            </w:pPr>
          </w:p>
        </w:tc>
      </w:tr>
      <w:tr w:rsidR="00144611" w14:paraId="5DEAA645" w14:textId="77777777" w:rsidTr="00E402E0">
        <w:trPr>
          <w:trHeight w:val="20"/>
        </w:trPr>
        <w:tc>
          <w:tcPr>
            <w:tcW w:w="2190" w:type="dxa"/>
            <w:gridSpan w:val="2"/>
            <w:vMerge/>
            <w:tcBorders>
              <w:bottom w:val="nil"/>
            </w:tcBorders>
            <w:tcMar>
              <w:top w:w="0" w:type="dxa"/>
              <w:left w:w="45" w:type="dxa"/>
              <w:bottom w:w="0" w:type="dxa"/>
              <w:right w:w="45" w:type="dxa"/>
            </w:tcMar>
          </w:tcPr>
          <w:p w14:paraId="5DEAA63F"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60" w:type="dxa"/>
            <w:tcBorders>
              <w:bottom w:val="nil"/>
            </w:tcBorders>
            <w:shd w:val="clear" w:color="auto" w:fill="FFFFFF"/>
            <w:tcMar>
              <w:top w:w="0" w:type="dxa"/>
              <w:left w:w="45" w:type="dxa"/>
              <w:bottom w:w="0" w:type="dxa"/>
              <w:right w:w="45" w:type="dxa"/>
            </w:tcMar>
          </w:tcPr>
          <w:p w14:paraId="5DEAA640"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Covert orienting of attention task </w:t>
            </w:r>
          </w:p>
        </w:tc>
        <w:tc>
          <w:tcPr>
            <w:tcW w:w="780" w:type="dxa"/>
            <w:tcBorders>
              <w:bottom w:val="nil"/>
            </w:tcBorders>
            <w:shd w:val="clear" w:color="auto" w:fill="FFFFFF"/>
            <w:tcMar>
              <w:top w:w="0" w:type="dxa"/>
              <w:left w:w="45" w:type="dxa"/>
              <w:bottom w:w="0" w:type="dxa"/>
              <w:right w:w="45" w:type="dxa"/>
            </w:tcMar>
          </w:tcPr>
          <w:p w14:paraId="5DEAA641"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7830" w:type="dxa"/>
            <w:tcBorders>
              <w:bottom w:val="nil"/>
            </w:tcBorders>
            <w:shd w:val="clear" w:color="auto" w:fill="FFFFFF"/>
            <w:tcMar>
              <w:top w:w="0" w:type="dxa"/>
              <w:left w:w="45" w:type="dxa"/>
              <w:bottom w:w="0" w:type="dxa"/>
              <w:right w:w="45" w:type="dxa"/>
            </w:tcMar>
          </w:tcPr>
          <w:p w14:paraId="5DEAA642"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Covert orienting of attention task (COVAT) assesses attentional control by requiring participants to quickly respond to visual stimuli appearing in different locations on a screen. Cues indicate where the stimulus may appear, but they may be misleading.</w:t>
            </w:r>
          </w:p>
        </w:tc>
        <w:tc>
          <w:tcPr>
            <w:tcW w:w="2730" w:type="dxa"/>
            <w:tcBorders>
              <w:bottom w:val="nil"/>
            </w:tcBorders>
            <w:tcMar>
              <w:top w:w="0" w:type="dxa"/>
              <w:left w:w="45" w:type="dxa"/>
              <w:bottom w:w="0" w:type="dxa"/>
              <w:right w:w="45" w:type="dxa"/>
            </w:tcMar>
          </w:tcPr>
          <w:p w14:paraId="5DEAA643"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 RT, Validity effect (difference between invalid and valid RTs)</w:t>
            </w:r>
          </w:p>
        </w:tc>
        <w:tc>
          <w:tcPr>
            <w:tcW w:w="105" w:type="dxa"/>
            <w:vAlign w:val="center"/>
          </w:tcPr>
          <w:p w14:paraId="5DEAA644" w14:textId="77777777" w:rsidR="00144611" w:rsidRDefault="00144611">
            <w:pPr>
              <w:spacing w:after="60"/>
              <w:jc w:val="both"/>
              <w:rPr>
                <w:rFonts w:ascii="Times New Roman" w:eastAsia="Times New Roman" w:hAnsi="Times New Roman" w:cs="Times New Roman"/>
                <w:sz w:val="20"/>
                <w:szCs w:val="20"/>
              </w:rPr>
            </w:pPr>
          </w:p>
        </w:tc>
      </w:tr>
      <w:tr w:rsidR="00144611" w14:paraId="5DEAA64C" w14:textId="77777777" w:rsidTr="00E402E0">
        <w:trPr>
          <w:cantSplit/>
          <w:trHeight w:val="1133"/>
        </w:trPr>
        <w:tc>
          <w:tcPr>
            <w:tcW w:w="2190" w:type="dxa"/>
            <w:gridSpan w:val="2"/>
            <w:vMerge/>
            <w:tcBorders>
              <w:bottom w:val="nil"/>
            </w:tcBorders>
            <w:tcMar>
              <w:top w:w="0" w:type="dxa"/>
              <w:left w:w="45" w:type="dxa"/>
              <w:bottom w:w="0" w:type="dxa"/>
              <w:right w:w="45" w:type="dxa"/>
            </w:tcMar>
          </w:tcPr>
          <w:p w14:paraId="5DEAA646" w14:textId="77777777" w:rsidR="00144611" w:rsidRDefault="00144611">
            <w:pPr>
              <w:widowControl w:val="0"/>
              <w:pBdr>
                <w:top w:val="nil"/>
                <w:left w:val="nil"/>
                <w:bottom w:val="nil"/>
                <w:right w:val="nil"/>
                <w:between w:val="nil"/>
              </w:pBdr>
              <w:spacing w:line="276" w:lineRule="auto"/>
              <w:jc w:val="both"/>
              <w:rPr>
                <w:rFonts w:ascii="Times New Roman" w:eastAsia="Times New Roman" w:hAnsi="Times New Roman" w:cs="Times New Roman"/>
                <w:sz w:val="20"/>
                <w:szCs w:val="20"/>
              </w:rPr>
            </w:pPr>
          </w:p>
        </w:tc>
        <w:tc>
          <w:tcPr>
            <w:tcW w:w="1260" w:type="dxa"/>
            <w:tcBorders>
              <w:top w:val="nil"/>
            </w:tcBorders>
            <w:shd w:val="clear" w:color="auto" w:fill="FFFFFF"/>
            <w:tcMar>
              <w:top w:w="0" w:type="dxa"/>
              <w:left w:w="45" w:type="dxa"/>
              <w:bottom w:w="0" w:type="dxa"/>
              <w:right w:w="45" w:type="dxa"/>
            </w:tcMar>
          </w:tcPr>
          <w:p w14:paraId="5DEAA647"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Multiple Objects Tracking </w:t>
            </w:r>
          </w:p>
        </w:tc>
        <w:tc>
          <w:tcPr>
            <w:tcW w:w="780" w:type="dxa"/>
            <w:tcBorders>
              <w:top w:val="nil"/>
            </w:tcBorders>
            <w:shd w:val="clear" w:color="auto" w:fill="FFFFFF"/>
            <w:tcMar>
              <w:top w:w="0" w:type="dxa"/>
              <w:left w:w="45" w:type="dxa"/>
              <w:bottom w:w="0" w:type="dxa"/>
              <w:right w:w="45" w:type="dxa"/>
            </w:tcMar>
          </w:tcPr>
          <w:p w14:paraId="5DEAA648"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7830" w:type="dxa"/>
            <w:tcBorders>
              <w:top w:val="nil"/>
            </w:tcBorders>
            <w:shd w:val="clear" w:color="auto" w:fill="FFFFFF"/>
            <w:tcMar>
              <w:top w:w="0" w:type="dxa"/>
              <w:left w:w="45" w:type="dxa"/>
              <w:bottom w:w="0" w:type="dxa"/>
              <w:right w:w="45" w:type="dxa"/>
            </w:tcMar>
          </w:tcPr>
          <w:p w14:paraId="5DEAA649"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Multiple Objects Tracking (MOT) is a measure of divided visual attention to moving visual stimuli. During the task, participants keep their gaze on a fixation cross and look at a small set of identical stimuli of targets and distractors that start moving randomly on a display. Participants observe these moving objects among distractors and identify them post-movement selecting the objects they believe were the original targets.</w:t>
            </w:r>
          </w:p>
        </w:tc>
        <w:tc>
          <w:tcPr>
            <w:tcW w:w="2730" w:type="dxa"/>
            <w:tcBorders>
              <w:top w:val="nil"/>
            </w:tcBorders>
            <w:tcMar>
              <w:top w:w="0" w:type="dxa"/>
              <w:left w:w="45" w:type="dxa"/>
              <w:bottom w:w="0" w:type="dxa"/>
              <w:right w:w="45" w:type="dxa"/>
            </w:tcMar>
          </w:tcPr>
          <w:p w14:paraId="5DEAA64A" w14:textId="77777777" w:rsidR="00144611" w:rsidRDefault="003422DA">
            <w:pPr>
              <w:spacing w:after="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 The mean % of correct responses, Mean # of successfully tracked targets, Discriminability index</w:t>
            </w:r>
          </w:p>
        </w:tc>
        <w:tc>
          <w:tcPr>
            <w:tcW w:w="105" w:type="dxa"/>
            <w:vAlign w:val="center"/>
          </w:tcPr>
          <w:p w14:paraId="5DEAA64B" w14:textId="77777777" w:rsidR="00144611" w:rsidRDefault="00144611">
            <w:pPr>
              <w:spacing w:after="60"/>
              <w:jc w:val="both"/>
              <w:rPr>
                <w:rFonts w:ascii="Times New Roman" w:eastAsia="Times New Roman" w:hAnsi="Times New Roman" w:cs="Times New Roman"/>
                <w:sz w:val="20"/>
                <w:szCs w:val="20"/>
              </w:rPr>
            </w:pPr>
          </w:p>
        </w:tc>
      </w:tr>
    </w:tbl>
    <w:p w14:paraId="5DEAA64D" w14:textId="77777777" w:rsidR="00144611" w:rsidRDefault="00144611">
      <w:pPr>
        <w:tabs>
          <w:tab w:val="left" w:pos="7953"/>
        </w:tabs>
        <w:jc w:val="both"/>
        <w:rPr>
          <w:rFonts w:ascii="Times New Roman" w:eastAsia="Times New Roman" w:hAnsi="Times New Roman" w:cs="Times New Roman"/>
        </w:rPr>
        <w:sectPr w:rsidR="00144611">
          <w:pgSz w:w="15840" w:h="12240" w:orient="landscape"/>
          <w:pgMar w:top="720" w:right="720" w:bottom="720" w:left="720" w:header="720" w:footer="720" w:gutter="0"/>
          <w:lnNumType w:countBy="1" w:restart="continuous"/>
          <w:cols w:space="720"/>
        </w:sectPr>
      </w:pPr>
    </w:p>
    <w:p w14:paraId="5DEAA64E" w14:textId="77777777" w:rsidR="00144611" w:rsidRDefault="003422DA">
      <w:pPr>
        <w:widowControl w:val="0"/>
        <w:tabs>
          <w:tab w:val="left" w:pos="1440"/>
          <w:tab w:val="left" w:pos="2160"/>
          <w:tab w:val="left" w:pos="2880"/>
        </w:tabs>
        <w:spacing w:line="480" w:lineRule="auto"/>
        <w:jc w:val="both"/>
        <w:rPr>
          <w:rFonts w:ascii="Courier New" w:eastAsia="Courier New" w:hAnsi="Courier New" w:cs="Courier New"/>
        </w:rPr>
      </w:pPr>
      <w:bookmarkStart w:id="5" w:name="bookmark=id.lnxbz9" w:colFirst="0" w:colLast="0"/>
      <w:bookmarkEnd w:id="5"/>
      <w:r>
        <w:rPr>
          <w:rFonts w:ascii="Times New Roman" w:eastAsia="Times New Roman" w:hAnsi="Times New Roman" w:cs="Times New Roman"/>
          <w:b/>
          <w:i/>
        </w:rPr>
        <w:lastRenderedPageBreak/>
        <w:t>Acute psilocybin effects on Working Memory (Updating)</w:t>
      </w:r>
    </w:p>
    <w:p w14:paraId="5DEAA64F"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Barrett et al. (2017) found that psilocybin acutely and selectively affects working memory in a dose-dependent manner. Using the Letter-N-Back task 180 minutes post-psilocybin administration, they observed significantly lowered discriminability, increased response bias, and prolonged response time during the 2-back condition compared to placebo. These effects on RT were more pronounced at higher doses (20-30 mg/70kg; d(20mg) = 1.36, large effect; d(30mg)=1.89, large effect) compared to lower doses (10 mg/70kg; d(10mg) = 1.25, large effect).</w:t>
      </w:r>
    </w:p>
    <w:p w14:paraId="5DEAA650"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In contrast, Carter et al. (2005) used the Spatial Span Test and reported that psilocybin did not significantly affect spatial working memory span or errors acutely at a dose of 15mg, even though the psilocybin group did make more mistakes in their sample (d= -0.62, medium effect). This suggests a potential dissociation between the effects of psilocybin on different aspects of working memory functions (updating vs span) or tasks.</w:t>
      </w:r>
    </w:p>
    <w:p w14:paraId="5DEAA651"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Wittmann et al. (2006) found that psilocybin acutely reduced spatial span length at 100 minutes post-psilocybin administration of a low dose (17.5mg/kg; d = -0.31, small effect) but not at a lower dose (8.05mg/70kg; d(100 mins)=-0.04, no effect; d(360 mins)=-0.12, no effect) or at a later time point of 360 minutes post-psilocybin administration (d = 0.02, no effect).</w:t>
      </w:r>
    </w:p>
    <w:p w14:paraId="5DEAA652"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proofErr w:type="spellStart"/>
      <w:r>
        <w:rPr>
          <w:rFonts w:ascii="Times New Roman" w:eastAsia="Times New Roman" w:hAnsi="Times New Roman" w:cs="Times New Roman"/>
        </w:rPr>
        <w:t>Mallaroni</w:t>
      </w:r>
      <w:proofErr w:type="spellEnd"/>
      <w:r>
        <w:rPr>
          <w:rFonts w:ascii="Times New Roman" w:eastAsia="Times New Roman" w:hAnsi="Times New Roman" w:cs="Times New Roman"/>
        </w:rPr>
        <w:t xml:space="preserve"> et al. (2023) compared the acute effects of psilocybin and 2C-B on different cognitive functions. Both substances impaired global cognitive function, including working memory, as measured by the reduction in correct responses (d = -1.34, large effect) in the psilocybin group during the Spatial Memory Task at 225 minutes post-psilocybin administration.</w:t>
      </w:r>
    </w:p>
    <w:p w14:paraId="5DEAA653" w14:textId="77777777" w:rsidR="00144611" w:rsidRDefault="003422DA">
      <w:pPr>
        <w:widowControl w:val="0"/>
        <w:tabs>
          <w:tab w:val="left" w:pos="1440"/>
          <w:tab w:val="left" w:pos="2160"/>
          <w:tab w:val="left" w:pos="2880"/>
        </w:tabs>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Vollenweider et al. (1998) investigated the role of serotonin receptors in psilocybin-induced working memory effects. They found that psilocybin prolonged RTs on a delayed response task at 80 minutes post-psilocybin administration (d = 1.75, large effect). These acute </w:t>
      </w:r>
      <w:r>
        <w:rPr>
          <w:rFonts w:ascii="Times New Roman" w:eastAsia="Times New Roman" w:hAnsi="Times New Roman" w:cs="Times New Roman"/>
        </w:rPr>
        <w:lastRenderedPageBreak/>
        <w:t>increases were prevented by pretreatment with serotonin-2 antagonists but not dopamine antagonists, suggesting that the effects are primarily mediated by serotonin-2A receptor activation.</w:t>
      </w:r>
    </w:p>
    <w:p w14:paraId="5DEAA654" w14:textId="77777777" w:rsidR="00144611" w:rsidRDefault="003422DA">
      <w:pPr>
        <w:widowControl w:val="0"/>
        <w:tabs>
          <w:tab w:val="left" w:pos="1440"/>
          <w:tab w:val="left" w:pos="2160"/>
          <w:tab w:val="left" w:pos="2880"/>
        </w:tabs>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To summarize, studies on psilocybin's acute effects on working memory show mixed results. While some report dose-dependent impairments in updating and global cognitive function, others find no significant effects on spatial working memory span. The impact appears to vary based on task type, dosage, and assessment timing. Evidence suggests these effects are primarily mediated by serotonin-2A receptor activation.</w:t>
      </w:r>
    </w:p>
    <w:p w14:paraId="5DEAA655" w14:textId="77777777" w:rsidR="00144611" w:rsidRDefault="00342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Courier New" w:eastAsia="Courier New" w:hAnsi="Courier New" w:cs="Courier New"/>
        </w:rPr>
      </w:pPr>
      <w:r>
        <w:rPr>
          <w:rFonts w:ascii="Times New Roman" w:eastAsia="Times New Roman" w:hAnsi="Times New Roman" w:cs="Times New Roman"/>
          <w:b/>
          <w:i/>
        </w:rPr>
        <w:t xml:space="preserve">Acute psilocybin effects on conflict monitoring </w:t>
      </w:r>
    </w:p>
    <w:p w14:paraId="5DEAA656"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Several studies have investigated the effects of psilocybin on conflict monitoring using various cognitive tasks. Barrett et al. (2017) found that psilocybin induced dose-dependent effects in conflict monitoring as assessed by the emotional Stroop task. RTs increased significantly with increasing doses of psilocybin across the incongruent and congruent conditions (10, 20, and 30 mg/70kg; d=1.44, 2.1, 2.5; all large effect sizes) compared to placebo at 240 minutes post-psilocybin administration. However, the study did not find a significant effect on ACC. </w:t>
      </w:r>
    </w:p>
    <w:p w14:paraId="5DEAA657"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Cavanna et al. (2022) investigated the effects of psilocybin microdosing (0.795 mg/70kg) using the Stroop. At 180 minutes post-psilocybin administration, participants exhibited longer RTs (d = 0.51; medium effect) and lower ACC ( incongruent - congruent condition; d = -0.11; small effect) in the Stroop task under psilocybin compared to an inactive placebo (edible mushroom). These findings suggest that even at microdoses, psilocybin may slightly slow down conflict monitoring. </w:t>
      </w:r>
    </w:p>
    <w:p w14:paraId="5DEAA658"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proofErr w:type="spellStart"/>
      <w:r>
        <w:rPr>
          <w:rFonts w:ascii="Times New Roman" w:eastAsia="Times New Roman" w:hAnsi="Times New Roman" w:cs="Times New Roman"/>
        </w:rPr>
        <w:t>Quednow</w:t>
      </w:r>
      <w:proofErr w:type="spellEnd"/>
      <w:r>
        <w:rPr>
          <w:rFonts w:ascii="Times New Roman" w:eastAsia="Times New Roman" w:hAnsi="Times New Roman" w:cs="Times New Roman"/>
        </w:rPr>
        <w:t xml:space="preserve"> et al. (2011) examined the effects of a </w:t>
      </w:r>
      <w:sdt>
        <w:sdtPr>
          <w:tag w:val="goog_rdk_4"/>
          <w:id w:val="-1619521679"/>
        </w:sdtPr>
        <w:sdtEndPr/>
        <w:sdtContent/>
      </w:sdt>
      <w:r>
        <w:rPr>
          <w:rFonts w:ascii="Times New Roman" w:eastAsia="Times New Roman" w:hAnsi="Times New Roman" w:cs="Times New Roman"/>
        </w:rPr>
        <w:t xml:space="preserve">low dose of psilocybin (18.5 mg/70kg) using the Stroop task. At 85 minutes post-psilocybin administration, psilocybin increased RTs (d= 1.03; large effect) and decreased ACC (d = -0.85; large effect ). The authors attributed these effects </w:t>
      </w:r>
      <w:r>
        <w:rPr>
          <w:rFonts w:ascii="Times New Roman" w:eastAsia="Times New Roman" w:hAnsi="Times New Roman" w:cs="Times New Roman"/>
        </w:rPr>
        <w:lastRenderedPageBreak/>
        <w:t xml:space="preserve">to the stimulation of serotonin-2A receptors by psilocybin, as pretreatment with the 5-HT2A/2C receptor antagonist </w:t>
      </w:r>
      <w:proofErr w:type="spellStart"/>
      <w:r>
        <w:rPr>
          <w:rFonts w:ascii="Times New Roman" w:eastAsia="Times New Roman" w:hAnsi="Times New Roman" w:cs="Times New Roman"/>
        </w:rPr>
        <w:t>ketanserin</w:t>
      </w:r>
      <w:proofErr w:type="spellEnd"/>
      <w:r>
        <w:rPr>
          <w:rFonts w:ascii="Times New Roman" w:eastAsia="Times New Roman" w:hAnsi="Times New Roman" w:cs="Times New Roman"/>
        </w:rPr>
        <w:t xml:space="preserve"> attenuated these effects. </w:t>
      </w:r>
    </w:p>
    <w:p w14:paraId="5DEAA659"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Doss et al. (2021) explored the long-term effects of psilocybin treatment on conflict monitoring in patients diagnosed with Major Depressive Disorder (MDD). This open-label clinical trial involved 24 participants, administering either a medium dose of 20 mg/70 kg or a high dose of 30 mg/70 kg of psilocybin. Assessments were made at multiple time points: eight weeks before, at baseline, and one and four weeks after the treatment. Psilocybin showed no significant effect on RT or ACC in the Stroop task. </w:t>
      </w:r>
    </w:p>
    <w:p w14:paraId="5DEAA65A"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u w:val="single"/>
        </w:rPr>
        <w:t>To summarize</w:t>
      </w:r>
      <w:r>
        <w:rPr>
          <w:rFonts w:ascii="Times New Roman" w:eastAsia="Times New Roman" w:hAnsi="Times New Roman" w:cs="Times New Roman"/>
        </w:rPr>
        <w:t>, the four studies reviewed consistently demonstrate that psilocybin affects conflict monitoring in a dose-dependent manner. Higher doses of psilocybin lead to more pronounced increases in RTs and decreases in ACC on tasks involving conflict resolution. These effects are evident even at microdoses.</w:t>
      </w:r>
    </w:p>
    <w:p w14:paraId="5DEAA65B" w14:textId="77777777" w:rsidR="00144611" w:rsidRDefault="00342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Courier New" w:eastAsia="Courier New" w:hAnsi="Courier New" w:cs="Courier New"/>
        </w:rPr>
      </w:pPr>
      <w:r>
        <w:rPr>
          <w:rFonts w:ascii="Times New Roman" w:eastAsia="Times New Roman" w:hAnsi="Times New Roman" w:cs="Times New Roman"/>
          <w:b/>
          <w:i/>
        </w:rPr>
        <w:t xml:space="preserve">Acute psilocybin effects on response inhibition </w:t>
      </w:r>
    </w:p>
    <w:p w14:paraId="5DEAA65C"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Cavanna et al. (2022) investigated the effects of psilocybin microdosing (0.795 mg/70kg) on inhibition using the Go/No-Go task. At 150 minutes, the study found no significant differences in response ACC between the psilocybin and placebo conditions. However, there was a slight decrease in ACC in their sample (NoGo-Go condition; d =-0.01; very small effect). </w:t>
      </w:r>
    </w:p>
    <w:p w14:paraId="5DEAA65D"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proofErr w:type="spellStart"/>
      <w:r>
        <w:rPr>
          <w:rFonts w:ascii="Times New Roman" w:eastAsia="Times New Roman" w:hAnsi="Times New Roman" w:cs="Times New Roman"/>
        </w:rPr>
        <w:t>Kometer</w:t>
      </w:r>
      <w:proofErr w:type="spellEnd"/>
      <w:r>
        <w:rPr>
          <w:rFonts w:ascii="Times New Roman" w:eastAsia="Times New Roman" w:hAnsi="Times New Roman" w:cs="Times New Roman"/>
        </w:rPr>
        <w:t xml:space="preserve"> et al. (2012) examined the effects of a low dose of psilocybin (15.05 mg/70kg) on inhibiting emotional stimuli using the emotional Go/No-Go task. At 120 minutes post-psilocybin administration, psilocybin decreased ACC (d = -2.16; large effect) and increased RTs (d = 1.56; large effect) compared to placebo. The increase in RT was modulated by the valence of the words used in the task. Specifically, the psilocybin group exhibited longer RTs for negative words compared to positive suggesting an increased effect on negative cognitive control </w:t>
      </w:r>
      <w:r>
        <w:rPr>
          <w:rFonts w:ascii="Times New Roman" w:eastAsia="Times New Roman" w:hAnsi="Times New Roman" w:cs="Times New Roman"/>
        </w:rPr>
        <w:lastRenderedPageBreak/>
        <w:t xml:space="preserve">processing under the influence of psilocybin. </w:t>
      </w:r>
    </w:p>
    <w:p w14:paraId="5DEAA65E"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Marschall et al. (2022) also investigated the effects of psilocybin microdosing (1.5 mg/70kg) on inhibition using the emotional Go/No-Go task. At 90 minutes post-psilocybin administration, the study found no significant effect on RTs or ACC (d = -0.03; small effect) in the No-Go trials between the psilocybin and placebo (edible mushroom) conditions. </w:t>
      </w:r>
    </w:p>
    <w:p w14:paraId="5DEAA65F"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u w:val="single"/>
        </w:rPr>
        <w:t>To summarize:</w:t>
      </w:r>
      <w:r>
        <w:rPr>
          <w:rFonts w:ascii="Times New Roman" w:eastAsia="Times New Roman" w:hAnsi="Times New Roman" w:cs="Times New Roman"/>
        </w:rPr>
        <w:t xml:space="preserve"> The studies indicate that while low doses of psilocybin significantly impair ACC and increase RTs, particularly for emotional stimuli, microdoses generally show negligible effects on these measures.</w:t>
      </w:r>
      <w:bookmarkStart w:id="6" w:name="bookmark=id.44sinio" w:colFirst="0" w:colLast="0"/>
      <w:bookmarkEnd w:id="6"/>
    </w:p>
    <w:p w14:paraId="5DEAA660" w14:textId="77777777" w:rsidR="00144611" w:rsidRDefault="00342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Courier New" w:eastAsia="Courier New" w:hAnsi="Courier New" w:cs="Courier New"/>
        </w:rPr>
      </w:pPr>
      <w:r>
        <w:rPr>
          <w:rFonts w:ascii="Times New Roman" w:eastAsia="Times New Roman" w:hAnsi="Times New Roman" w:cs="Times New Roman"/>
          <w:b/>
          <w:i/>
        </w:rPr>
        <w:t>Acute psilocybin effects on attention</w:t>
      </w:r>
    </w:p>
    <w:p w14:paraId="5DEAA661"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Several studies have investigated the effects of psilocybin on various aspects of attention. Carter et al. (2005) found that psilocybin (15.05 mg/70kg) significantly reduced the ACC of attentional tracking at 120 minutes post-psilocybin administration (effect size = -1.305). This might indicate a reduction in the ability to accurately track multiple objects. </w:t>
      </w:r>
    </w:p>
    <w:p w14:paraId="5DEAA662"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Cavanna et al. (2022) investigated the effects of psilocybin microdosing (0.795 mg/70kg) on attention using the attentional blink task at 180 minutes post-psilocybin administration. Our analysis on the raw data revealed that RT was reduced (d= -0.04; no  effect) and ACC (ACC) was increased (d = 0.3; small effect), suggesting that psilocybin microdosing enhances ACC and slightly reduces RT in attentional tasks (see supplementary material for detailed methodology). </w:t>
      </w:r>
    </w:p>
    <w:p w14:paraId="5DEAA663"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proofErr w:type="spellStart"/>
      <w:r>
        <w:rPr>
          <w:rFonts w:ascii="Times New Roman" w:eastAsia="Times New Roman" w:hAnsi="Times New Roman" w:cs="Times New Roman"/>
        </w:rPr>
        <w:t>Gouzoulis</w:t>
      </w:r>
      <w:proofErr w:type="spellEnd"/>
      <w:r>
        <w:rPr>
          <w:rFonts w:ascii="Times New Roman" w:eastAsia="Times New Roman" w:hAnsi="Times New Roman" w:cs="Times New Roman"/>
        </w:rPr>
        <w:t xml:space="preserve">-Mayfrank et al. (2002) found that psilocybin (14 mg/70kg) significantly prolonged RTs in the Covert Orienting of Attention Task compared to placebo at 85 minutes post-psilocybin administration (d = 0.47; small effect). In particular, subjects had difficulty disengaging attention from the cued location and reorienting it to the target in the opposite visual field, especially for targets in the right visual field. The authors suggested a potential lateralized </w:t>
      </w:r>
      <w:r>
        <w:rPr>
          <w:rFonts w:ascii="Times New Roman" w:eastAsia="Times New Roman" w:hAnsi="Times New Roman" w:cs="Times New Roman"/>
        </w:rPr>
        <w:lastRenderedPageBreak/>
        <w:t>psilocybin effect in the visuospatial attentional network, particularly affecting the right hemisphere.</w:t>
      </w:r>
    </w:p>
    <w:p w14:paraId="5DEAA664"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 In the study by Hasler et al. (2004), psilocybin affected the Quality Value (QV) scores in a dose-dependent manner. The QV scores in the Frankfurt Attention Inventory reflect the ACC of attentively made decisions. A microdose (3.15 mg/70kg) and low dose (8.05 mg/70kg) of psilocybin slightly increased QV scores (d=0.4 and d= 0.62, respectively). However, the medium dose (15.05 mg/70kg) and high dose (22.05 mg/70kg) decreased QV scores (with d= -0.25; small effect; and -0.58; medium effect , respectively), indicating a reduction in ACC at higher doses. </w:t>
      </w:r>
    </w:p>
    <w:p w14:paraId="5DEAA665"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Vollenweider et al. (2007) also found that psilocybin dose-dependently effects on sustained attention as measured by the FAIR at 105 minutes post-psilocybin administration. The Performance Value scores were significantly reduced by low (8.05 mg/70kg d = -1.03 and 15.05 mg/70kg d = -1.27; large effect), and medium (22.05 mg/70kg; d = -1.17; large effect) doses of psilocybin. The Quality Value score, reflecting ACC, was also significantly reduced by the medium dose (d = -0.95; large effect). </w:t>
      </w:r>
    </w:p>
    <w:p w14:paraId="5DEAA666"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proofErr w:type="spellStart"/>
      <w:r>
        <w:rPr>
          <w:rFonts w:ascii="Times New Roman" w:eastAsia="Times New Roman" w:hAnsi="Times New Roman" w:cs="Times New Roman"/>
        </w:rPr>
        <w:t>Mallaroni</w:t>
      </w:r>
      <w:proofErr w:type="spellEnd"/>
      <w:r>
        <w:rPr>
          <w:rFonts w:ascii="Times New Roman" w:eastAsia="Times New Roman" w:hAnsi="Times New Roman" w:cs="Times New Roman"/>
        </w:rPr>
        <w:t xml:space="preserve"> et al. (2023) reported that psilocybin (15 mg/70kg) selectively increased RTs on the psychomotor vigilance task compared to placebo at 166 minutes post-psilocybin administration (effect size = 0.81; large effect), although it did not significantly impair overall performance or ACC on this task of sustained attention. </w:t>
      </w:r>
    </w:p>
    <w:p w14:paraId="5DEAA667"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u w:val="single"/>
        </w:rPr>
        <w:t>To summarize:</w:t>
      </w:r>
      <w:r>
        <w:rPr>
          <w:rFonts w:ascii="Times New Roman" w:eastAsia="Times New Roman" w:hAnsi="Times New Roman" w:cs="Times New Roman"/>
        </w:rPr>
        <w:t>, While some studies suggest that psilocybin impairs attentional processes, such as attentional tracking (Carter et al., 2005), reorienting attention (</w:t>
      </w:r>
      <w:proofErr w:type="spellStart"/>
      <w:r>
        <w:rPr>
          <w:rFonts w:ascii="Times New Roman" w:eastAsia="Times New Roman" w:hAnsi="Times New Roman" w:cs="Times New Roman"/>
        </w:rPr>
        <w:t>Gouzoulis</w:t>
      </w:r>
      <w:proofErr w:type="spellEnd"/>
      <w:r>
        <w:rPr>
          <w:rFonts w:ascii="Times New Roman" w:eastAsia="Times New Roman" w:hAnsi="Times New Roman" w:cs="Times New Roman"/>
        </w:rPr>
        <w:t xml:space="preserve">-Mayfrank et al., 2002), and sustained attention (Hasler et al., 2004; Vollenweider et al., 2007), one indicated a potential enhancement in specific aspects of attention, particularly at microdoses (Cavanna et al., 2022). The effects of psilocybin on attention appear to be more pronounced at higher doses, with </w:t>
      </w:r>
      <w:r>
        <w:rPr>
          <w:rFonts w:ascii="Times New Roman" w:eastAsia="Times New Roman" w:hAnsi="Times New Roman" w:cs="Times New Roman"/>
        </w:rPr>
        <w:lastRenderedPageBreak/>
        <w:t>medium and high doses leading to significant reductions in ACC and performance on attentional tasks.</w:t>
      </w:r>
    </w:p>
    <w:p w14:paraId="5DEAA668" w14:textId="77777777" w:rsidR="00144611" w:rsidRDefault="00342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Courier New" w:eastAsia="Courier New" w:hAnsi="Courier New" w:cs="Courier New"/>
        </w:rPr>
      </w:pPr>
      <w:r>
        <w:rPr>
          <w:rFonts w:ascii="Times New Roman" w:eastAsia="Times New Roman" w:hAnsi="Times New Roman" w:cs="Times New Roman"/>
          <w:b/>
          <w:i/>
        </w:rPr>
        <w:t xml:space="preserve">Acute psilocybin effects on cognitive flexibility </w:t>
      </w:r>
    </w:p>
    <w:p w14:paraId="5DEAA669"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Three studies have investigated the effects of psilocybin on cognitive flexibility using the Digit Symbol Substitution Task (DSST), the Tower of London (TOL), and the Trail Making Test (TMT).</w:t>
      </w:r>
    </w:p>
    <w:p w14:paraId="5DEAA66A"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Barrett et al. (2017) found that psilocybin caused a dose-dependent decrease in the number of trials which were attempted by the participants in the DSST, indicating a reduction in processing speed. This effect was observed at one, two, and 3 hours post-psilocybin administration for low (10 mg/70kg, d =-0.67; medium effect ), medium (20 mg/70kg, d=-1.47; large effect), and high (30 mg/70kg, d=-2.32; large effect) doses. Interestingly, while the number of attempted trials was reduced, the ACC of responses (i.e., the proportion of correct trials out of all attempted trials) was slightly increased (low dose: d=0.17; small effect, medium dose: d=0.08; small effect, high dose: d=0.3; medium effect). This suggests that although psilocybin slows psychomotor speed, it may allow for compensatory strategies to maintain or even improve ACC, indicating a complex interaction between dosage and cognitive processes.</w:t>
      </w:r>
    </w:p>
    <w:p w14:paraId="5DEAA66B"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proofErr w:type="spellStart"/>
      <w:r>
        <w:rPr>
          <w:rFonts w:ascii="Times New Roman" w:eastAsia="Times New Roman" w:hAnsi="Times New Roman" w:cs="Times New Roman"/>
        </w:rPr>
        <w:t>Mallaroni</w:t>
      </w:r>
      <w:proofErr w:type="spellEnd"/>
      <w:r>
        <w:rPr>
          <w:rFonts w:ascii="Times New Roman" w:eastAsia="Times New Roman" w:hAnsi="Times New Roman" w:cs="Times New Roman"/>
        </w:rPr>
        <w:t xml:space="preserve"> et al. (2023) showed that psilocybin (15 mg/70kg) led to lower performance on the digit symbol substitution task compared to placebo (edible mushroom). At 172 minutes post-administration, psilocybin increased RTs (d=1.75; large effect) without significantly affecting ACC. These findings align with those of Barrett et al. (2017), indicating that psilocybin selectively impairs processing speed while preserving ACC on the DSST. In addition to the DSST, </w:t>
      </w:r>
      <w:proofErr w:type="spellStart"/>
      <w:r>
        <w:rPr>
          <w:rFonts w:ascii="Times New Roman" w:eastAsia="Times New Roman" w:hAnsi="Times New Roman" w:cs="Times New Roman"/>
        </w:rPr>
        <w:t>Mallaroni</w:t>
      </w:r>
      <w:proofErr w:type="spellEnd"/>
      <w:r>
        <w:rPr>
          <w:rFonts w:ascii="Times New Roman" w:eastAsia="Times New Roman" w:hAnsi="Times New Roman" w:cs="Times New Roman"/>
        </w:rPr>
        <w:t xml:space="preserve"> et al. (2023) used the tower of London task to assess the effects of psilocybin on planning and problem-solving abilities. At 153 minutes post-psilocybin administration, psilocybin (15 mg/70kg) </w:t>
      </w:r>
      <w:r>
        <w:rPr>
          <w:rFonts w:ascii="Times New Roman" w:eastAsia="Times New Roman" w:hAnsi="Times New Roman" w:cs="Times New Roman"/>
        </w:rPr>
        <w:lastRenderedPageBreak/>
        <w:t xml:space="preserve">increased RTs (d=1.8) compared to placebo, suggesting a reduction in planning efficiency. However, the ACC of task performance was not significantly affected. These results indicate that psilocybin slows down cognitive processes involved in planning and problem-solving. </w:t>
      </w:r>
    </w:p>
    <w:p w14:paraId="5DEAA66C"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Cavanna et al. (2022) investigated the effects of psilocybin microdosing (0.795 mg/70kg) using the Trail Making Test (TMT). For Part B of the TMT, which involves alternating between numbers and letters in sequence, participants took significantly longer to complete the task under the psilocybin condition compared to the placebo (d=0.76; medium effect ) at 60 minutes post-administration. This result suggests that even at microdoses, psilocybin can impair cognitive flexibility and task-switching abilities.</w:t>
      </w:r>
    </w:p>
    <w:p w14:paraId="5DEAA66D" w14:textId="1B576FA5" w:rsidR="00144611" w:rsidRDefault="003422DA">
      <w:pPr>
        <w:widowControl w:val="0"/>
        <w:tabs>
          <w:tab w:val="left" w:pos="1440"/>
          <w:tab w:val="left" w:pos="2160"/>
          <w:tab w:val="left" w:pos="2880"/>
        </w:tabs>
        <w:spacing w:line="480" w:lineRule="auto"/>
        <w:ind w:firstLine="720"/>
        <w:jc w:val="both"/>
        <w:rPr>
          <w:rFonts w:ascii="Times New Roman" w:eastAsia="Times New Roman" w:hAnsi="Times New Roman" w:cs="Times New Roman"/>
        </w:rPr>
      </w:pPr>
      <w:r w:rsidRPr="00164079">
        <w:rPr>
          <w:rFonts w:ascii="Times New Roman" w:eastAsia="Times New Roman" w:hAnsi="Times New Roman" w:cs="Times New Roman"/>
        </w:rPr>
        <w:t>To summarize</w:t>
      </w:r>
      <w:r w:rsidR="00164079" w:rsidRPr="00164079">
        <w:rPr>
          <w:rFonts w:ascii="Times New Roman" w:eastAsia="Times New Roman" w:hAnsi="Times New Roman" w:cs="Times New Roman"/>
        </w:rPr>
        <w:t>,</w:t>
      </w:r>
      <w:r>
        <w:rPr>
          <w:rFonts w:ascii="Times New Roman" w:eastAsia="Times New Roman" w:hAnsi="Times New Roman" w:cs="Times New Roman"/>
        </w:rPr>
        <w:t xml:space="preserve"> The three reviewed studies consistently demonstrate that psilocybin </w:t>
      </w:r>
      <w:r w:rsidR="00164079">
        <w:rPr>
          <w:rFonts w:ascii="Times New Roman" w:eastAsia="Times New Roman" w:hAnsi="Times New Roman" w:cs="Times New Roman"/>
        </w:rPr>
        <w:t>impairs</w:t>
      </w:r>
      <w:r>
        <w:rPr>
          <w:rFonts w:ascii="Times New Roman" w:eastAsia="Times New Roman" w:hAnsi="Times New Roman" w:cs="Times New Roman"/>
        </w:rPr>
        <w:t xml:space="preserve"> cognitive flexibility, particularly in processing speed and planning efficiency. These effects seem dose-dependent, with higher doses leading to more pronounced effects. Interestingly, while psilocybin slows down cognitive processing, it does not significantly compromise the ACC of task performance in the Digit Symbol Substitution and Tower of London  tasks.</w:t>
      </w:r>
    </w:p>
    <w:p w14:paraId="032BA360" w14:textId="77777777" w:rsidR="00084D0C" w:rsidRPr="00084D0C" w:rsidRDefault="00084D0C" w:rsidP="00084D0C">
      <w:pPr>
        <w:widowControl w:val="0"/>
        <w:tabs>
          <w:tab w:val="left" w:pos="1440"/>
          <w:tab w:val="left" w:pos="2160"/>
          <w:tab w:val="left" w:pos="2880"/>
        </w:tabs>
        <w:spacing w:line="480" w:lineRule="auto"/>
        <w:jc w:val="both"/>
        <w:rPr>
          <w:rFonts w:ascii="Times New Roman" w:hAnsi="Times New Roman" w:cs="Times New Roman"/>
          <w:b/>
          <w:bCs/>
          <w:color w:val="000000"/>
        </w:rPr>
      </w:pPr>
      <w:r w:rsidRPr="00084D0C">
        <w:rPr>
          <w:rFonts w:ascii="Times New Roman" w:hAnsi="Times New Roman" w:cs="Times New Roman"/>
          <w:b/>
          <w:bCs/>
          <w:color w:val="000000"/>
        </w:rPr>
        <w:t>Meta Analytic Results: Acute Effects of Psilocybin on Reaction Time</w:t>
      </w:r>
    </w:p>
    <w:p w14:paraId="5DEAA66F" w14:textId="409DDCC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The acute effects of psilocybin on RT across different doses and studies are summarized in a forest plot (Figure 2). There were no outliers identified for the RT dataset based on the criterion of non-overlapping confidence intervals of a single study with the pooled effect. One influential case (effect size id= 35), was found to have substantial leverage. Another case (effect size id = 7) was found to be an outlier because of very high standardized residuals (&gt;2). Removing these effect sizes and re-running the analysis yielded a slightly reduced but still significant overall hedge’s g of 1.20 (SE = 0.29, t = 4.16,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 12, p = 0.0013, 95% CI [0.57, 1.83], and significant heterogeneity ( I</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Total = 39%, p=0.001), suggesting the robustness of the measured effect (see supplementary </w:t>
      </w:r>
      <w:r>
        <w:rPr>
          <w:rFonts w:ascii="Times New Roman" w:eastAsia="Times New Roman" w:hAnsi="Times New Roman" w:cs="Times New Roman"/>
        </w:rPr>
        <w:lastRenderedPageBreak/>
        <w:t>material for more details). These two cases were not excluded, as the heterogeneity without outliers was slightly higher than the heterogeneity in the model with outliers.</w:t>
      </w:r>
    </w:p>
    <w:p w14:paraId="5DEAA670"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The dataset of RTs included 15 effect sizes (see Table 1) from six unique studies. A multilevel random effects meta-analysis with three levels, accounting for the nesting of multiple effect sizes within the same study, revealed an overall increase in RT under the influence of psilocybin (Hedges’ g = 1.13, SE = 0.26, t = 4.33, p = 0.0007, 95% CI [0.57, 1.7]). </w:t>
      </w:r>
    </w:p>
    <w:p w14:paraId="5DEAA671"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The estimated variance components (the random-effects variances calculated for each level of our model) showed a between-study heterogeneity variance of </w:t>
      </w:r>
      <w:r>
        <w:t>σ</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Level3</w:t>
      </w:r>
      <w:r>
        <w:rPr>
          <w:rFonts w:ascii="Times New Roman" w:eastAsia="Times New Roman" w:hAnsi="Times New Roman" w:cs="Times New Roman"/>
        </w:rPr>
        <w:t xml:space="preserve"> =0.27 and a within-study variance of </w:t>
      </w:r>
      <w:r>
        <w:t>σ</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Level2</w:t>
      </w:r>
      <w:r>
        <w:rPr>
          <w:rFonts w:ascii="Times New Roman" w:eastAsia="Times New Roman" w:hAnsi="Times New Roman" w:cs="Times New Roman"/>
        </w:rPr>
        <w:t xml:space="preserve"> = 0.015. Hereby </w:t>
      </w:r>
      <w:r>
        <w:t>σ</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represents the variance of the true effect sizes underlying the data. The total heterogeneity was moderate and significant ( I</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Total = 36.77%, p=0.0024). The precise amount of heterogeneity variance captured by each level was as follows: I</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w:t>
      </w:r>
      <w:r>
        <w:rPr>
          <w:rFonts w:ascii="Times New Roman" w:eastAsia="Times New Roman" w:hAnsi="Times New Roman" w:cs="Times New Roman"/>
          <w:vertAlign w:val="subscript"/>
        </w:rPr>
        <w:t>Level3</w:t>
      </w:r>
      <w:r>
        <w:rPr>
          <w:rFonts w:ascii="Times New Roman" w:eastAsia="Times New Roman" w:hAnsi="Times New Roman" w:cs="Times New Roman"/>
        </w:rPr>
        <w:t>= 34.88% of the total heterogeneity can be attributed to between-study differences, and I</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 xml:space="preserve"> Level2</w:t>
      </w:r>
      <w:r>
        <w:rPr>
          <w:rFonts w:ascii="Times New Roman" w:eastAsia="Times New Roman" w:hAnsi="Times New Roman" w:cs="Times New Roman"/>
        </w:rPr>
        <w:t xml:space="preserve">= 1.89% to within-studies differences. Overall, this indicates that there is between-study heterogeneity. Only a small fraction of the total variance can be explained by differences within studies. </w:t>
      </w:r>
    </w:p>
    <w:p w14:paraId="5DEAA672" w14:textId="77777777" w:rsidR="00144611" w:rsidRDefault="00144611">
      <w:pPr>
        <w:widowControl w:val="0"/>
        <w:tabs>
          <w:tab w:val="left" w:pos="1440"/>
          <w:tab w:val="left" w:pos="2160"/>
          <w:tab w:val="left" w:pos="2880"/>
        </w:tabs>
        <w:spacing w:line="480" w:lineRule="auto"/>
        <w:jc w:val="both"/>
        <w:rPr>
          <w:rFonts w:ascii="Times New Roman" w:eastAsia="Times New Roman" w:hAnsi="Times New Roman" w:cs="Times New Roman"/>
          <w:b/>
        </w:rPr>
      </w:pPr>
    </w:p>
    <w:p w14:paraId="5DEAA673" w14:textId="77777777" w:rsidR="00144611" w:rsidRDefault="00144611">
      <w:pPr>
        <w:widowControl w:val="0"/>
        <w:tabs>
          <w:tab w:val="left" w:pos="1440"/>
          <w:tab w:val="left" w:pos="2160"/>
          <w:tab w:val="left" w:pos="2880"/>
        </w:tabs>
        <w:spacing w:line="480" w:lineRule="auto"/>
        <w:jc w:val="both"/>
        <w:rPr>
          <w:rFonts w:ascii="Times New Roman" w:eastAsia="Times New Roman" w:hAnsi="Times New Roman" w:cs="Times New Roman"/>
          <w:b/>
        </w:rPr>
      </w:pPr>
    </w:p>
    <w:p w14:paraId="6697AD8D" w14:textId="77777777" w:rsidR="00AA0844" w:rsidRDefault="00AA0844">
      <w:pPr>
        <w:widowControl w:val="0"/>
        <w:tabs>
          <w:tab w:val="left" w:pos="1440"/>
          <w:tab w:val="left" w:pos="2160"/>
          <w:tab w:val="left" w:pos="2880"/>
        </w:tabs>
        <w:spacing w:line="480" w:lineRule="auto"/>
        <w:jc w:val="both"/>
        <w:rPr>
          <w:rFonts w:ascii="Times New Roman" w:eastAsia="Times New Roman" w:hAnsi="Times New Roman" w:cs="Times New Roman"/>
          <w:b/>
        </w:rPr>
      </w:pPr>
    </w:p>
    <w:p w14:paraId="1E11691F" w14:textId="77777777" w:rsidR="00AA0844" w:rsidRDefault="00AA0844">
      <w:pPr>
        <w:widowControl w:val="0"/>
        <w:tabs>
          <w:tab w:val="left" w:pos="1440"/>
          <w:tab w:val="left" w:pos="2160"/>
          <w:tab w:val="left" w:pos="2880"/>
        </w:tabs>
        <w:spacing w:line="480" w:lineRule="auto"/>
        <w:jc w:val="both"/>
        <w:rPr>
          <w:rFonts w:ascii="Times New Roman" w:eastAsia="Times New Roman" w:hAnsi="Times New Roman" w:cs="Times New Roman"/>
          <w:b/>
        </w:rPr>
      </w:pPr>
    </w:p>
    <w:p w14:paraId="54EF5CB4" w14:textId="77777777" w:rsidR="00AA0844" w:rsidRDefault="00AA0844">
      <w:pPr>
        <w:widowControl w:val="0"/>
        <w:tabs>
          <w:tab w:val="left" w:pos="1440"/>
          <w:tab w:val="left" w:pos="2160"/>
          <w:tab w:val="left" w:pos="2880"/>
        </w:tabs>
        <w:spacing w:line="480" w:lineRule="auto"/>
        <w:jc w:val="both"/>
        <w:rPr>
          <w:rFonts w:ascii="Times New Roman" w:eastAsia="Times New Roman" w:hAnsi="Times New Roman" w:cs="Times New Roman"/>
          <w:b/>
        </w:rPr>
      </w:pPr>
    </w:p>
    <w:p w14:paraId="702A2487" w14:textId="77777777" w:rsidR="00AA0844" w:rsidRDefault="00AA0844">
      <w:pPr>
        <w:widowControl w:val="0"/>
        <w:tabs>
          <w:tab w:val="left" w:pos="1440"/>
          <w:tab w:val="left" w:pos="2160"/>
          <w:tab w:val="left" w:pos="2880"/>
        </w:tabs>
        <w:spacing w:line="480" w:lineRule="auto"/>
        <w:jc w:val="both"/>
        <w:rPr>
          <w:rFonts w:ascii="Times New Roman" w:eastAsia="Times New Roman" w:hAnsi="Times New Roman" w:cs="Times New Roman"/>
          <w:b/>
        </w:rPr>
      </w:pPr>
    </w:p>
    <w:p w14:paraId="6F416DDF" w14:textId="77777777" w:rsidR="00AA0844" w:rsidRDefault="00AA0844">
      <w:pPr>
        <w:widowControl w:val="0"/>
        <w:tabs>
          <w:tab w:val="left" w:pos="1440"/>
          <w:tab w:val="left" w:pos="2160"/>
          <w:tab w:val="left" w:pos="2880"/>
        </w:tabs>
        <w:spacing w:line="480" w:lineRule="auto"/>
        <w:jc w:val="both"/>
        <w:rPr>
          <w:rFonts w:ascii="Times New Roman" w:eastAsia="Times New Roman" w:hAnsi="Times New Roman" w:cs="Times New Roman"/>
          <w:b/>
        </w:rPr>
      </w:pPr>
    </w:p>
    <w:p w14:paraId="58163609" w14:textId="77777777" w:rsidR="00AA0844" w:rsidRDefault="00AA0844">
      <w:pPr>
        <w:widowControl w:val="0"/>
        <w:tabs>
          <w:tab w:val="left" w:pos="1440"/>
          <w:tab w:val="left" w:pos="2160"/>
          <w:tab w:val="left" w:pos="2880"/>
        </w:tabs>
        <w:spacing w:line="480" w:lineRule="auto"/>
        <w:jc w:val="both"/>
        <w:rPr>
          <w:rFonts w:ascii="Times New Roman" w:eastAsia="Times New Roman" w:hAnsi="Times New Roman" w:cs="Times New Roman"/>
          <w:b/>
        </w:rPr>
      </w:pPr>
    </w:p>
    <w:p w14:paraId="66F6EFDD" w14:textId="77777777" w:rsidR="00AA0844" w:rsidRDefault="00AA0844">
      <w:pPr>
        <w:widowControl w:val="0"/>
        <w:tabs>
          <w:tab w:val="left" w:pos="1440"/>
          <w:tab w:val="left" w:pos="2160"/>
          <w:tab w:val="left" w:pos="2880"/>
        </w:tabs>
        <w:spacing w:line="480" w:lineRule="auto"/>
        <w:jc w:val="both"/>
        <w:rPr>
          <w:rFonts w:ascii="Times New Roman" w:eastAsia="Times New Roman" w:hAnsi="Times New Roman" w:cs="Times New Roman"/>
          <w:b/>
        </w:rPr>
      </w:pPr>
    </w:p>
    <w:p w14:paraId="68E9489F" w14:textId="6BC37EFA" w:rsidR="008906D7" w:rsidRPr="00BF41FD" w:rsidRDefault="00BF41FD">
      <w:pPr>
        <w:widowControl w:val="0"/>
        <w:tabs>
          <w:tab w:val="left" w:pos="1440"/>
          <w:tab w:val="left" w:pos="2160"/>
          <w:tab w:val="left" w:pos="2880"/>
        </w:tabs>
        <w:spacing w:line="480" w:lineRule="auto"/>
        <w:jc w:val="both"/>
        <w:rPr>
          <w:rFonts w:ascii="Times New Roman" w:eastAsia="Times New Roman" w:hAnsi="Times New Roman" w:cs="Times New Roman"/>
          <w:b/>
        </w:rPr>
      </w:pPr>
      <w:r>
        <w:rPr>
          <w:noProof/>
        </w:rPr>
        <w:lastRenderedPageBreak/>
        <w:drawing>
          <wp:anchor distT="0" distB="0" distL="114300" distR="114300" simplePos="0" relativeHeight="251680768" behindDoc="0" locked="0" layoutInCell="1" allowOverlap="1" wp14:anchorId="43D2600E" wp14:editId="308C122B">
            <wp:simplePos x="0" y="0"/>
            <wp:positionH relativeFrom="margin">
              <wp:align>center</wp:align>
            </wp:positionH>
            <wp:positionV relativeFrom="margin">
              <wp:posOffset>224155</wp:posOffset>
            </wp:positionV>
            <wp:extent cx="7000240" cy="3424555"/>
            <wp:effectExtent l="0" t="0" r="0" b="4445"/>
            <wp:wrapSquare wrapText="bothSides"/>
            <wp:docPr id="1349479556" name="Picture 6" descr="Forest plot showing the acute effects of psilocybin on reaction time across multiple studies. The plot displays effect sizes (Hedges' g) with 95% confidence intervals for different cognitive functions, doses, and studies. Effect sizes are sorted by cognitive domain and range from -0.04 to 2.63. The overall pooled effect size is 1.13 (95% CI: 0.57, 1.69), indicating psilocybin generally increases reaction time. The plot includes details on sample size, timepoint, and study characteristics for each data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79556" name="Picture 6" descr="Forest plot showing the acute effects of psilocybin on reaction time across multiple studies. The plot displays effect sizes (Hedges' g) with 95% confidence intervals for different cognitive functions, doses, and studies. Effect sizes are sorted by cognitive domain and range from -0.04 to 2.63. The overall pooled effect size is 1.13 (95% CI: 0.57, 1.69), indicating psilocybin generally increases reaction time. The plot includes details on sample size, timepoint, and study characteristics for each data point."/>
                    <pic:cNvPicPr/>
                  </pic:nvPicPr>
                  <pic:blipFill rotWithShape="1">
                    <a:blip r:embed="rId11" cstate="print">
                      <a:extLst>
                        <a:ext uri="{28A0092B-C50C-407E-A947-70E740481C1C}">
                          <a14:useLocalDpi xmlns:a14="http://schemas.microsoft.com/office/drawing/2010/main" val="0"/>
                        </a:ext>
                      </a:extLst>
                    </a:blip>
                    <a:srcRect b="5596"/>
                    <a:stretch/>
                  </pic:blipFill>
                  <pic:spPr bwMode="auto">
                    <a:xfrm>
                      <a:off x="0" y="0"/>
                      <a:ext cx="7000240" cy="3424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2DA">
        <w:rPr>
          <w:rFonts w:ascii="Times New Roman" w:eastAsia="Times New Roman" w:hAnsi="Times New Roman" w:cs="Times New Roman"/>
          <w:b/>
        </w:rPr>
        <w:t xml:space="preserve">Figure 2: </w:t>
      </w:r>
      <w:r w:rsidR="001C5A2A">
        <w:rPr>
          <w:rFonts w:ascii="Times New Roman" w:eastAsia="Times New Roman" w:hAnsi="Times New Roman" w:cs="Times New Roman"/>
          <w:b/>
        </w:rPr>
        <w:t xml:space="preserve">Acute Effects of Psilocybin on </w:t>
      </w:r>
      <w:r w:rsidR="00925774">
        <w:rPr>
          <w:rFonts w:ascii="Times New Roman" w:eastAsia="Times New Roman" w:hAnsi="Times New Roman" w:cs="Times New Roman"/>
          <w:b/>
        </w:rPr>
        <w:t>Reaction Time</w:t>
      </w:r>
      <w:r w:rsidR="001C5A2A">
        <w:rPr>
          <w:rFonts w:ascii="Times New Roman" w:eastAsia="Times New Roman" w:hAnsi="Times New Roman" w:cs="Times New Roman"/>
          <w:b/>
        </w:rPr>
        <w:t xml:space="preserve"> </w:t>
      </w:r>
    </w:p>
    <w:p w14:paraId="5DEAA675" w14:textId="5B56C14A" w:rsidR="00144611" w:rsidRDefault="003422DA">
      <w:pPr>
        <w:widowControl w:val="0"/>
        <w:tabs>
          <w:tab w:val="left" w:pos="1440"/>
          <w:tab w:val="left" w:pos="2160"/>
          <w:tab w:val="left" w:pos="2880"/>
        </w:tabs>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i/>
        </w:rPr>
        <w:t xml:space="preserve">Note. </w:t>
      </w:r>
      <w:r>
        <w:rPr>
          <w:rFonts w:ascii="Times New Roman" w:eastAsia="Times New Roman" w:hAnsi="Times New Roman" w:cs="Times New Roman"/>
        </w:rPr>
        <w:t>Forest plot of effect sizes (Hedges' g) for psilocybin's impact on RT. Results are sorted by cognitive domain, showing individual study effects and the overall pooled effect. Positive values indicate increased RT with psilocybin compared to placebo. The size of the squares indicates the relative weight of each study, with larger squares representing larger sample sizes.</w:t>
      </w:r>
      <w:r w:rsidR="000A76A1">
        <w:rPr>
          <w:rFonts w:ascii="Times New Roman" w:eastAsia="Times New Roman" w:hAnsi="Times New Roman" w:cs="Times New Roman"/>
        </w:rPr>
        <w:t xml:space="preserve"> </w:t>
      </w:r>
      <w:r w:rsidR="00D72443">
        <w:rPr>
          <w:rFonts w:ascii="Times New Roman" w:eastAsia="Times New Roman" w:hAnsi="Times New Roman" w:cs="Times New Roman"/>
        </w:rPr>
        <w:t xml:space="preserve">Measurement timepoint is displayed minutes.  </w:t>
      </w:r>
      <w:r w:rsidR="000A76A1">
        <w:rPr>
          <w:rFonts w:ascii="Times New Roman" w:eastAsia="Times New Roman" w:hAnsi="Times New Roman" w:cs="Times New Roman"/>
        </w:rPr>
        <w:t xml:space="preserve">There is an overall increase of RT. </w:t>
      </w:r>
    </w:p>
    <w:p w14:paraId="6003066C" w14:textId="77777777" w:rsidR="00164079" w:rsidRDefault="00164079">
      <w:pPr>
        <w:widowControl w:val="0"/>
        <w:tabs>
          <w:tab w:val="left" w:pos="1440"/>
          <w:tab w:val="left" w:pos="2160"/>
          <w:tab w:val="left" w:pos="2880"/>
        </w:tabs>
        <w:spacing w:line="480" w:lineRule="auto"/>
        <w:ind w:firstLine="720"/>
        <w:jc w:val="both"/>
        <w:rPr>
          <w:rFonts w:ascii="Times New Roman" w:eastAsia="Times New Roman" w:hAnsi="Times New Roman" w:cs="Times New Roman"/>
        </w:rPr>
      </w:pPr>
    </w:p>
    <w:p w14:paraId="5DEAA676" w14:textId="0462DE9E"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The comparison of the full model with the reduced model using the likelihood ratio test revealed that the additional parameters in the full model improved model performance significantly ( 𝝌12 = 4.93, p = 0.0263). The Akaike Information Criterion (AIC) and Bayesian Information Criterion (BIC) were slightly lower for the full model, indicating that the nested model with more parameters provides a significantly better fit to the data than the reduced model. The Q statistic for heterogeneity was the same for both models, suggesting that the difference in model fit is not due to a change in how the models account for heterogeneity.</w:t>
      </w:r>
      <w:bookmarkStart w:id="7" w:name="bookmark=id.3j2qqm3" w:colFirst="0" w:colLast="0"/>
      <w:bookmarkEnd w:id="7"/>
    </w:p>
    <w:p w14:paraId="5DEAA677" w14:textId="4924DEFF" w:rsidR="00144611" w:rsidRDefault="00DA73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Courier New" w:eastAsia="Courier New" w:hAnsi="Courier New" w:cs="Courier New"/>
        </w:rPr>
      </w:pPr>
      <w:r>
        <w:rPr>
          <w:rFonts w:ascii="Times New Roman" w:eastAsia="Times New Roman" w:hAnsi="Times New Roman" w:cs="Times New Roman"/>
          <w:b/>
          <w:i/>
        </w:rPr>
        <w:lastRenderedPageBreak/>
        <w:t>Influence of Peak Drug Effects on Reaction Time</w:t>
      </w:r>
    </w:p>
    <w:p w14:paraId="5DEAA678"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The peak window boundaries were defined to explore the main effect in the moderation analysis. This decision was based on the work of Holze et al. (2024), which documented that the time to maximal subjective effects of psilocybin, across different dosages (15, 25, and 30 mg), typically centered around two hours post-administration, with a reported range slightly extending from 1.7 to 2.4 hours. To accommodate this range and ensure coverage of the peak subjective effects, we decided to conduct the moderation analysis using a 90-180 minutes interval.</w:t>
      </w:r>
    </w:p>
    <w:p w14:paraId="5DEAA679"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We categorized studies and tasks as either falling within the defined peak boundary of 90-180 minutes (reference category) or outside this interval. Among the studies analyzed, eight effect sizes fell within the peak window, while seven were outside. The moderation analysis indicated that the use of this peak window as a moderator did not yield a statistically significant effect (QM(</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 1) = 2.19, p = 0.1387). This suggests that acute effects of psilocybin on RT during the peak were not different than before and after the peak.</w:t>
      </w:r>
    </w:p>
    <w:p w14:paraId="5DEAA67A" w14:textId="76E09FA5" w:rsidR="00144611" w:rsidRDefault="00342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Courier New" w:eastAsia="Courier New" w:hAnsi="Courier New" w:cs="Courier New"/>
        </w:rPr>
      </w:pPr>
      <w:r>
        <w:rPr>
          <w:rFonts w:ascii="Times New Roman" w:eastAsia="Times New Roman" w:hAnsi="Times New Roman" w:cs="Times New Roman"/>
          <w:b/>
          <w:i/>
        </w:rPr>
        <w:t>Dosage</w:t>
      </w:r>
      <w:r w:rsidR="00DA7315">
        <w:rPr>
          <w:rFonts w:ascii="Times New Roman" w:eastAsia="Times New Roman" w:hAnsi="Times New Roman" w:cs="Times New Roman"/>
          <w:b/>
          <w:i/>
        </w:rPr>
        <w:t>-Dependent Effects of Psilocybin on Reaction Time</w:t>
      </w:r>
    </w:p>
    <w:p w14:paraId="5DEAA67B" w14:textId="77777777" w:rsidR="00144611" w:rsidRPr="00DA7315" w:rsidRDefault="003422DA">
      <w:pPr>
        <w:widowControl w:val="0"/>
        <w:tabs>
          <w:tab w:val="left" w:pos="1440"/>
          <w:tab w:val="left" w:pos="2160"/>
          <w:tab w:val="left" w:pos="2880"/>
        </w:tabs>
        <w:spacing w:line="480" w:lineRule="auto"/>
        <w:ind w:firstLine="720"/>
        <w:jc w:val="both"/>
        <w:rPr>
          <w:rFonts w:ascii="Times New Roman" w:eastAsia="Courier New" w:hAnsi="Times New Roman" w:cs="Times New Roman"/>
        </w:rPr>
      </w:pPr>
      <w:r>
        <w:rPr>
          <w:rFonts w:ascii="Times New Roman" w:eastAsia="Times New Roman" w:hAnsi="Times New Roman" w:cs="Times New Roman"/>
        </w:rPr>
        <w:t>Dosage was categorized into four levels: micro (the reference category), low, medium, and high. The analysis identified significant moderation by dosage (QM(</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 3) = 20.78, p = 0.0001), indicating that RTs varied significantly across different dosage levels. The intercept, representing the micro dosage level, approached significance, suggesting a potential increase in RTs at this minimal dosage level (estimate = 0.4, SE = 0.21, z = 1.88, p = 0.0589, 95% CI = -0.02 to 0.82). The effect sizes increased with each increasing dosage level: the low dosage already showed a significant increase in RTs (estimate = 0.87, SE = 0.28, z = 3.12, p = 0.0018, 95% CI = 0.32 to 1.42); the medium dosage continued this trend (estimate = 1.3, SE = 0.44, z = 2.92, p = 0.0035, 95% CI = 0.43 to 2.17); and the high dosage exhibited the largest increase (estimate = 1.79, SE = </w:t>
      </w:r>
      <w:r>
        <w:rPr>
          <w:rFonts w:ascii="Times New Roman" w:eastAsia="Times New Roman" w:hAnsi="Times New Roman" w:cs="Times New Roman"/>
        </w:rPr>
        <w:lastRenderedPageBreak/>
        <w:t>0.47, z = 3.8, p = 0.0001, 95% CI = 0.87 to 2.72). These findings suggest a dose-response relationship where higher doses are associated with greater increases in RTs. The Test for Residual Heterog</w:t>
      </w:r>
      <w:r w:rsidRPr="00DA7315">
        <w:rPr>
          <w:rFonts w:ascii="Times New Roman" w:eastAsia="Times New Roman" w:hAnsi="Times New Roman" w:cs="Times New Roman"/>
        </w:rPr>
        <w:t>eneity indicated no significant residual heterogeneity (QE(</w:t>
      </w:r>
      <w:proofErr w:type="spellStart"/>
      <w:r w:rsidRPr="00DA7315">
        <w:rPr>
          <w:rFonts w:ascii="Times New Roman" w:eastAsia="Times New Roman" w:hAnsi="Times New Roman" w:cs="Times New Roman"/>
        </w:rPr>
        <w:t>df</w:t>
      </w:r>
      <w:proofErr w:type="spellEnd"/>
      <w:r w:rsidRPr="00DA7315">
        <w:rPr>
          <w:rFonts w:ascii="Times New Roman" w:eastAsia="Times New Roman" w:hAnsi="Times New Roman" w:cs="Times New Roman"/>
        </w:rPr>
        <w:t xml:space="preserve"> = 11) = 11.02, p = 0.4412), confirming that the variability among study outcomes is adequately captured by the dosage categories, affirming that the model appropriately accounts for differences across studies.</w:t>
      </w:r>
    </w:p>
    <w:p w14:paraId="2CFAF8DE" w14:textId="77777777" w:rsidR="00DA7315" w:rsidRPr="00DA7315" w:rsidRDefault="00DA7315" w:rsidP="00DA7315">
      <w:pPr>
        <w:widowControl w:val="0"/>
        <w:tabs>
          <w:tab w:val="left" w:pos="1440"/>
          <w:tab w:val="left" w:pos="2160"/>
          <w:tab w:val="left" w:pos="2880"/>
        </w:tabs>
        <w:spacing w:line="480" w:lineRule="auto"/>
        <w:jc w:val="both"/>
        <w:rPr>
          <w:rFonts w:ascii="Times New Roman" w:hAnsi="Times New Roman" w:cs="Times New Roman"/>
          <w:b/>
          <w:bCs/>
          <w:i/>
          <w:iCs/>
          <w:color w:val="000000"/>
        </w:rPr>
      </w:pPr>
      <w:r w:rsidRPr="00DA7315">
        <w:rPr>
          <w:rFonts w:ascii="Times New Roman" w:hAnsi="Times New Roman" w:cs="Times New Roman"/>
          <w:b/>
          <w:bCs/>
          <w:i/>
          <w:iCs/>
          <w:color w:val="000000"/>
        </w:rPr>
        <w:t>Impact of Cognitive Function and Task Sensitivity on Reaction Time</w:t>
      </w:r>
    </w:p>
    <w:p w14:paraId="5DEAA67D" w14:textId="5750EABE" w:rsidR="00144611" w:rsidRPr="00DA7315" w:rsidRDefault="003422DA" w:rsidP="00DA7315">
      <w:pPr>
        <w:widowControl w:val="0"/>
        <w:tabs>
          <w:tab w:val="left" w:pos="1440"/>
          <w:tab w:val="left" w:pos="2160"/>
          <w:tab w:val="left" w:pos="2880"/>
        </w:tabs>
        <w:spacing w:line="480" w:lineRule="auto"/>
        <w:ind w:firstLine="720"/>
        <w:jc w:val="both"/>
        <w:rPr>
          <w:rFonts w:ascii="Times New Roman" w:eastAsia="Courier New" w:hAnsi="Times New Roman" w:cs="Times New Roman"/>
        </w:rPr>
      </w:pPr>
      <w:r w:rsidRPr="00DA7315">
        <w:rPr>
          <w:rFonts w:ascii="Times New Roman" w:eastAsia="Times New Roman" w:hAnsi="Times New Roman" w:cs="Times New Roman"/>
        </w:rPr>
        <w:t>For the moderation analysis of cognitive function categories (Attention, Working Memory, Conflict Monitoring, Cognitive Flexibility; inhibition was missing in this subset) in the RTs dataset, the overall test for cognitive function as a moderator was not significant (QM(</w:t>
      </w:r>
      <w:proofErr w:type="spellStart"/>
      <w:r w:rsidRPr="00DA7315">
        <w:rPr>
          <w:rFonts w:ascii="Times New Roman" w:eastAsia="Times New Roman" w:hAnsi="Times New Roman" w:cs="Times New Roman"/>
        </w:rPr>
        <w:t>df</w:t>
      </w:r>
      <w:proofErr w:type="spellEnd"/>
      <w:r w:rsidRPr="00DA7315">
        <w:rPr>
          <w:rFonts w:ascii="Times New Roman" w:eastAsia="Times New Roman" w:hAnsi="Times New Roman" w:cs="Times New Roman"/>
        </w:rPr>
        <w:t xml:space="preserve"> = 3) = 5.7613, p = 0.1238), suggesting that variations in cognitive functions did not strongly influence the observed slowing of RT.</w:t>
      </w:r>
    </w:p>
    <w:p w14:paraId="5DEAA67E"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sidRPr="00DA7315">
        <w:rPr>
          <w:rFonts w:ascii="Times New Roman" w:eastAsia="Times New Roman" w:hAnsi="Times New Roman" w:cs="Times New Roman"/>
        </w:rPr>
        <w:t>As described in ou</w:t>
      </w:r>
      <w:r>
        <w:rPr>
          <w:rFonts w:ascii="Times New Roman" w:eastAsia="Times New Roman" w:hAnsi="Times New Roman" w:cs="Times New Roman"/>
        </w:rPr>
        <w:t>r methods, we categorized each effect size based on its sensitivity to executive functioning or attention: Type 1 = pure (e.g., RT difference between incongruent and congruent conditions, reflecting a specific executive function process like conflict monitoring), Type 2 = specific executive function condition (e.g., performance on incongruent trials only), and Type 3 = executive and other cognitive functions (e.g., main effect of drug averaged across all task conditions). This categorization aimed to differentiate between tasks that isolate specific executive processes and those that involve multiple cognitive functions.</w:t>
      </w:r>
    </w:p>
    <w:p w14:paraId="5DEAA67F" w14:textId="77777777" w:rsidR="00144611" w:rsidRPr="0055730E" w:rsidRDefault="003422DA">
      <w:pPr>
        <w:widowControl w:val="0"/>
        <w:tabs>
          <w:tab w:val="left" w:pos="1440"/>
          <w:tab w:val="left" w:pos="2160"/>
          <w:tab w:val="left" w:pos="2880"/>
        </w:tabs>
        <w:spacing w:line="480" w:lineRule="auto"/>
        <w:ind w:firstLine="720"/>
        <w:jc w:val="both"/>
        <w:rPr>
          <w:rFonts w:ascii="Times New Roman" w:eastAsia="Courier New" w:hAnsi="Times New Roman" w:cs="Times New Roman"/>
        </w:rPr>
      </w:pPr>
      <w:r>
        <w:rPr>
          <w:rFonts w:ascii="Times New Roman" w:eastAsia="Times New Roman" w:hAnsi="Times New Roman" w:cs="Times New Roman"/>
        </w:rPr>
        <w:t>The moderation analysis of these sensitivity levels revealed significant differences (QM(</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 2) = 9.16, p = 0.0103). With Type 3 (executive and other cognitive functions) as the reference category, the model results indicated a robust baseline effect size (estimate = 1.69, SE = 0.27, p &lt; 0.0001, CI = 1.15 to 2.23). This suggests that tasks involving multiple cognitive functions are most sensitive to the effects of psilocybin. In contrast, Type 1 (pure executive function measures) </w:t>
      </w:r>
      <w:r>
        <w:rPr>
          <w:rFonts w:ascii="Times New Roman" w:eastAsia="Times New Roman" w:hAnsi="Times New Roman" w:cs="Times New Roman"/>
        </w:rPr>
        <w:lastRenderedPageBreak/>
        <w:t>showed a significantly lesser effect (estimate = -0.92, SE = 0.34, p = 0.0072, CI = -1.59 to -0.25). This indicates that when tasks isolate specific executive processes, the effect of psilocybin is less pro</w:t>
      </w:r>
      <w:r w:rsidRPr="0055730E">
        <w:rPr>
          <w:rFonts w:ascii="Times New Roman" w:eastAsia="Times New Roman" w:hAnsi="Times New Roman" w:cs="Times New Roman"/>
        </w:rPr>
        <w:t>nounced. Type 2 (specific executive function conditions) also exhibited a reduced, small, effect compared to Type 3 (estimate = -0.68, SE = 0.39, p = 0.049, CI = -1.43 to -0.0025).</w:t>
      </w:r>
    </w:p>
    <w:p w14:paraId="3171FF66" w14:textId="77777777" w:rsidR="0055730E" w:rsidRPr="0055730E" w:rsidRDefault="0055730E" w:rsidP="0055730E">
      <w:pPr>
        <w:widowControl w:val="0"/>
        <w:tabs>
          <w:tab w:val="left" w:pos="1440"/>
          <w:tab w:val="left" w:pos="2160"/>
          <w:tab w:val="left" w:pos="2880"/>
        </w:tabs>
        <w:spacing w:line="480" w:lineRule="auto"/>
        <w:jc w:val="both"/>
        <w:rPr>
          <w:rFonts w:ascii="Times New Roman" w:hAnsi="Times New Roman" w:cs="Times New Roman"/>
          <w:b/>
          <w:bCs/>
          <w:i/>
          <w:iCs/>
          <w:color w:val="000000"/>
        </w:rPr>
      </w:pPr>
      <w:r w:rsidRPr="0055730E">
        <w:rPr>
          <w:rFonts w:ascii="Times New Roman" w:hAnsi="Times New Roman" w:cs="Times New Roman"/>
          <w:b/>
          <w:bCs/>
          <w:i/>
          <w:iCs/>
          <w:color w:val="000000"/>
        </w:rPr>
        <w:t>Evaluation of Publication Bias in Reaction Time Studies</w:t>
      </w:r>
    </w:p>
    <w:p w14:paraId="5DEAA681" w14:textId="339D37CA"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sidRPr="0055730E">
        <w:rPr>
          <w:rFonts w:ascii="Times New Roman" w:eastAsia="Times New Roman" w:hAnsi="Times New Roman" w:cs="Times New Roman"/>
        </w:rPr>
        <w:t>Figure 3 shows the funnel plot for RTs, and Figure 4 the forest plot of the same dataset. The rank correlation test for funnel plot asymmetry showed significant evidence of asymmetry, suggesting potential pu</w:t>
      </w:r>
      <w:r>
        <w:rPr>
          <w:rFonts w:ascii="Times New Roman" w:eastAsia="Times New Roman" w:hAnsi="Times New Roman" w:cs="Times New Roman"/>
        </w:rPr>
        <w:t>blication bias (Kendall's τ = 0.619, p = 0.0008). Additionally, a modified Egger's test was performed, which also indicated significant evidence of publication bias (estimate = -1.2413, p &lt; .0001), suggesting a tendency of smaller studies with less precision to report larger effect sizes. To further assess and correct for potential publication bias, a trim-and-fill analysis was conducted. This analysis estimated that four studies were potentially missing on the left side of the funnel plot (SE = 2.5999). After adjusting for these potentially missing studies, the random-effects model still showed a significant overall effect (estimate = 0.9578, 95% CI [0.5775, 1.3382], p &lt; .0001), with substantial heterogeneity (I² = 66.56%, Q = 51.8259, p &lt; .0001).</w:t>
      </w:r>
    </w:p>
    <w:p w14:paraId="5DEAA682" w14:textId="4EA6E8EC"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The fail-safe N calculations using the Rosenthal, Orwin, and Rosenberg approaches indicated that many studies with an average sample size and null result would be required to negate the observed effects. Specifically, the Rosenthal approach indicated a fail-safe N of 515, while the Rosenberg approach indicated a fail-safe N of 304. These numbers substantially exceed the threshold (5*k + 10 = 85; where k is the number of studies; Fragkos et al., 2014), above which publication bias would be minimal., suggesting robust evidence against the likelihood of publication bias undermining the findings. However, given the potentially significant implications of even small changes in RT (Jakobsen et al., 2011), we also employed Orwin's fail-safe N with a </w:t>
      </w:r>
      <w:r>
        <w:rPr>
          <w:rFonts w:ascii="Times New Roman" w:eastAsia="Times New Roman" w:hAnsi="Times New Roman" w:cs="Times New Roman"/>
        </w:rPr>
        <w:lastRenderedPageBreak/>
        <w:t xml:space="preserve">more conservative threshold. Using a target effect size of d = 0.3, which could represent a meaningful change in RT of approximately 15ms (assuming a standard deviation of 50ms), we found that 40 studies with null results would be required to reduce the current pooled effect (d = 1.0852) to this level, suggesting that </w:t>
      </w:r>
      <w:r w:rsidR="0063534A">
        <w:rPr>
          <w:rFonts w:ascii="Times New Roman" w:eastAsia="Times New Roman" w:hAnsi="Times New Roman" w:cs="Times New Roman"/>
        </w:rPr>
        <w:t>the</w:t>
      </w:r>
      <w:r>
        <w:rPr>
          <w:rFonts w:ascii="Times New Roman" w:eastAsia="Times New Roman" w:hAnsi="Times New Roman" w:cs="Times New Roman"/>
        </w:rPr>
        <w:t xml:space="preserve"> overall effect is </w:t>
      </w:r>
      <w:r w:rsidR="0063534A">
        <w:rPr>
          <w:rFonts w:ascii="Times New Roman" w:eastAsia="Times New Roman" w:hAnsi="Times New Roman" w:cs="Times New Roman"/>
        </w:rPr>
        <w:t xml:space="preserve">robust to statistical fluctuations. </w:t>
      </w:r>
    </w:p>
    <w:p w14:paraId="5DEAA684" w14:textId="51B2C9F5" w:rsidR="00144611" w:rsidRPr="00682B8D" w:rsidRDefault="00682B8D">
      <w:pPr>
        <w:widowControl w:val="0"/>
        <w:tabs>
          <w:tab w:val="left" w:pos="1440"/>
          <w:tab w:val="left" w:pos="2160"/>
          <w:tab w:val="left" w:pos="2880"/>
        </w:tabs>
        <w:spacing w:line="480" w:lineRule="auto"/>
        <w:jc w:val="both"/>
        <w:rPr>
          <w:rFonts w:ascii="Times New Roman" w:eastAsia="Times New Roman" w:hAnsi="Times New Roman" w:cs="Times New Roman"/>
          <w:b/>
        </w:rPr>
      </w:pPr>
      <w:r>
        <w:rPr>
          <w:rFonts w:ascii="Courier New" w:eastAsia="Courier New" w:hAnsi="Courier New" w:cs="Courier New"/>
          <w:b/>
          <w:noProof/>
        </w:rPr>
        <w:drawing>
          <wp:anchor distT="0" distB="0" distL="114300" distR="114300" simplePos="0" relativeHeight="251682816" behindDoc="0" locked="0" layoutInCell="1" allowOverlap="1" wp14:anchorId="0F74C0A8" wp14:editId="67149942">
            <wp:simplePos x="0" y="0"/>
            <wp:positionH relativeFrom="margin">
              <wp:align>center</wp:align>
            </wp:positionH>
            <wp:positionV relativeFrom="paragraph">
              <wp:posOffset>279879</wp:posOffset>
            </wp:positionV>
            <wp:extent cx="4433570" cy="4957445"/>
            <wp:effectExtent l="0" t="0" r="5080" b="0"/>
            <wp:wrapTopAndBottom/>
            <wp:docPr id="1498283624" name="Picture 8" descr="A diagram of a graph&#10;a funnel plot assessing publication bias for psilocybin's effects on reaction time. The x-axis represents Reaction Time (Hedges' g) from -1.0 to 3.0, while the y-axis shows Standard Error from 0.60 to 0.30. Data points representing different studies are plotted and coded by shape for cognitive function (attention, conflict monitoring, cognitive flexibility, working memory), color for study, and size for dosage (micro to high). Shaded areas indicate 90%, 95%, and 99% confidence intervals. Red X markers show trim-and-fill adjustments. The plot suggests some asymmetry, with smaller studies showing more variable effects, particularly on the left side of the f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83624" name="Picture 8" descr="A diagram of a graph&#10;a funnel plot assessing publication bias for psilocybin's effects on reaction time. The x-axis represents Reaction Time (Hedges' g) from -1.0 to 3.0, while the y-axis shows Standard Error from 0.60 to 0.30. Data points representing different studies are plotted and coded by shape for cognitive function (attention, conflict monitoring, cognitive flexibility, working memory), color for study, and size for dosage (micro to high). Shaded areas indicate 90%, 95%, and 99% confidence intervals. Red X markers show trim-and-fill adjustments. The plot suggests some asymmetry, with smaller studies showing more variable effects, particularly on the left side of the funnel."/>
                    <pic:cNvPicPr/>
                  </pic:nvPicPr>
                  <pic:blipFill rotWithShape="1">
                    <a:blip r:embed="rId12" cstate="print">
                      <a:extLst>
                        <a:ext uri="{28A0092B-C50C-407E-A947-70E740481C1C}">
                          <a14:useLocalDpi xmlns:a14="http://schemas.microsoft.com/office/drawing/2010/main" val="0"/>
                        </a:ext>
                      </a:extLst>
                    </a:blip>
                    <a:srcRect t="6810"/>
                    <a:stretch/>
                  </pic:blipFill>
                  <pic:spPr bwMode="auto">
                    <a:xfrm>
                      <a:off x="0" y="0"/>
                      <a:ext cx="4433570" cy="4957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22DA">
        <w:rPr>
          <w:rFonts w:ascii="Times New Roman" w:eastAsia="Times New Roman" w:hAnsi="Times New Roman" w:cs="Times New Roman"/>
          <w:b/>
        </w:rPr>
        <w:t xml:space="preserve">Figure 3: </w:t>
      </w:r>
      <w:r w:rsidR="001C5A2A" w:rsidRPr="001C5A2A">
        <w:rPr>
          <w:rFonts w:ascii="Times New Roman" w:eastAsia="Times New Roman" w:hAnsi="Times New Roman" w:cs="Times New Roman"/>
          <w:b/>
        </w:rPr>
        <w:t>Publication Bias Assessment for Psilocybin's Effects on Reaction Time</w:t>
      </w:r>
    </w:p>
    <w:p w14:paraId="5DEAA685" w14:textId="67E184DC" w:rsidR="00144611" w:rsidRDefault="003422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 New Roman" w:eastAsia="Times New Roman" w:hAnsi="Times New Roman" w:cs="Times New Roman"/>
          <w:i/>
        </w:rPr>
      </w:pPr>
      <w:r>
        <w:rPr>
          <w:rFonts w:ascii="Times New Roman" w:eastAsia="Times New Roman" w:hAnsi="Times New Roman" w:cs="Times New Roman"/>
          <w:b/>
          <w:i/>
        </w:rPr>
        <w:tab/>
      </w:r>
      <w:r>
        <w:rPr>
          <w:rFonts w:ascii="Times New Roman" w:eastAsia="Times New Roman" w:hAnsi="Times New Roman" w:cs="Times New Roman"/>
          <w:i/>
        </w:rPr>
        <w:t xml:space="preserve">Note. </w:t>
      </w:r>
      <w:r>
        <w:rPr>
          <w:rFonts w:ascii="Times New Roman" w:eastAsia="Times New Roman" w:hAnsi="Times New Roman" w:cs="Times New Roman"/>
        </w:rPr>
        <w:t>Funnel plot of effect sizes for psilocybin's impact on RT across studies. Points represent individual study outcomes, differentiated by cognitive function (shape), study (color), and dosage (size). Shaded areas indicate confidence intervals. Red crosses show trim-and-fill adjustments for potential publication bias. The plot suggests some asymmetry, with smaller studies showing more variable and stronger effects.</w:t>
      </w:r>
    </w:p>
    <w:p w14:paraId="08F3CAB6" w14:textId="6F05CA7E" w:rsidR="009A560E" w:rsidRPr="002A29C4" w:rsidRDefault="00F94B6C" w:rsidP="009A56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 New Roman" w:eastAsia="Times New Roman" w:hAnsi="Times New Roman" w:cs="Times New Roman"/>
          <w:b/>
        </w:rPr>
      </w:pPr>
      <w:sdt>
        <w:sdtPr>
          <w:tag w:val="goog_rdk_5"/>
          <w:id w:val="232136387"/>
        </w:sdtPr>
        <w:sdtEndPr/>
        <w:sdtContent/>
      </w:sdt>
      <w:sdt>
        <w:sdtPr>
          <w:tag w:val="goog_rdk_6"/>
          <w:id w:val="2028514712"/>
        </w:sdtPr>
        <w:sdtEndPr/>
        <w:sdtContent/>
      </w:sdt>
      <w:r w:rsidR="00FA71A9" w:rsidRPr="00FA71A9">
        <w:rPr>
          <w:rFonts w:ascii="Times New Roman" w:hAnsi="Times New Roman" w:cs="Times New Roman"/>
          <w:b/>
          <w:bCs/>
          <w:color w:val="000000"/>
        </w:rPr>
        <w:t xml:space="preserve"> </w:t>
      </w:r>
      <w:r w:rsidR="00FA71A9" w:rsidRPr="00084D0C">
        <w:rPr>
          <w:rFonts w:ascii="Times New Roman" w:hAnsi="Times New Roman" w:cs="Times New Roman"/>
          <w:b/>
          <w:bCs/>
          <w:color w:val="000000"/>
        </w:rPr>
        <w:t>Meta Analytic Results</w:t>
      </w:r>
      <w:r w:rsidR="002A29C4" w:rsidRPr="002A29C4">
        <w:rPr>
          <w:rFonts w:ascii="Times New Roman" w:hAnsi="Times New Roman" w:cs="Times New Roman"/>
          <w:b/>
          <w:bCs/>
          <w:color w:val="000000"/>
        </w:rPr>
        <w:t>: Acute Effects of Psilocybin on Accuracy</w:t>
      </w:r>
    </w:p>
    <w:p w14:paraId="5DEAA687" w14:textId="414EB9F6" w:rsidR="00144611" w:rsidRDefault="009A560E" w:rsidP="009A560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Courier New" w:eastAsia="Courier New" w:hAnsi="Courier New" w:cs="Courier New"/>
        </w:rPr>
      </w:pPr>
      <w:r w:rsidRPr="002A29C4">
        <w:rPr>
          <w:rFonts w:ascii="Times New Roman" w:eastAsia="Times New Roman" w:hAnsi="Times New Roman" w:cs="Times New Roman"/>
        </w:rPr>
        <w:tab/>
      </w:r>
      <w:r w:rsidR="003422DA" w:rsidRPr="002A29C4">
        <w:rPr>
          <w:rFonts w:ascii="Times New Roman" w:eastAsia="Times New Roman" w:hAnsi="Times New Roman" w:cs="Times New Roman"/>
        </w:rPr>
        <w:t xml:space="preserve">One outlier was found (Effect </w:t>
      </w:r>
      <w:r w:rsidR="003422DA">
        <w:rPr>
          <w:rFonts w:ascii="Times New Roman" w:eastAsia="Times New Roman" w:hAnsi="Times New Roman" w:cs="Times New Roman"/>
        </w:rPr>
        <w:t xml:space="preserve">Size ID= 24). Running the model without this outlier did not change the direction of the effect, nor changed heterogeneity. Thus, this effect size was not excluded from the above mentioned analyses. </w:t>
      </w:r>
    </w:p>
    <w:p w14:paraId="5DEAA688"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 xml:space="preserve">A multilevel meta-analysis on the subset of 27 ACC effect sizes from 10 unique studies revealed a negative overall pooled effect size of Hedges’ g = -0.45 (SE = 0.23, t = -1.90,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 26, p = 0.0681, 95% CI [-0.93, 0.034]). Heterogeneity was moderate and significant (I2 = 42.53%, Q(26) = 39.74, p = 0.0414). Notably, the majority of detected heterogeneity I</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Level3</w:t>
      </w:r>
      <w:r>
        <w:rPr>
          <w:rFonts w:ascii="Times New Roman" w:eastAsia="Times New Roman" w:hAnsi="Times New Roman" w:cs="Times New Roman"/>
        </w:rPr>
        <w:t>=42.54%, originated from between-study differences, while no variability, I</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Level2</w:t>
      </w:r>
      <w:r>
        <w:rPr>
          <w:rFonts w:ascii="Times New Roman" w:eastAsia="Times New Roman" w:hAnsi="Times New Roman" w:cs="Times New Roman"/>
        </w:rPr>
        <w:t xml:space="preserve">= 0% was attributed to within-study differences. </w:t>
      </w:r>
    </w:p>
    <w:p w14:paraId="5DEAA689"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A between-study heterogeneity variance of τ²(Level3)= 0.39 and no within-study variance (τ²(Level2) = 0)) was observed. The absence of within-study variance might indicate that the variability within individual studies (e.g., due to measurement error or within-study sampling variability) is negligible. This could imply that the effect sizes from individual studies are very consistent.</w:t>
      </w:r>
    </w:p>
    <w:p w14:paraId="5DEAA68A"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Pr>
          <w:rFonts w:ascii="Times New Roman" w:eastAsia="Times New Roman" w:hAnsi="Times New Roman" w:cs="Times New Roman"/>
        </w:rPr>
        <w:t>The comparison of the nested model with the non-nested model revealed that the nested model was statistically superior ( 𝝌12 =10.33 , p = 0.0013), as indicated by its lower AIC and BIC values (Full model AIC = 50.3, BIC = 54.01; Reduced model AIC = 58.63, BIC = 61.14), suggesting that the nested model provides a better fit by effectively capturing additional variability.</w:t>
      </w:r>
    </w:p>
    <w:p w14:paraId="5DEAA68B" w14:textId="77777777" w:rsidR="00144611" w:rsidRDefault="00144611">
      <w:pPr>
        <w:widowControl w:val="0"/>
        <w:tabs>
          <w:tab w:val="left" w:pos="1440"/>
          <w:tab w:val="left" w:pos="2160"/>
          <w:tab w:val="left" w:pos="2880"/>
        </w:tabs>
        <w:spacing w:line="480" w:lineRule="auto"/>
        <w:jc w:val="both"/>
        <w:rPr>
          <w:rFonts w:ascii="Times New Roman" w:eastAsia="Times New Roman" w:hAnsi="Times New Roman" w:cs="Times New Roman"/>
          <w:b/>
        </w:rPr>
      </w:pPr>
    </w:p>
    <w:p w14:paraId="5DEAA68C" w14:textId="77777777" w:rsidR="00144611" w:rsidRDefault="00144611">
      <w:pPr>
        <w:widowControl w:val="0"/>
        <w:tabs>
          <w:tab w:val="left" w:pos="1440"/>
          <w:tab w:val="left" w:pos="2160"/>
          <w:tab w:val="left" w:pos="2880"/>
        </w:tabs>
        <w:spacing w:line="480" w:lineRule="auto"/>
        <w:jc w:val="both"/>
        <w:rPr>
          <w:rFonts w:ascii="Times New Roman" w:eastAsia="Times New Roman" w:hAnsi="Times New Roman" w:cs="Times New Roman"/>
          <w:b/>
        </w:rPr>
      </w:pPr>
    </w:p>
    <w:p w14:paraId="5DEAA68D" w14:textId="5EE9CCF7" w:rsidR="00144611" w:rsidRDefault="00144611">
      <w:pPr>
        <w:widowControl w:val="0"/>
        <w:tabs>
          <w:tab w:val="left" w:pos="1440"/>
          <w:tab w:val="left" w:pos="2160"/>
          <w:tab w:val="left" w:pos="2880"/>
        </w:tabs>
        <w:spacing w:line="480" w:lineRule="auto"/>
        <w:jc w:val="both"/>
        <w:rPr>
          <w:rFonts w:ascii="Times New Roman" w:eastAsia="Times New Roman" w:hAnsi="Times New Roman" w:cs="Times New Roman"/>
          <w:b/>
        </w:rPr>
      </w:pPr>
    </w:p>
    <w:p w14:paraId="6D32D109" w14:textId="506F2692" w:rsidR="00DE6FD6" w:rsidRDefault="00DE6FD6" w:rsidP="00DE6FD6">
      <w:pPr>
        <w:widowControl w:val="0"/>
        <w:tabs>
          <w:tab w:val="left" w:pos="1440"/>
          <w:tab w:val="left" w:pos="2160"/>
          <w:tab w:val="left" w:pos="2880"/>
        </w:tabs>
        <w:spacing w:line="480" w:lineRule="auto"/>
        <w:jc w:val="both"/>
        <w:rPr>
          <w:rFonts w:ascii="Times New Roman" w:eastAsia="Times New Roman" w:hAnsi="Times New Roman" w:cs="Times New Roman"/>
          <w:b/>
        </w:rPr>
      </w:pPr>
      <w:r>
        <w:rPr>
          <w:rFonts w:ascii="Times New Roman" w:eastAsia="Times New Roman" w:hAnsi="Times New Roman" w:cs="Times New Roman"/>
          <w:b/>
          <w:noProof/>
        </w:rPr>
        <w:lastRenderedPageBreak/>
        <w:drawing>
          <wp:anchor distT="0" distB="0" distL="114300" distR="114300" simplePos="0" relativeHeight="251681792" behindDoc="0" locked="0" layoutInCell="1" allowOverlap="1" wp14:anchorId="537FF63D" wp14:editId="385BB819">
            <wp:simplePos x="0" y="0"/>
            <wp:positionH relativeFrom="margin">
              <wp:posOffset>-276165</wp:posOffset>
            </wp:positionH>
            <wp:positionV relativeFrom="paragraph">
              <wp:posOffset>291393</wp:posOffset>
            </wp:positionV>
            <wp:extent cx="6616641" cy="5365630"/>
            <wp:effectExtent l="0" t="0" r="0" b="6985"/>
            <wp:wrapTopAndBottom/>
            <wp:docPr id="334370466" name="Picture 7" descr="a forest plot illustrating the acute effects of psilocybin on accuracy across various cognitive domains and doses. The x-axis represents the accuracy (Hedges’ g), ranging from -2 to 2. The y-axis lists cognitive functions (Attention, Cognitive Flexibility, Conflict monitoring, Inhibition, Working Memory), doses (Micro, Low, Medium), studies, sample sizes, and timepoints in minutes.&#10;Each row corresponds to a specific study, detailing the sample size, timepoint, effect size, and confidence interval. Blue squares indicate the effect sizes, with horizontal lines representing confidence intervals.&#10;The overall ( not significant) effect size is  -0.45 (SE = 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70466" name="Picture 7" descr="a forest plot illustrating the acute effects of psilocybin on accuracy across various cognitive domains and doses. The x-axis represents the accuracy (Hedges’ g), ranging from -2 to 2. The y-axis lists cognitive functions (Attention, Cognitive Flexibility, Conflict monitoring, Inhibition, Working Memory), doses (Micro, Low, Medium), studies, sample sizes, and timepoints in minutes.&#10;Each row corresponds to a specific study, detailing the sample size, timepoint, effect size, and confidence interval. Blue squares indicate the effect sizes, with horizontal lines representing confidence intervals.&#10;The overall ( not significant) effect size is  -0.45 (SE = 0.23)"/>
                    <pic:cNvPicPr/>
                  </pic:nvPicPr>
                  <pic:blipFill rotWithShape="1">
                    <a:blip r:embed="rId13" cstate="print">
                      <a:extLst>
                        <a:ext uri="{28A0092B-C50C-407E-A947-70E740481C1C}">
                          <a14:useLocalDpi xmlns:a14="http://schemas.microsoft.com/office/drawing/2010/main" val="0"/>
                        </a:ext>
                      </a:extLst>
                    </a:blip>
                    <a:srcRect r="1016" b="3005"/>
                    <a:stretch/>
                  </pic:blipFill>
                  <pic:spPr bwMode="auto">
                    <a:xfrm>
                      <a:off x="0" y="0"/>
                      <a:ext cx="6616641" cy="5365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22DA">
        <w:rPr>
          <w:rFonts w:ascii="Times New Roman" w:eastAsia="Times New Roman" w:hAnsi="Times New Roman" w:cs="Times New Roman"/>
          <w:b/>
        </w:rPr>
        <w:t xml:space="preserve">Figure 4: </w:t>
      </w:r>
      <w:r w:rsidR="0088057E" w:rsidRPr="0088057E">
        <w:rPr>
          <w:rFonts w:ascii="Times New Roman" w:eastAsia="Times New Roman" w:hAnsi="Times New Roman" w:cs="Times New Roman"/>
          <w:b/>
        </w:rPr>
        <w:t>Acute Effects of Psilocybin on Accuracy Across Cognitive Domains and Doses</w:t>
      </w:r>
    </w:p>
    <w:p w14:paraId="5DEAA68F" w14:textId="4A18C905" w:rsidR="00144611" w:rsidRDefault="003422DA">
      <w:pPr>
        <w:widowControl w:val="0"/>
        <w:tabs>
          <w:tab w:val="left" w:pos="1440"/>
          <w:tab w:val="left" w:pos="2160"/>
          <w:tab w:val="left" w:pos="2880"/>
        </w:tabs>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i/>
        </w:rPr>
        <w:t xml:space="preserve">Note. </w:t>
      </w:r>
      <w:r>
        <w:rPr>
          <w:rFonts w:ascii="Times New Roman" w:eastAsia="Times New Roman" w:hAnsi="Times New Roman" w:cs="Times New Roman"/>
        </w:rPr>
        <w:t>Forest plot of effect sizes (Hedges' g) for psilocybin's impact on ACC. Results are sorted by cognitive domain, showing individual study effects and the overall pooled effect. Negative values indicate decreased ACC with psilocybin compared to placebo. The size of the squares indicates the relative weight of each study, with larger squares representing larger sample sizes.</w:t>
      </w:r>
      <w:r w:rsidR="00B61BEC">
        <w:rPr>
          <w:rFonts w:ascii="Times New Roman" w:eastAsia="Times New Roman" w:hAnsi="Times New Roman" w:cs="Times New Roman"/>
        </w:rPr>
        <w:t xml:space="preserve"> Measurement timepoint is displayed minutes.  </w:t>
      </w:r>
    </w:p>
    <w:p w14:paraId="5DEAA690" w14:textId="77777777" w:rsidR="00144611" w:rsidRDefault="00144611">
      <w:pPr>
        <w:widowControl w:val="0"/>
        <w:tabs>
          <w:tab w:val="left" w:pos="1440"/>
          <w:tab w:val="left" w:pos="2160"/>
          <w:tab w:val="left" w:pos="2880"/>
        </w:tabs>
        <w:spacing w:line="480" w:lineRule="auto"/>
        <w:jc w:val="both"/>
        <w:rPr>
          <w:rFonts w:ascii="Times New Roman" w:eastAsia="Times New Roman" w:hAnsi="Times New Roman" w:cs="Times New Roman"/>
          <w:b/>
        </w:rPr>
      </w:pPr>
    </w:p>
    <w:p w14:paraId="34689602" w14:textId="53DACEE4" w:rsidR="00D7764F" w:rsidRDefault="003422DA">
      <w:pPr>
        <w:widowControl w:val="0"/>
        <w:tabs>
          <w:tab w:val="left" w:pos="1440"/>
          <w:tab w:val="left" w:pos="2160"/>
          <w:tab w:val="left" w:pos="2880"/>
        </w:tabs>
        <w:spacing w:line="480" w:lineRule="auto"/>
        <w:jc w:val="both"/>
        <w:rPr>
          <w:rFonts w:ascii="Times New Roman" w:eastAsia="Times New Roman" w:hAnsi="Times New Roman" w:cs="Times New Roman"/>
          <w:b/>
        </w:rPr>
      </w:pPr>
      <w:r>
        <w:br w:type="page"/>
      </w:r>
      <w:r w:rsidR="00D7764F">
        <w:rPr>
          <w:rFonts w:ascii="Times New Roman" w:eastAsia="Times New Roman" w:hAnsi="Times New Roman" w:cs="Times New Roman"/>
          <w:b/>
          <w:noProof/>
        </w:rPr>
        <w:lastRenderedPageBreak/>
        <w:drawing>
          <wp:anchor distT="0" distB="0" distL="114300" distR="114300" simplePos="0" relativeHeight="251683840" behindDoc="0" locked="0" layoutInCell="1" allowOverlap="1" wp14:anchorId="7044ABA4" wp14:editId="3FE48599">
            <wp:simplePos x="0" y="0"/>
            <wp:positionH relativeFrom="margin">
              <wp:posOffset>1090406</wp:posOffset>
            </wp:positionH>
            <wp:positionV relativeFrom="paragraph">
              <wp:posOffset>326003</wp:posOffset>
            </wp:positionV>
            <wp:extent cx="3515096" cy="5128895"/>
            <wp:effectExtent l="0" t="0" r="9525" b="0"/>
            <wp:wrapTopAndBottom/>
            <wp:docPr id="2053262293" name="Picture 14" descr="a funnel plot showing the relationship between accuracy (Hedges' g) and standard error for various cognitive function studies. It includes data points representing individual studies, categorized by cognitive function type (processing speed, selective attention, working memory) and dosage levels (low, medium, high). Confidence intervals and adjustments are indicated with blue shading and dashe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62293" name="Picture 14" descr="a funnel plot showing the relationship between accuracy (Hedges' g) and standard error for various cognitive function studies. It includes data points representing individual studies, categorized by cognitive function type (processing speed, selective attention, working memory) and dosage levels (low, medium, high). Confidence intervals and adjustments are indicated with blue shading and dashed lines."/>
                    <pic:cNvPicPr/>
                  </pic:nvPicPr>
                  <pic:blipFill rotWithShape="1">
                    <a:blip r:embed="rId14" cstate="print">
                      <a:extLst>
                        <a:ext uri="{28A0092B-C50C-407E-A947-70E740481C1C}">
                          <a14:useLocalDpi xmlns:a14="http://schemas.microsoft.com/office/drawing/2010/main" val="0"/>
                        </a:ext>
                      </a:extLst>
                    </a:blip>
                    <a:srcRect t="6088" r="3456"/>
                    <a:stretch/>
                  </pic:blipFill>
                  <pic:spPr bwMode="auto">
                    <a:xfrm>
                      <a:off x="0" y="0"/>
                      <a:ext cx="3515096" cy="5128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rPr>
        <w:t xml:space="preserve">Figure 5: </w:t>
      </w:r>
      <w:bookmarkStart w:id="8" w:name="bookmark=id.2bn6wsx" w:colFirst="0" w:colLast="0"/>
      <w:bookmarkEnd w:id="8"/>
      <w:r w:rsidR="002A5DDD" w:rsidRPr="002A5DDD">
        <w:rPr>
          <w:rFonts w:ascii="Times New Roman" w:eastAsia="Times New Roman" w:hAnsi="Times New Roman" w:cs="Times New Roman"/>
          <w:b/>
        </w:rPr>
        <w:t>Publication Bias Assessment for Psilocybin's Effects on Accuracy</w:t>
      </w:r>
    </w:p>
    <w:p w14:paraId="5DEAA692" w14:textId="461005B8" w:rsidR="00144611" w:rsidRPr="001478C8" w:rsidRDefault="003422DA">
      <w:pPr>
        <w:widowControl w:val="0"/>
        <w:tabs>
          <w:tab w:val="left" w:pos="1440"/>
          <w:tab w:val="left" w:pos="2160"/>
          <w:tab w:val="left" w:pos="2880"/>
        </w:tabs>
        <w:spacing w:line="480" w:lineRule="auto"/>
        <w:ind w:firstLine="720"/>
        <w:jc w:val="both"/>
        <w:rPr>
          <w:rFonts w:ascii="Times New Roman" w:eastAsia="Times New Roman" w:hAnsi="Times New Roman" w:cs="Times New Roman"/>
          <w:b/>
        </w:rPr>
      </w:pPr>
      <w:r>
        <w:rPr>
          <w:rFonts w:ascii="Times New Roman" w:eastAsia="Times New Roman" w:hAnsi="Times New Roman" w:cs="Times New Roman"/>
          <w:i/>
        </w:rPr>
        <w:t>Note.</w:t>
      </w:r>
      <w:r>
        <w:rPr>
          <w:rFonts w:ascii="Times New Roman" w:eastAsia="Times New Roman" w:hAnsi="Times New Roman" w:cs="Times New Roman"/>
        </w:rPr>
        <w:t xml:space="preserve"> Funnel plot illustrating the effects of psilocybin on ACC across various studies. Each poin</w:t>
      </w:r>
      <w:r w:rsidRPr="001478C8">
        <w:rPr>
          <w:rFonts w:ascii="Times New Roman" w:eastAsia="Times New Roman" w:hAnsi="Times New Roman" w:cs="Times New Roman"/>
        </w:rPr>
        <w:t xml:space="preserve">t represents an individual study outcome, with different shapes indicating cognitive functions, colors denoting studies, and sizes reflecting dosages. Shaded areas represent 90%, 95%, and 99% confidence intervals. The plot does not indicate the presence of publication bias. </w:t>
      </w:r>
    </w:p>
    <w:p w14:paraId="5DEAA693" w14:textId="29BB8E48" w:rsidR="00144611" w:rsidRPr="001478C8" w:rsidRDefault="00F94B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 New Roman" w:eastAsia="Courier New" w:hAnsi="Times New Roman" w:cs="Times New Roman"/>
        </w:rPr>
      </w:pPr>
      <w:sdt>
        <w:sdtPr>
          <w:rPr>
            <w:rFonts w:ascii="Times New Roman" w:hAnsi="Times New Roman" w:cs="Times New Roman"/>
          </w:rPr>
          <w:tag w:val="goog_rdk_7"/>
          <w:id w:val="-1446153030"/>
        </w:sdtPr>
        <w:sdtEndPr/>
        <w:sdtContent/>
      </w:sdt>
      <w:r w:rsidR="001478C8" w:rsidRPr="001478C8">
        <w:rPr>
          <w:rFonts w:ascii="Times New Roman" w:hAnsi="Times New Roman" w:cs="Times New Roman"/>
          <w:b/>
          <w:bCs/>
          <w:i/>
          <w:iCs/>
        </w:rPr>
        <w:t>Moderators of Accuracy Effects</w:t>
      </w:r>
      <w:r w:rsidR="003422DA" w:rsidRPr="001478C8">
        <w:rPr>
          <w:rFonts w:ascii="Times New Roman" w:eastAsia="Times New Roman" w:hAnsi="Times New Roman" w:cs="Times New Roman"/>
          <w:b/>
          <w:i/>
        </w:rPr>
        <w:t xml:space="preserve"> </w:t>
      </w:r>
    </w:p>
    <w:p w14:paraId="5DEAA694" w14:textId="77777777" w:rsidR="00144611" w:rsidRDefault="003422DA">
      <w:pPr>
        <w:widowControl w:val="0"/>
        <w:tabs>
          <w:tab w:val="left" w:pos="1440"/>
          <w:tab w:val="left" w:pos="2160"/>
          <w:tab w:val="left" w:pos="2880"/>
        </w:tabs>
        <w:spacing w:line="480" w:lineRule="auto"/>
        <w:ind w:firstLine="720"/>
        <w:jc w:val="both"/>
        <w:rPr>
          <w:rFonts w:ascii="Courier New" w:eastAsia="Courier New" w:hAnsi="Courier New" w:cs="Courier New"/>
        </w:rPr>
      </w:pPr>
      <w:r w:rsidRPr="001478C8">
        <w:rPr>
          <w:rFonts w:ascii="Times New Roman" w:eastAsia="Times New Roman" w:hAnsi="Times New Roman" w:cs="Times New Roman"/>
        </w:rPr>
        <w:t>Subgroup analyses were conducted to explore potential moderators of psilocybin's effect on ACC. The timing of p</w:t>
      </w:r>
      <w:r>
        <w:rPr>
          <w:rFonts w:ascii="Times New Roman" w:eastAsia="Times New Roman" w:hAnsi="Times New Roman" w:cs="Times New Roman"/>
        </w:rPr>
        <w:t xml:space="preserve">silocybin administration (peak vs. non-peak) did not significantly moderate the effect (QM(1) = 0.52, p = .47). Dosage categorization (micro, low, medium, high) </w:t>
      </w:r>
      <w:r>
        <w:rPr>
          <w:rFonts w:ascii="Times New Roman" w:eastAsia="Times New Roman" w:hAnsi="Times New Roman" w:cs="Times New Roman"/>
        </w:rPr>
        <w:lastRenderedPageBreak/>
        <w:t xml:space="preserve">also did not yield significant moderation (QM(3) = 4.38, p = .22), nor did a simplified micro/low vs. medium/high comparison (QM(1) = 0.02, p = .90). Cognitive function categories (attention, conflict monitoring, other executive functions, working memory) showed no significant moderation effect (QM(3) = 2.96, p = .40). Similarly, executive function task sensitivity levels did not significantly moderate the effect (QM(2) = 0.19, p = .91). In line with these observations, a </w:t>
      </w:r>
      <w:proofErr w:type="spellStart"/>
      <w:r>
        <w:rPr>
          <w:rFonts w:ascii="Times New Roman" w:eastAsia="Times New Roman" w:hAnsi="Times New Roman" w:cs="Times New Roman"/>
        </w:rPr>
        <w:t>metaforest</w:t>
      </w:r>
      <w:proofErr w:type="spellEnd"/>
      <w:r>
        <w:rPr>
          <w:rFonts w:ascii="Times New Roman" w:eastAsia="Times New Roman" w:hAnsi="Times New Roman" w:cs="Times New Roman"/>
        </w:rPr>
        <w:t xml:space="preserve"> machine learning algorithm also did not reveal a sufficient fit of the moderation model with the mentioned variables (see supplementary material).</w:t>
      </w:r>
    </w:p>
    <w:p w14:paraId="5DEAA695" w14:textId="77777777" w:rsidR="00144611" w:rsidRDefault="003422DA">
      <w:pPr>
        <w:widowControl w:val="0"/>
        <w:tabs>
          <w:tab w:val="left" w:pos="1440"/>
          <w:tab w:val="left" w:pos="2160"/>
          <w:tab w:val="left" w:pos="2880"/>
        </w:tabs>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These results indicate that while overall heterogeneity was observed, our tested moderators did not significantly explain this variability in psilocybin's effects on ACC.</w:t>
      </w:r>
    </w:p>
    <w:p w14:paraId="5DEAA696" w14:textId="77777777" w:rsidR="00144611" w:rsidRDefault="003422DA">
      <w:pPr>
        <w:widowControl w:val="0"/>
        <w:tabs>
          <w:tab w:val="left" w:pos="1440"/>
          <w:tab w:val="left" w:pos="2160"/>
          <w:tab w:val="left" w:pos="2880"/>
        </w:tabs>
        <w:spacing w:line="576" w:lineRule="auto"/>
        <w:jc w:val="both"/>
        <w:rPr>
          <w:rFonts w:ascii="Times New Roman" w:eastAsia="Times New Roman" w:hAnsi="Times New Roman" w:cs="Times New Roman"/>
          <w:b/>
        </w:rPr>
      </w:pPr>
      <w:r>
        <w:rPr>
          <w:rFonts w:ascii="Times New Roman" w:eastAsia="Times New Roman" w:hAnsi="Times New Roman" w:cs="Times New Roman"/>
          <w:b/>
        </w:rPr>
        <w:t>Risk of Bias Assessment Results</w:t>
      </w:r>
    </w:p>
    <w:p w14:paraId="5DEAA697" w14:textId="77777777" w:rsidR="00144611" w:rsidRDefault="003422DA">
      <w:pPr>
        <w:widowControl w:val="0"/>
        <w:tabs>
          <w:tab w:val="left" w:pos="1440"/>
          <w:tab w:val="left" w:pos="2160"/>
          <w:tab w:val="left" w:pos="2880"/>
        </w:tabs>
        <w:spacing w:line="576"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An overview of the risk of bias assessment is displayed in Figures 2 and Figure 3. The interrater reliability analysis yielded evidence of good agreement between raters as to the presence of bias in the studies (i.e., both raters marked some or high concern) Kappa = 0.629, z = 1.165, p = 0.247. However, poor interrater reliability was illustrated for the level of bias (i.e., both raters put “some concerns” as opposed to “high concerns”) Kappa = 0.170, z = 0.687, p= 0.492. Figure 2 contains the consensus combination chart illustrating level of bias between domains for each study. </w:t>
      </w:r>
    </w:p>
    <w:p w14:paraId="5DEAA698" w14:textId="77777777" w:rsidR="00144611" w:rsidRDefault="00144611">
      <w:pPr>
        <w:widowControl w:val="0"/>
        <w:tabs>
          <w:tab w:val="left" w:pos="1440"/>
          <w:tab w:val="left" w:pos="2160"/>
          <w:tab w:val="left" w:pos="2880"/>
        </w:tabs>
        <w:spacing w:line="480" w:lineRule="auto"/>
        <w:jc w:val="both"/>
        <w:rPr>
          <w:rFonts w:ascii="Times New Roman" w:eastAsia="Times New Roman" w:hAnsi="Times New Roman" w:cs="Times New Roman"/>
        </w:rPr>
      </w:pPr>
    </w:p>
    <w:p w14:paraId="5DEAA699" w14:textId="77777777" w:rsidR="00144611" w:rsidRDefault="00144611">
      <w:pPr>
        <w:widowControl w:val="0"/>
        <w:tabs>
          <w:tab w:val="left" w:pos="1440"/>
          <w:tab w:val="left" w:pos="2160"/>
          <w:tab w:val="left" w:pos="2880"/>
        </w:tabs>
        <w:spacing w:line="480" w:lineRule="auto"/>
        <w:jc w:val="both"/>
        <w:rPr>
          <w:rFonts w:ascii="Times New Roman" w:eastAsia="Times New Roman" w:hAnsi="Times New Roman" w:cs="Times New Roman"/>
        </w:rPr>
      </w:pPr>
    </w:p>
    <w:p w14:paraId="5DEAA69A" w14:textId="77777777" w:rsidR="00144611" w:rsidRDefault="00144611">
      <w:pPr>
        <w:widowControl w:val="0"/>
        <w:tabs>
          <w:tab w:val="left" w:pos="1440"/>
          <w:tab w:val="left" w:pos="2160"/>
          <w:tab w:val="left" w:pos="2880"/>
        </w:tabs>
        <w:spacing w:line="480" w:lineRule="auto"/>
        <w:jc w:val="both"/>
        <w:rPr>
          <w:rFonts w:ascii="Times New Roman" w:eastAsia="Times New Roman" w:hAnsi="Times New Roman" w:cs="Times New Roman"/>
        </w:rPr>
      </w:pPr>
    </w:p>
    <w:p w14:paraId="5DEAA69B" w14:textId="77777777" w:rsidR="00144611" w:rsidRDefault="00144611">
      <w:pPr>
        <w:widowControl w:val="0"/>
        <w:tabs>
          <w:tab w:val="left" w:pos="1440"/>
          <w:tab w:val="left" w:pos="2160"/>
          <w:tab w:val="left" w:pos="2880"/>
        </w:tabs>
        <w:spacing w:line="480" w:lineRule="auto"/>
        <w:jc w:val="both"/>
        <w:rPr>
          <w:rFonts w:ascii="Times New Roman" w:eastAsia="Times New Roman" w:hAnsi="Times New Roman" w:cs="Times New Roman"/>
        </w:rPr>
      </w:pPr>
    </w:p>
    <w:p w14:paraId="6A5758BF" w14:textId="77777777" w:rsidR="005342EB" w:rsidRDefault="005342EB">
      <w:pPr>
        <w:widowControl w:val="0"/>
        <w:tabs>
          <w:tab w:val="left" w:pos="1440"/>
          <w:tab w:val="left" w:pos="2160"/>
          <w:tab w:val="left" w:pos="2880"/>
        </w:tabs>
        <w:spacing w:line="576" w:lineRule="auto"/>
        <w:rPr>
          <w:rFonts w:ascii="Times New Roman" w:eastAsia="Times New Roman" w:hAnsi="Times New Roman" w:cs="Times New Roman"/>
          <w:b/>
        </w:rPr>
      </w:pPr>
    </w:p>
    <w:p w14:paraId="5DEAA69C" w14:textId="2364BA9A" w:rsidR="00144611" w:rsidRDefault="003422DA">
      <w:pPr>
        <w:widowControl w:val="0"/>
        <w:tabs>
          <w:tab w:val="left" w:pos="1440"/>
          <w:tab w:val="left" w:pos="2160"/>
          <w:tab w:val="left" w:pos="2880"/>
        </w:tabs>
        <w:spacing w:line="576"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Figure 6: Risk of Bias Assessment for </w:t>
      </w:r>
      <w:r w:rsidR="00F54141">
        <w:rPr>
          <w:rFonts w:ascii="Times New Roman" w:eastAsia="Times New Roman" w:hAnsi="Times New Roman" w:cs="Times New Roman"/>
          <w:b/>
        </w:rPr>
        <w:t>I</w:t>
      </w:r>
      <w:r>
        <w:rPr>
          <w:rFonts w:ascii="Times New Roman" w:eastAsia="Times New Roman" w:hAnsi="Times New Roman" w:cs="Times New Roman"/>
          <w:b/>
        </w:rPr>
        <w:t xml:space="preserve">ndividual </w:t>
      </w:r>
      <w:r w:rsidR="00F54141">
        <w:rPr>
          <w:rFonts w:ascii="Times New Roman" w:eastAsia="Times New Roman" w:hAnsi="Times New Roman" w:cs="Times New Roman"/>
          <w:b/>
        </w:rPr>
        <w:t>S</w:t>
      </w:r>
      <w:r>
        <w:rPr>
          <w:rFonts w:ascii="Times New Roman" w:eastAsia="Times New Roman" w:hAnsi="Times New Roman" w:cs="Times New Roman"/>
          <w:b/>
        </w:rPr>
        <w:t>tudies</w:t>
      </w:r>
      <w:r>
        <w:rPr>
          <w:rFonts w:ascii="Times New Roman" w:eastAsia="Times New Roman" w:hAnsi="Times New Roman" w:cs="Times New Roman"/>
          <w:noProof/>
        </w:rPr>
        <w:drawing>
          <wp:inline distT="114300" distB="114300" distL="114300" distR="114300" wp14:anchorId="5DEAA775" wp14:editId="0B85B742">
            <wp:extent cx="5943600" cy="4483100"/>
            <wp:effectExtent l="0" t="0" r="0" b="0"/>
            <wp:docPr id="2" name="image11.png" descr="Risk of Bias ampler plot, showing the risk of bias across five domains (D1 to D5) for each studies. Each study is listed with colored circles (green for low risk, yellow for some concerns, and red for high risk) indicating the level of bias in each domain and an overall judgment. "/>
            <wp:cNvGraphicFramePr/>
            <a:graphic xmlns:a="http://schemas.openxmlformats.org/drawingml/2006/main">
              <a:graphicData uri="http://schemas.openxmlformats.org/drawingml/2006/picture">
                <pic:pic xmlns:pic="http://schemas.openxmlformats.org/drawingml/2006/picture">
                  <pic:nvPicPr>
                    <pic:cNvPr id="2" name="image11.png" descr="Risk of Bias ampler plot, showing the risk of bias across five domains (D1 to D5) for each studies. Each study is listed with colored circles (green for low risk, yellow for some concerns, and red for high risk) indicating the level of bias in each domain and an overall judgment. "/>
                    <pic:cNvPicPr preferRelativeResize="0"/>
                  </pic:nvPicPr>
                  <pic:blipFill>
                    <a:blip r:embed="rId15"/>
                    <a:srcRect/>
                    <a:stretch>
                      <a:fillRect/>
                    </a:stretch>
                  </pic:blipFill>
                  <pic:spPr>
                    <a:xfrm>
                      <a:off x="0" y="0"/>
                      <a:ext cx="5943600" cy="4483100"/>
                    </a:xfrm>
                    <a:prstGeom prst="rect">
                      <a:avLst/>
                    </a:prstGeom>
                    <a:ln/>
                  </pic:spPr>
                </pic:pic>
              </a:graphicData>
            </a:graphic>
          </wp:inline>
        </w:drawing>
      </w:r>
    </w:p>
    <w:p w14:paraId="5DEAA69D" w14:textId="77777777" w:rsidR="00144611" w:rsidRDefault="003422DA">
      <w:pPr>
        <w:widowControl w:val="0"/>
        <w:tabs>
          <w:tab w:val="left" w:pos="1440"/>
          <w:tab w:val="left" w:pos="2160"/>
          <w:tab w:val="left" w:pos="2880"/>
        </w:tabs>
        <w:spacing w:line="576" w:lineRule="auto"/>
        <w:ind w:firstLine="720"/>
        <w:jc w:val="both"/>
        <w:rPr>
          <w:rFonts w:ascii="Times New Roman" w:eastAsia="Times New Roman" w:hAnsi="Times New Roman" w:cs="Times New Roman"/>
        </w:rPr>
      </w:pPr>
      <w:r>
        <w:rPr>
          <w:rFonts w:ascii="Times New Roman" w:eastAsia="Times New Roman" w:hAnsi="Times New Roman" w:cs="Times New Roman"/>
          <w:i/>
        </w:rPr>
        <w:t>Note</w:t>
      </w:r>
      <w:r>
        <w:rPr>
          <w:rFonts w:ascii="Times New Roman" w:eastAsia="Times New Roman" w:hAnsi="Times New Roman" w:cs="Times New Roman"/>
        </w:rPr>
        <w:t>. Heat map showing risk of bias assessments for 13 studies across five domains (D1-D5) and overall bias. Green (+) indicates low risk, yellow (-) indicates some concerns, and red (X) indicates high risk of bias. Domains assessed include randomization process (D1), intervention (D2), missing outcome data (D3), outcome measurement (D4), and selection of reported results (D5). The study ID is indicated after the study citation in the first column.</w:t>
      </w:r>
    </w:p>
    <w:p w14:paraId="5DEAA69F" w14:textId="77777777" w:rsidR="00144611" w:rsidRDefault="00144611">
      <w:pPr>
        <w:widowControl w:val="0"/>
        <w:tabs>
          <w:tab w:val="left" w:pos="1440"/>
          <w:tab w:val="left" w:pos="2160"/>
          <w:tab w:val="left" w:pos="2880"/>
        </w:tabs>
        <w:spacing w:line="576" w:lineRule="auto"/>
        <w:jc w:val="both"/>
        <w:rPr>
          <w:rFonts w:ascii="Times New Roman" w:eastAsia="Times New Roman" w:hAnsi="Times New Roman" w:cs="Times New Roman"/>
          <w:b/>
        </w:rPr>
      </w:pPr>
    </w:p>
    <w:p w14:paraId="58B3E74E" w14:textId="77777777" w:rsidR="00B36814" w:rsidRDefault="00B36814">
      <w:pPr>
        <w:widowControl w:val="0"/>
        <w:tabs>
          <w:tab w:val="left" w:pos="1440"/>
          <w:tab w:val="left" w:pos="2160"/>
          <w:tab w:val="left" w:pos="2880"/>
        </w:tabs>
        <w:spacing w:line="576" w:lineRule="auto"/>
        <w:jc w:val="both"/>
        <w:rPr>
          <w:rFonts w:ascii="Times New Roman" w:eastAsia="Times New Roman" w:hAnsi="Times New Roman" w:cs="Times New Roman"/>
          <w:b/>
        </w:rPr>
      </w:pPr>
    </w:p>
    <w:p w14:paraId="5DEAA6A0" w14:textId="77777777" w:rsidR="00144611" w:rsidRDefault="003422DA">
      <w:pPr>
        <w:widowControl w:val="0"/>
        <w:tabs>
          <w:tab w:val="left" w:pos="1440"/>
          <w:tab w:val="left" w:pos="2160"/>
          <w:tab w:val="left" w:pos="2880"/>
        </w:tabs>
        <w:spacing w:line="576" w:lineRule="auto"/>
        <w:jc w:val="both"/>
        <w:rPr>
          <w:rFonts w:ascii="Times New Roman" w:eastAsia="Times New Roman" w:hAnsi="Times New Roman" w:cs="Times New Roman"/>
          <w:b/>
        </w:rPr>
      </w:pPr>
      <w:r>
        <w:rPr>
          <w:rFonts w:ascii="Times New Roman" w:eastAsia="Times New Roman" w:hAnsi="Times New Roman" w:cs="Times New Roman"/>
          <w:b/>
        </w:rPr>
        <w:lastRenderedPageBreak/>
        <w:t>Figure 7: Overall Risk of Bias across Studies</w:t>
      </w:r>
    </w:p>
    <w:p w14:paraId="5DEAA6A1" w14:textId="77777777" w:rsidR="00144611" w:rsidRDefault="003422DA">
      <w:pPr>
        <w:widowControl w:val="0"/>
        <w:tabs>
          <w:tab w:val="left" w:pos="1440"/>
          <w:tab w:val="left" w:pos="2160"/>
          <w:tab w:val="left" w:pos="2880"/>
        </w:tabs>
        <w:spacing w:line="576" w:lineRule="auto"/>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DEAA777" wp14:editId="65174345">
            <wp:extent cx="5943600" cy="1803400"/>
            <wp:effectExtent l="0" t="0" r="0" b="0"/>
            <wp:docPr id="4" name="image14.png" descr="This image shows a horizontal bar chart displaying the overall risk of bias across studies. The chart assesses five categories of bias, including randomization process, deviations from intended interventions, missing outcome data, measurement of the outcome, and selection of the reported result, as well as an overall risk of bias. Each bar is color-coded to indicate the proportion of studies classified as low risk (green), some concerns (yellow), or high risk (red) for each bias category. The main result shows that the overall risk of bias across studies is predominantly categorized as &quot;some concerns&quot; (yellow), with a smaller proportion classified as &quot;high risk&quot; (red)."/>
            <wp:cNvGraphicFramePr/>
            <a:graphic xmlns:a="http://schemas.openxmlformats.org/drawingml/2006/main">
              <a:graphicData uri="http://schemas.openxmlformats.org/drawingml/2006/picture">
                <pic:pic xmlns:pic="http://schemas.openxmlformats.org/drawingml/2006/picture">
                  <pic:nvPicPr>
                    <pic:cNvPr id="4" name="image14.png" descr="This image shows a horizontal bar chart displaying the overall risk of bias across studies. The chart assesses five categories of bias, including randomization process, deviations from intended interventions, missing outcome data, measurement of the outcome, and selection of the reported result, as well as an overall risk of bias. Each bar is color-coded to indicate the proportion of studies classified as low risk (green), some concerns (yellow), or high risk (red) for each bias category. The main result shows that the overall risk of bias across studies is predominantly categorized as &quot;some concerns&quot; (yellow), with a smaller proportion classified as &quot;high risk&quot; (red)."/>
                    <pic:cNvPicPr preferRelativeResize="0"/>
                  </pic:nvPicPr>
                  <pic:blipFill>
                    <a:blip r:embed="rId16"/>
                    <a:srcRect/>
                    <a:stretch>
                      <a:fillRect/>
                    </a:stretch>
                  </pic:blipFill>
                  <pic:spPr>
                    <a:xfrm>
                      <a:off x="0" y="0"/>
                      <a:ext cx="5943600" cy="1803400"/>
                    </a:xfrm>
                    <a:prstGeom prst="rect">
                      <a:avLst/>
                    </a:prstGeom>
                    <a:ln/>
                  </pic:spPr>
                </pic:pic>
              </a:graphicData>
            </a:graphic>
          </wp:inline>
        </w:drawing>
      </w:r>
    </w:p>
    <w:p w14:paraId="5DEAA6A2" w14:textId="77777777" w:rsidR="00144611" w:rsidRDefault="003422DA">
      <w:pPr>
        <w:widowControl w:val="0"/>
        <w:tabs>
          <w:tab w:val="left" w:pos="1440"/>
          <w:tab w:val="left" w:pos="2160"/>
          <w:tab w:val="left" w:pos="2880"/>
        </w:tabs>
        <w:spacing w:line="576" w:lineRule="auto"/>
        <w:ind w:firstLine="720"/>
        <w:jc w:val="both"/>
        <w:rPr>
          <w:rFonts w:ascii="Times New Roman" w:eastAsia="Times New Roman" w:hAnsi="Times New Roman" w:cs="Times New Roman"/>
        </w:rPr>
      </w:pPr>
      <w:r>
        <w:rPr>
          <w:rFonts w:ascii="Times New Roman" w:eastAsia="Times New Roman" w:hAnsi="Times New Roman" w:cs="Times New Roman"/>
          <w:i/>
        </w:rPr>
        <w:t>Note:</w:t>
      </w:r>
      <w:r>
        <w:rPr>
          <w:rFonts w:ascii="Times New Roman" w:eastAsia="Times New Roman" w:hAnsi="Times New Roman" w:cs="Times New Roman"/>
        </w:rPr>
        <w:t xml:space="preserve"> Summary of overall risk of bias assessments for included studies. The chart displays the proportion of studies classified as having low risk, some concerns, or high risk of bias.</w:t>
      </w:r>
    </w:p>
    <w:p w14:paraId="5DEAA6A3" w14:textId="77777777" w:rsidR="00144611" w:rsidRDefault="003422DA" w:rsidP="00F541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Times New Roman" w:hAnsi="Times New Roman" w:cs="Times New Roman"/>
          <w:b/>
        </w:rPr>
      </w:pPr>
      <w:bookmarkStart w:id="9" w:name="bookmark=id.3as4poj" w:colFirst="0" w:colLast="0"/>
      <w:bookmarkEnd w:id="9"/>
      <w:r>
        <w:rPr>
          <w:rFonts w:ascii="Times New Roman" w:eastAsia="Times New Roman" w:hAnsi="Times New Roman" w:cs="Times New Roman"/>
          <w:b/>
        </w:rPr>
        <w:t>Discussion</w:t>
      </w:r>
    </w:p>
    <w:p w14:paraId="06440A86" w14:textId="77777777" w:rsidR="000F48F7" w:rsidRPr="000F48F7" w:rsidRDefault="000F48F7" w:rsidP="000F48F7">
      <w:pPr>
        <w:spacing w:line="480" w:lineRule="auto"/>
        <w:ind w:firstLine="720"/>
        <w:jc w:val="both"/>
        <w:rPr>
          <w:rFonts w:ascii="Times New Roman" w:eastAsia="Times New Roman" w:hAnsi="Times New Roman" w:cs="Times New Roman"/>
          <w:lang w:val="en-DE" w:eastAsia="en-DE"/>
        </w:rPr>
      </w:pPr>
      <w:r w:rsidRPr="000F48F7">
        <w:rPr>
          <w:rFonts w:ascii="Times New Roman" w:eastAsia="Times New Roman" w:hAnsi="Times New Roman" w:cs="Times New Roman"/>
          <w:color w:val="000000"/>
          <w:lang w:val="en-DE" w:eastAsia="en-DE"/>
        </w:rPr>
        <w:t>Despite the growing interest in psilocybin's therapeutic potential, its' acute effects on cognition have not yet been systematically investigated. This paper addresses that gap through a comprehensive systematic review and meta-analysis. After initial abstract screening, 42 effect sizes from 13 individual studies were extracted and categorized into the domains of executive functions and attention.  Importantly, the overall risk of bias across the studies included in our analysis is moderate to high. Most noticeably, this is driven by concerns about blinding procedures as well as lack of pre-registrations. Additionally, our investigation points towards a publication bias, given the asymmetry of the funnel plot. In the original studies included in the meta-analysis, cognition was often of secondary interest, which poses the question, whether other research groups failed to report their non-significant results, as they were also not primarily interested in cognition, thus driving the publication bias. Consequently, the heterogeneity, risk of bias, and potential for publication bias could lead to an overestimation of the true effect size within our analysis, skewing the data towards significant findings. </w:t>
      </w:r>
    </w:p>
    <w:p w14:paraId="7B546FB2" w14:textId="77777777" w:rsidR="000F48F7" w:rsidRPr="000F48F7" w:rsidRDefault="000F48F7" w:rsidP="000F48F7">
      <w:pPr>
        <w:spacing w:line="480" w:lineRule="auto"/>
        <w:ind w:firstLine="720"/>
        <w:jc w:val="both"/>
        <w:rPr>
          <w:rFonts w:ascii="Times New Roman" w:eastAsia="Times New Roman" w:hAnsi="Times New Roman" w:cs="Times New Roman"/>
          <w:lang w:val="en-DE" w:eastAsia="en-DE"/>
        </w:rPr>
      </w:pPr>
      <w:r w:rsidRPr="000F48F7">
        <w:rPr>
          <w:rFonts w:ascii="Times New Roman" w:eastAsia="Times New Roman" w:hAnsi="Times New Roman" w:cs="Times New Roman"/>
          <w:color w:val="000000"/>
          <w:lang w:val="en-DE" w:eastAsia="en-DE"/>
        </w:rPr>
        <w:lastRenderedPageBreak/>
        <w:t>In our meta-analysis we found that psilocybin acutely reduces ACC slightly to moderately, albeit non-significantly, and largely slows RTs in cognitive tasks assessing executive functions and attention. We further found that this effect on RT was significantly moderated by (</w:t>
      </w:r>
      <w:proofErr w:type="spellStart"/>
      <w:r w:rsidRPr="000F48F7">
        <w:rPr>
          <w:rFonts w:ascii="Times New Roman" w:eastAsia="Times New Roman" w:hAnsi="Times New Roman" w:cs="Times New Roman"/>
          <w:color w:val="000000"/>
          <w:lang w:val="en-DE" w:eastAsia="en-DE"/>
        </w:rPr>
        <w:t>i</w:t>
      </w:r>
      <w:proofErr w:type="spellEnd"/>
      <w:r w:rsidRPr="000F48F7">
        <w:rPr>
          <w:rFonts w:ascii="Times New Roman" w:eastAsia="Times New Roman" w:hAnsi="Times New Roman" w:cs="Times New Roman"/>
          <w:color w:val="000000"/>
          <w:lang w:val="en-DE" w:eastAsia="en-DE"/>
        </w:rPr>
        <w:t xml:space="preserve">) dosage (micro, small, mid, high), in that higher doses more strongly impacted RTs; and (ii) measurement sensitivity (general, specific, pure), in which more general measures showed larger effects. No significant moderation has been observed in (iii) subcomponents of executive functions and attention (working memory updating, inhibition, multiple </w:t>
      </w:r>
      <w:proofErr w:type="spellStart"/>
      <w:r w:rsidRPr="000F48F7">
        <w:rPr>
          <w:rFonts w:ascii="Times New Roman" w:eastAsia="Times New Roman" w:hAnsi="Times New Roman" w:cs="Times New Roman"/>
          <w:color w:val="000000"/>
          <w:lang w:val="en-DE" w:eastAsia="en-DE"/>
        </w:rPr>
        <w:t>EFs</w:t>
      </w:r>
      <w:proofErr w:type="spellEnd"/>
      <w:r w:rsidRPr="000F48F7">
        <w:rPr>
          <w:rFonts w:ascii="Times New Roman" w:eastAsia="Times New Roman" w:hAnsi="Times New Roman" w:cs="Times New Roman"/>
          <w:color w:val="000000"/>
          <w:lang w:val="en-DE" w:eastAsia="en-DE"/>
        </w:rPr>
        <w:t>, attention) and (iv) time point of measurement (during peak, after peak). Due to the non-significant overall effect on ACC, none of the moderators mentioned above reached significance and will thus be disregarded for further discussion. </w:t>
      </w:r>
    </w:p>
    <w:p w14:paraId="714E08A1" w14:textId="77777777" w:rsidR="000F48F7" w:rsidRPr="000F48F7" w:rsidRDefault="000F48F7" w:rsidP="000F48F7">
      <w:pPr>
        <w:spacing w:line="480" w:lineRule="auto"/>
        <w:jc w:val="both"/>
        <w:rPr>
          <w:rFonts w:ascii="Times New Roman" w:eastAsia="Times New Roman" w:hAnsi="Times New Roman" w:cs="Times New Roman"/>
          <w:lang w:val="en-DE" w:eastAsia="en-DE"/>
        </w:rPr>
      </w:pPr>
      <w:r w:rsidRPr="000F48F7">
        <w:rPr>
          <w:rFonts w:ascii="Times New Roman" w:eastAsia="Times New Roman" w:hAnsi="Times New Roman" w:cs="Times New Roman"/>
          <w:b/>
          <w:bCs/>
          <w:color w:val="000000"/>
          <w:lang w:val="en-DE" w:eastAsia="en-DE"/>
        </w:rPr>
        <w:t>Moderation effects of reaction time</w:t>
      </w:r>
    </w:p>
    <w:p w14:paraId="59AE0A30" w14:textId="77777777" w:rsidR="000F48F7" w:rsidRPr="000F48F7" w:rsidRDefault="000F48F7" w:rsidP="000F48F7">
      <w:pPr>
        <w:spacing w:line="480" w:lineRule="auto"/>
        <w:jc w:val="both"/>
        <w:rPr>
          <w:rFonts w:ascii="Times New Roman" w:eastAsia="Times New Roman" w:hAnsi="Times New Roman" w:cs="Times New Roman"/>
          <w:lang w:val="en-DE" w:eastAsia="en-DE"/>
        </w:rPr>
      </w:pPr>
      <w:r w:rsidRPr="000F48F7">
        <w:rPr>
          <w:rFonts w:ascii="Times New Roman" w:eastAsia="Times New Roman" w:hAnsi="Times New Roman" w:cs="Times New Roman"/>
          <w:b/>
          <w:bCs/>
          <w:i/>
          <w:iCs/>
          <w:color w:val="000000"/>
          <w:lang w:val="en-DE" w:eastAsia="en-DE"/>
        </w:rPr>
        <w:t>The influence of dose on reaction time </w:t>
      </w:r>
    </w:p>
    <w:p w14:paraId="4A763288" w14:textId="7ECEF109" w:rsidR="000F48F7" w:rsidRPr="000F48F7" w:rsidRDefault="000F48F7" w:rsidP="00692324">
      <w:pPr>
        <w:spacing w:line="480" w:lineRule="auto"/>
        <w:ind w:firstLine="720"/>
        <w:jc w:val="both"/>
        <w:rPr>
          <w:rFonts w:ascii="Times New Roman" w:eastAsia="Times New Roman" w:hAnsi="Times New Roman" w:cs="Times New Roman"/>
          <w:lang w:val="en-DE" w:eastAsia="en-DE"/>
        </w:rPr>
      </w:pPr>
      <w:r w:rsidRPr="000F48F7">
        <w:rPr>
          <w:rFonts w:ascii="Times New Roman" w:eastAsia="Times New Roman" w:hAnsi="Times New Roman" w:cs="Times New Roman"/>
          <w:color w:val="000000"/>
          <w:lang w:val="en-DE" w:eastAsia="en-DE"/>
        </w:rPr>
        <w:t xml:space="preserve">First, the effect of psilocybin on RT slowing on executive functions and attention follow a linear dose-dependent relationship, with higher doses showing a stronger slowing of RTs, and lower doses having less impact. Given that psilocybin has a dose response effect on psilocin plasma concentration (Holze et al., 2023), and subjective experience ratings (Hirschfeld and Schmidt, 2021), it is not surprising that this trend is present for performance in executive functions and attention as well. This dose-dependent effect is observed in all four studies that investigated different dosages. Interestingly, both studies investigating working memory (updating) (Wittmer et al., 2006; Barrett et al.2018), showed significantly slower RTs at high dose, but not at medium dose compared to placebo. However, studies investigating attention (Hasler et al., 2004; Vollenweider et al., 2007) found reduced performance already at both low and medium dosages. This suggests that while generally there is a dose-dependent effect of psilocybin across cognitive </w:t>
      </w:r>
      <w:r w:rsidRPr="000F48F7">
        <w:rPr>
          <w:rFonts w:ascii="Times New Roman" w:eastAsia="Times New Roman" w:hAnsi="Times New Roman" w:cs="Times New Roman"/>
          <w:color w:val="000000"/>
          <w:lang w:val="en-DE" w:eastAsia="en-DE"/>
        </w:rPr>
        <w:lastRenderedPageBreak/>
        <w:t>functioning, specifically executive functions, such as working memory updating might be slightly more resilient for these effects.</w:t>
      </w:r>
    </w:p>
    <w:p w14:paraId="337D5D01" w14:textId="77777777" w:rsidR="000F48F7" w:rsidRPr="000F48F7" w:rsidRDefault="000F48F7" w:rsidP="000F48F7">
      <w:pPr>
        <w:spacing w:line="480" w:lineRule="auto"/>
        <w:jc w:val="both"/>
        <w:rPr>
          <w:rFonts w:ascii="Times New Roman" w:eastAsia="Times New Roman" w:hAnsi="Times New Roman" w:cs="Times New Roman"/>
          <w:lang w:val="en-DE" w:eastAsia="en-DE"/>
        </w:rPr>
      </w:pPr>
      <w:r w:rsidRPr="000F48F7">
        <w:rPr>
          <w:rFonts w:ascii="Times New Roman" w:eastAsia="Times New Roman" w:hAnsi="Times New Roman" w:cs="Times New Roman"/>
          <w:b/>
          <w:bCs/>
          <w:i/>
          <w:iCs/>
          <w:color w:val="000000"/>
          <w:lang w:val="en-DE" w:eastAsia="en-DE"/>
        </w:rPr>
        <w:t>The influence of timing on reaction time</w:t>
      </w:r>
    </w:p>
    <w:p w14:paraId="39C80E5E" w14:textId="52E99CC8" w:rsidR="000F48F7" w:rsidRPr="000F48F7" w:rsidRDefault="000F48F7" w:rsidP="00692324">
      <w:pPr>
        <w:spacing w:line="480" w:lineRule="auto"/>
        <w:ind w:firstLine="720"/>
        <w:jc w:val="both"/>
        <w:rPr>
          <w:rFonts w:ascii="Times New Roman" w:eastAsia="Times New Roman" w:hAnsi="Times New Roman" w:cs="Times New Roman"/>
          <w:lang w:val="en-DE" w:eastAsia="en-DE"/>
        </w:rPr>
      </w:pPr>
      <w:r w:rsidRPr="000F48F7">
        <w:rPr>
          <w:rFonts w:ascii="Times New Roman" w:eastAsia="Times New Roman" w:hAnsi="Times New Roman" w:cs="Times New Roman"/>
          <w:color w:val="000000"/>
          <w:lang w:val="en-DE" w:eastAsia="en-DE"/>
        </w:rPr>
        <w:t xml:space="preserve">In the included studies, executive functions and/or attention were measured between 60 and 240 minutes post-psilocybin administration, out of which seven effect sizes were obtained during the peak window (90-180 min post ingestion; Barrett et al., 2017; Cavanna et al., 2022; </w:t>
      </w:r>
      <w:proofErr w:type="spellStart"/>
      <w:r w:rsidRPr="000F48F7">
        <w:rPr>
          <w:rFonts w:ascii="Times New Roman" w:eastAsia="Times New Roman" w:hAnsi="Times New Roman" w:cs="Times New Roman"/>
          <w:color w:val="000000"/>
          <w:lang w:val="en-DE" w:eastAsia="en-DE"/>
        </w:rPr>
        <w:t>Kometer</w:t>
      </w:r>
      <w:proofErr w:type="spellEnd"/>
      <w:r w:rsidRPr="000F48F7">
        <w:rPr>
          <w:rFonts w:ascii="Times New Roman" w:eastAsia="Times New Roman" w:hAnsi="Times New Roman" w:cs="Times New Roman"/>
          <w:color w:val="000000"/>
          <w:lang w:val="en-DE" w:eastAsia="en-DE"/>
        </w:rPr>
        <w:t xml:space="preserve"> et al., 2012; </w:t>
      </w:r>
      <w:proofErr w:type="spellStart"/>
      <w:r w:rsidRPr="000F48F7">
        <w:rPr>
          <w:rFonts w:ascii="Times New Roman" w:eastAsia="Times New Roman" w:hAnsi="Times New Roman" w:cs="Times New Roman"/>
          <w:color w:val="000000"/>
          <w:lang w:val="en-DE" w:eastAsia="en-DE"/>
        </w:rPr>
        <w:t>Mallaroni</w:t>
      </w:r>
      <w:proofErr w:type="spellEnd"/>
      <w:r w:rsidRPr="000F48F7">
        <w:rPr>
          <w:rFonts w:ascii="Times New Roman" w:eastAsia="Times New Roman" w:hAnsi="Times New Roman" w:cs="Times New Roman"/>
          <w:color w:val="000000"/>
          <w:lang w:val="en-DE" w:eastAsia="en-DE"/>
        </w:rPr>
        <w:t xml:space="preserve"> et al., 2023), and eight outside the peak window (&gt;90 and ,&lt;180 min post ingestion) of psilocybin drug effect (Barrett et al., 2017; Cavanna et al., 2022; </w:t>
      </w:r>
      <w:proofErr w:type="spellStart"/>
      <w:r w:rsidRPr="000F48F7">
        <w:rPr>
          <w:rFonts w:ascii="Times New Roman" w:eastAsia="Times New Roman" w:hAnsi="Times New Roman" w:cs="Times New Roman"/>
          <w:color w:val="000000"/>
          <w:lang w:val="en-DE" w:eastAsia="en-DE"/>
        </w:rPr>
        <w:t>Gouzoulis</w:t>
      </w:r>
      <w:proofErr w:type="spellEnd"/>
      <w:r w:rsidRPr="000F48F7">
        <w:rPr>
          <w:rFonts w:ascii="Times New Roman" w:eastAsia="Times New Roman" w:hAnsi="Times New Roman" w:cs="Times New Roman"/>
          <w:color w:val="000000"/>
          <w:lang w:val="en-DE" w:eastAsia="en-DE"/>
        </w:rPr>
        <w:t xml:space="preserve">-Mayfrank et al., 2002; </w:t>
      </w:r>
      <w:proofErr w:type="spellStart"/>
      <w:r w:rsidRPr="000F48F7">
        <w:rPr>
          <w:rFonts w:ascii="Times New Roman" w:eastAsia="Times New Roman" w:hAnsi="Times New Roman" w:cs="Times New Roman"/>
          <w:color w:val="000000"/>
          <w:lang w:val="en-DE" w:eastAsia="en-DE"/>
        </w:rPr>
        <w:t>Quednow</w:t>
      </w:r>
      <w:proofErr w:type="spellEnd"/>
      <w:r w:rsidRPr="000F48F7">
        <w:rPr>
          <w:rFonts w:ascii="Times New Roman" w:eastAsia="Times New Roman" w:hAnsi="Times New Roman" w:cs="Times New Roman"/>
          <w:color w:val="000000"/>
          <w:lang w:val="en-DE" w:eastAsia="en-DE"/>
        </w:rPr>
        <w:t xml:space="preserve"> et al., 2011; Vollenweider et al., 1998). In contrast to dose as a moderator, the measurement timepoints did not significantly influence the effects of psilocybin on RT. Although our study differentiated between measurements taken within the peak window (90-180 minutes post-ingestion) and those taken outside it, all measurement time points fall within the acute phase of psilocybin's effects. The data indicate that the effects are consistently distributed throughout this window, irrespective of whether they occur within or outside the peak window. To establish a robust dose-response curve for psilocybin's effects on cognition, further studies incorporating a substantially wider range of acute, post-acute and long-term timepoints are necessary.</w:t>
      </w:r>
    </w:p>
    <w:p w14:paraId="4ADBF79A" w14:textId="77777777" w:rsidR="000F48F7" w:rsidRPr="000F48F7" w:rsidRDefault="000F48F7" w:rsidP="000F48F7">
      <w:pPr>
        <w:spacing w:line="480" w:lineRule="auto"/>
        <w:jc w:val="both"/>
        <w:rPr>
          <w:rFonts w:ascii="Times New Roman" w:eastAsia="Times New Roman" w:hAnsi="Times New Roman" w:cs="Times New Roman"/>
          <w:lang w:val="en-DE" w:eastAsia="en-DE"/>
        </w:rPr>
      </w:pPr>
      <w:r w:rsidRPr="000F48F7">
        <w:rPr>
          <w:rFonts w:ascii="Times New Roman" w:eastAsia="Times New Roman" w:hAnsi="Times New Roman" w:cs="Times New Roman"/>
          <w:b/>
          <w:bCs/>
          <w:i/>
          <w:iCs/>
          <w:color w:val="000000"/>
          <w:lang w:val="en-DE" w:eastAsia="en-DE"/>
        </w:rPr>
        <w:t>The influence of measurement sensitivity on reaction time</w:t>
      </w:r>
    </w:p>
    <w:p w14:paraId="40F49E83" w14:textId="54C7B531" w:rsidR="000F48F7" w:rsidRPr="000F48F7" w:rsidRDefault="000F48F7" w:rsidP="00692324">
      <w:pPr>
        <w:spacing w:line="480" w:lineRule="auto"/>
        <w:ind w:firstLine="720"/>
        <w:jc w:val="both"/>
        <w:rPr>
          <w:rFonts w:ascii="Times New Roman" w:eastAsia="Times New Roman" w:hAnsi="Times New Roman" w:cs="Times New Roman"/>
          <w:lang w:val="en-DE" w:eastAsia="en-DE"/>
        </w:rPr>
      </w:pPr>
      <w:r w:rsidRPr="000F48F7">
        <w:rPr>
          <w:rFonts w:ascii="Times New Roman" w:eastAsia="Times New Roman" w:hAnsi="Times New Roman" w:cs="Times New Roman"/>
          <w:color w:val="000000"/>
          <w:lang w:val="en-DE" w:eastAsia="en-DE"/>
        </w:rPr>
        <w:t xml:space="preserve">Observations from the primary studies varied widely due to differences in measurement techniques and statistical methods, prompting us to examine if the granularity of these measures affected reported effects on RTs. This moderation analysis revealed that the degree of measurement sensitivity moderates the effect on RT, with more general measures of sensitivity showing a stronger effect than more specific measures. This suggests that psilocybin's impact on </w:t>
      </w:r>
      <w:r w:rsidRPr="000F48F7">
        <w:rPr>
          <w:rFonts w:ascii="Times New Roman" w:eastAsia="Times New Roman" w:hAnsi="Times New Roman" w:cs="Times New Roman"/>
          <w:color w:val="000000"/>
          <w:lang w:val="en-DE" w:eastAsia="en-DE"/>
        </w:rPr>
        <w:lastRenderedPageBreak/>
        <w:t>RT is more general rather than specific to executive functions, as more specific methods aim to account for general function by, for example, calculating a difference score. For instance, in the Stroop task, the congruent and incongruent conditions both necessitate similar levels of basic sensory processing and motor responses (</w:t>
      </w:r>
      <w:proofErr w:type="spellStart"/>
      <w:r w:rsidRPr="000F48F7">
        <w:rPr>
          <w:rFonts w:ascii="Times New Roman" w:eastAsia="Times New Roman" w:hAnsi="Times New Roman" w:cs="Times New Roman"/>
          <w:color w:val="000000"/>
          <w:lang w:val="en-DE" w:eastAsia="en-DE"/>
        </w:rPr>
        <w:t>Adlema</w:t>
      </w:r>
      <w:proofErr w:type="spellEnd"/>
      <w:r w:rsidRPr="000F48F7">
        <w:rPr>
          <w:rFonts w:ascii="Times New Roman" w:eastAsia="Times New Roman" w:hAnsi="Times New Roman" w:cs="Times New Roman"/>
          <w:color w:val="000000"/>
          <w:lang w:val="en-DE" w:eastAsia="en-DE"/>
        </w:rPr>
        <w:t xml:space="preserve"> et al., 2002); however, they vary in the extent to which they engage cognitive control and conflict monitoring, thereby partially isolating the cognitive domain of interest if the scores are subtracted from each other. The fact that measurement sensitivity is a significant moderator, suggesting that psilocybin affects more general measures of executive function compared to more specific ones, indicates that a significant amount of the effect could be attributed to the underlying general functions such as psychomotor speed and/or attention, rather than the specific cognitive domain. This suggests that the lower level cognitive and motor functions involved in these tasks could play an important part in the observed RT slowing, on top of the specific cognitive domains targeted by the more precise measures.</w:t>
      </w:r>
    </w:p>
    <w:p w14:paraId="0371DAB0" w14:textId="77777777" w:rsidR="000F48F7" w:rsidRPr="000F48F7" w:rsidRDefault="000F48F7" w:rsidP="000F48F7">
      <w:pPr>
        <w:spacing w:line="480" w:lineRule="auto"/>
        <w:jc w:val="both"/>
        <w:rPr>
          <w:rFonts w:ascii="Times New Roman" w:eastAsia="Times New Roman" w:hAnsi="Times New Roman" w:cs="Times New Roman"/>
          <w:lang w:val="en-DE" w:eastAsia="en-DE"/>
        </w:rPr>
      </w:pPr>
      <w:r w:rsidRPr="000F48F7">
        <w:rPr>
          <w:rFonts w:ascii="Times New Roman" w:eastAsia="Times New Roman" w:hAnsi="Times New Roman" w:cs="Times New Roman"/>
          <w:b/>
          <w:bCs/>
          <w:i/>
          <w:iCs/>
          <w:color w:val="000000"/>
          <w:lang w:val="en-DE" w:eastAsia="en-DE"/>
        </w:rPr>
        <w:t>The influence of subcomponents of executive functions and attention on reaction time</w:t>
      </w:r>
    </w:p>
    <w:p w14:paraId="2FFD8815" w14:textId="5857AE75" w:rsidR="000F48F7" w:rsidRPr="000F48F7" w:rsidRDefault="000F48F7" w:rsidP="00692324">
      <w:pPr>
        <w:spacing w:line="480" w:lineRule="auto"/>
        <w:ind w:firstLine="720"/>
        <w:jc w:val="both"/>
        <w:rPr>
          <w:rFonts w:ascii="Times New Roman" w:eastAsia="Times New Roman" w:hAnsi="Times New Roman" w:cs="Times New Roman"/>
          <w:lang w:val="en-DE" w:eastAsia="en-DE"/>
        </w:rPr>
      </w:pPr>
      <w:r w:rsidRPr="000F48F7">
        <w:rPr>
          <w:rFonts w:ascii="Times New Roman" w:eastAsia="Times New Roman" w:hAnsi="Times New Roman" w:cs="Times New Roman"/>
          <w:color w:val="000000"/>
          <w:lang w:val="en-DE" w:eastAsia="en-DE"/>
        </w:rPr>
        <w:t>We further investigated whether the RT slowing effects of psilocybin vary across subcomponents of executive functions and attention. Our analysis revealed that the effects were not specific for specific cognitive domains, suggesting that psilocybin acutely affects executive functions and attentional abilities in a similar manner. This points to a potential mechanism being affected by psilocybin that equally impacts all assessed cognitive domains. To fully understand the breadth of psilocybin's cognitive effects, future research should continue to explore these mechanisms across a broader spectrum of executive function and attention subcomponents.</w:t>
      </w:r>
    </w:p>
    <w:p w14:paraId="77977C78" w14:textId="77777777" w:rsidR="00692324" w:rsidRDefault="000F48F7" w:rsidP="000F48F7">
      <w:pPr>
        <w:spacing w:line="480" w:lineRule="auto"/>
        <w:jc w:val="both"/>
        <w:rPr>
          <w:rFonts w:ascii="Times New Roman" w:eastAsia="Times New Roman" w:hAnsi="Times New Roman" w:cs="Times New Roman"/>
          <w:b/>
          <w:bCs/>
          <w:color w:val="000000"/>
          <w:lang w:val="en-DE" w:eastAsia="en-DE"/>
        </w:rPr>
      </w:pPr>
      <w:r w:rsidRPr="000F48F7">
        <w:rPr>
          <w:rFonts w:ascii="Times New Roman" w:eastAsia="Times New Roman" w:hAnsi="Times New Roman" w:cs="Times New Roman"/>
          <w:b/>
          <w:bCs/>
          <w:color w:val="000000"/>
          <w:lang w:val="en-DE" w:eastAsia="en-DE"/>
        </w:rPr>
        <w:t> Reaction time and Accuracy</w:t>
      </w:r>
    </w:p>
    <w:p w14:paraId="2234E44C" w14:textId="504EBC37" w:rsidR="000F48F7" w:rsidRPr="000F48F7" w:rsidRDefault="000F48F7" w:rsidP="000F48F7">
      <w:pPr>
        <w:spacing w:line="480" w:lineRule="auto"/>
        <w:jc w:val="both"/>
        <w:rPr>
          <w:rFonts w:ascii="Times New Roman" w:eastAsia="Times New Roman" w:hAnsi="Times New Roman" w:cs="Times New Roman"/>
          <w:lang w:val="en-DE" w:eastAsia="en-DE"/>
        </w:rPr>
      </w:pPr>
      <w:r w:rsidRPr="000F48F7">
        <w:rPr>
          <w:rFonts w:ascii="Times New Roman" w:eastAsia="Times New Roman" w:hAnsi="Times New Roman" w:cs="Times New Roman"/>
          <w:color w:val="000000"/>
          <w:lang w:val="en-DE" w:eastAsia="en-DE"/>
        </w:rPr>
        <w:tab/>
        <w:t xml:space="preserve">The data suggest that psilocybin slows RT in  executive functioning and attention tasks in a dose dependent manner, while the effects on ACC are not that clear. Although the cognitive tasks </w:t>
      </w:r>
      <w:r w:rsidRPr="000F48F7">
        <w:rPr>
          <w:rFonts w:ascii="Times New Roman" w:eastAsia="Times New Roman" w:hAnsi="Times New Roman" w:cs="Times New Roman"/>
          <w:color w:val="000000"/>
          <w:lang w:val="en-DE" w:eastAsia="en-DE"/>
        </w:rPr>
        <w:lastRenderedPageBreak/>
        <w:t>included in this analysis aim to isolate specific cognitive domains, overall performance is inevitably influenced by a variety of additional functions. These include more basic processes such as motor preparedness and psychomotor speed (involved in executing a button press), attentional capabilities (e.g., how much was listened to instructions), and higher-level executive functions such as cognitive control and task switching abilities. Therefore, below we discuss our findings within a framework of a multilevel explanation and propose potential mechanisms through which psilocybin may lead to these outcomes by impacting various cognitive levels separately or simultaneously (see Figure 8). It is important to note that this interpretation is speculative and should be used to form new, testable hypotheses for future research.</w:t>
      </w:r>
    </w:p>
    <w:p w14:paraId="457FB3DA" w14:textId="16C1075C" w:rsidR="00DC7AFF" w:rsidRDefault="00DC7AFF" w:rsidP="005342EB">
      <w:pPr>
        <w:spacing w:line="480" w:lineRule="auto"/>
        <w:jc w:val="both"/>
        <w:rPr>
          <w:rFonts w:ascii="Times New Roman" w:hAnsi="Times New Roman" w:cs="Times New Roman"/>
          <w:b/>
          <w:bCs/>
          <w:color w:val="000000"/>
        </w:rPr>
      </w:pPr>
    </w:p>
    <w:p w14:paraId="2FF96462" w14:textId="77777777" w:rsidR="005342EB" w:rsidRDefault="005342EB" w:rsidP="00DC7AFF">
      <w:pPr>
        <w:widowControl w:val="0"/>
        <w:tabs>
          <w:tab w:val="left" w:pos="1440"/>
          <w:tab w:val="left" w:pos="2160"/>
          <w:tab w:val="left" w:pos="2880"/>
        </w:tabs>
        <w:spacing w:line="480" w:lineRule="auto"/>
        <w:jc w:val="both"/>
        <w:rPr>
          <w:rFonts w:ascii="Times New Roman" w:hAnsi="Times New Roman" w:cs="Times New Roman"/>
          <w:b/>
          <w:bCs/>
          <w:color w:val="000000"/>
        </w:rPr>
      </w:pPr>
    </w:p>
    <w:p w14:paraId="705746E0" w14:textId="77777777" w:rsidR="005342EB" w:rsidRDefault="005342EB" w:rsidP="00DC7AFF">
      <w:pPr>
        <w:widowControl w:val="0"/>
        <w:tabs>
          <w:tab w:val="left" w:pos="1440"/>
          <w:tab w:val="left" w:pos="2160"/>
          <w:tab w:val="left" w:pos="2880"/>
        </w:tabs>
        <w:spacing w:line="480" w:lineRule="auto"/>
        <w:jc w:val="both"/>
        <w:rPr>
          <w:rFonts w:ascii="Times New Roman" w:hAnsi="Times New Roman" w:cs="Times New Roman"/>
          <w:b/>
          <w:bCs/>
          <w:color w:val="000000"/>
        </w:rPr>
      </w:pPr>
    </w:p>
    <w:p w14:paraId="3F9FBB58" w14:textId="77777777" w:rsidR="005342EB" w:rsidRDefault="005342EB" w:rsidP="00DC7AFF">
      <w:pPr>
        <w:widowControl w:val="0"/>
        <w:tabs>
          <w:tab w:val="left" w:pos="1440"/>
          <w:tab w:val="left" w:pos="2160"/>
          <w:tab w:val="left" w:pos="2880"/>
        </w:tabs>
        <w:spacing w:line="480" w:lineRule="auto"/>
        <w:jc w:val="both"/>
        <w:rPr>
          <w:rFonts w:ascii="Times New Roman" w:hAnsi="Times New Roman" w:cs="Times New Roman"/>
          <w:b/>
          <w:bCs/>
          <w:color w:val="000000"/>
        </w:rPr>
      </w:pPr>
    </w:p>
    <w:p w14:paraId="36421C74" w14:textId="77777777" w:rsidR="005342EB" w:rsidRDefault="005342EB" w:rsidP="00DC7AFF">
      <w:pPr>
        <w:widowControl w:val="0"/>
        <w:tabs>
          <w:tab w:val="left" w:pos="1440"/>
          <w:tab w:val="left" w:pos="2160"/>
          <w:tab w:val="left" w:pos="2880"/>
        </w:tabs>
        <w:spacing w:line="480" w:lineRule="auto"/>
        <w:jc w:val="both"/>
        <w:rPr>
          <w:rFonts w:ascii="Times New Roman" w:hAnsi="Times New Roman" w:cs="Times New Roman"/>
          <w:b/>
          <w:bCs/>
          <w:color w:val="000000"/>
        </w:rPr>
      </w:pPr>
    </w:p>
    <w:p w14:paraId="3A50CA39" w14:textId="77777777" w:rsidR="005342EB" w:rsidRDefault="005342EB" w:rsidP="00DC7AFF">
      <w:pPr>
        <w:widowControl w:val="0"/>
        <w:tabs>
          <w:tab w:val="left" w:pos="1440"/>
          <w:tab w:val="left" w:pos="2160"/>
          <w:tab w:val="left" w:pos="2880"/>
        </w:tabs>
        <w:spacing w:line="480" w:lineRule="auto"/>
        <w:jc w:val="both"/>
        <w:rPr>
          <w:rFonts w:ascii="Times New Roman" w:hAnsi="Times New Roman" w:cs="Times New Roman"/>
          <w:b/>
          <w:bCs/>
          <w:color w:val="000000"/>
        </w:rPr>
      </w:pPr>
    </w:p>
    <w:p w14:paraId="44412FAB" w14:textId="77777777" w:rsidR="005342EB" w:rsidRDefault="005342EB" w:rsidP="00DC7AFF">
      <w:pPr>
        <w:widowControl w:val="0"/>
        <w:tabs>
          <w:tab w:val="left" w:pos="1440"/>
          <w:tab w:val="left" w:pos="2160"/>
          <w:tab w:val="left" w:pos="2880"/>
        </w:tabs>
        <w:spacing w:line="480" w:lineRule="auto"/>
        <w:jc w:val="both"/>
        <w:rPr>
          <w:rFonts w:ascii="Times New Roman" w:hAnsi="Times New Roman" w:cs="Times New Roman"/>
          <w:b/>
          <w:bCs/>
          <w:color w:val="000000"/>
        </w:rPr>
      </w:pPr>
    </w:p>
    <w:p w14:paraId="75CECD5D" w14:textId="77777777" w:rsidR="005342EB" w:rsidRDefault="005342EB" w:rsidP="00DC7AFF">
      <w:pPr>
        <w:widowControl w:val="0"/>
        <w:tabs>
          <w:tab w:val="left" w:pos="1440"/>
          <w:tab w:val="left" w:pos="2160"/>
          <w:tab w:val="left" w:pos="2880"/>
        </w:tabs>
        <w:spacing w:line="480" w:lineRule="auto"/>
        <w:jc w:val="both"/>
        <w:rPr>
          <w:rFonts w:ascii="Times New Roman" w:hAnsi="Times New Roman" w:cs="Times New Roman"/>
          <w:b/>
          <w:bCs/>
          <w:color w:val="000000"/>
        </w:rPr>
      </w:pPr>
    </w:p>
    <w:p w14:paraId="12BA88D5" w14:textId="77777777" w:rsidR="005342EB" w:rsidRDefault="005342EB" w:rsidP="00DC7AFF">
      <w:pPr>
        <w:widowControl w:val="0"/>
        <w:tabs>
          <w:tab w:val="left" w:pos="1440"/>
          <w:tab w:val="left" w:pos="2160"/>
          <w:tab w:val="left" w:pos="2880"/>
        </w:tabs>
        <w:spacing w:line="480" w:lineRule="auto"/>
        <w:jc w:val="both"/>
        <w:rPr>
          <w:rFonts w:ascii="Times New Roman" w:hAnsi="Times New Roman" w:cs="Times New Roman"/>
          <w:b/>
          <w:bCs/>
          <w:color w:val="000000"/>
        </w:rPr>
      </w:pPr>
    </w:p>
    <w:p w14:paraId="7F62D251" w14:textId="77777777" w:rsidR="005342EB" w:rsidRDefault="005342EB" w:rsidP="00DC7AFF">
      <w:pPr>
        <w:widowControl w:val="0"/>
        <w:tabs>
          <w:tab w:val="left" w:pos="1440"/>
          <w:tab w:val="left" w:pos="2160"/>
          <w:tab w:val="left" w:pos="2880"/>
        </w:tabs>
        <w:spacing w:line="480" w:lineRule="auto"/>
        <w:jc w:val="both"/>
        <w:rPr>
          <w:rFonts w:ascii="Times New Roman" w:hAnsi="Times New Roman" w:cs="Times New Roman"/>
          <w:b/>
          <w:bCs/>
          <w:color w:val="000000"/>
        </w:rPr>
      </w:pPr>
    </w:p>
    <w:p w14:paraId="57E85656" w14:textId="77777777" w:rsidR="005342EB" w:rsidRDefault="005342EB" w:rsidP="00DC7AFF">
      <w:pPr>
        <w:widowControl w:val="0"/>
        <w:tabs>
          <w:tab w:val="left" w:pos="1440"/>
          <w:tab w:val="left" w:pos="2160"/>
          <w:tab w:val="left" w:pos="2880"/>
        </w:tabs>
        <w:spacing w:line="480" w:lineRule="auto"/>
        <w:jc w:val="both"/>
        <w:rPr>
          <w:rFonts w:ascii="Times New Roman" w:hAnsi="Times New Roman" w:cs="Times New Roman"/>
          <w:b/>
          <w:bCs/>
          <w:color w:val="000000"/>
        </w:rPr>
      </w:pPr>
    </w:p>
    <w:p w14:paraId="005D9865" w14:textId="77777777" w:rsidR="005342EB" w:rsidRDefault="005342EB" w:rsidP="00DC7AFF">
      <w:pPr>
        <w:widowControl w:val="0"/>
        <w:tabs>
          <w:tab w:val="left" w:pos="1440"/>
          <w:tab w:val="left" w:pos="2160"/>
          <w:tab w:val="left" w:pos="2880"/>
        </w:tabs>
        <w:spacing w:line="480" w:lineRule="auto"/>
        <w:jc w:val="both"/>
        <w:rPr>
          <w:rFonts w:ascii="Times New Roman" w:hAnsi="Times New Roman" w:cs="Times New Roman"/>
          <w:b/>
          <w:bCs/>
          <w:color w:val="000000"/>
        </w:rPr>
      </w:pPr>
    </w:p>
    <w:p w14:paraId="5FD0C2FE" w14:textId="77777777" w:rsidR="005342EB" w:rsidRDefault="005342EB" w:rsidP="00DC7AFF">
      <w:pPr>
        <w:widowControl w:val="0"/>
        <w:tabs>
          <w:tab w:val="left" w:pos="1440"/>
          <w:tab w:val="left" w:pos="2160"/>
          <w:tab w:val="left" w:pos="2880"/>
        </w:tabs>
        <w:spacing w:line="480" w:lineRule="auto"/>
        <w:jc w:val="both"/>
        <w:rPr>
          <w:rFonts w:ascii="Times New Roman" w:hAnsi="Times New Roman" w:cs="Times New Roman"/>
          <w:b/>
          <w:bCs/>
          <w:color w:val="000000"/>
        </w:rPr>
      </w:pPr>
    </w:p>
    <w:p w14:paraId="051A7878" w14:textId="4137998F" w:rsidR="005342EB" w:rsidRPr="005342EB" w:rsidRDefault="005342EB" w:rsidP="005342EB">
      <w:pPr>
        <w:widowControl w:val="0"/>
        <w:tabs>
          <w:tab w:val="left" w:pos="1440"/>
          <w:tab w:val="left" w:pos="2160"/>
          <w:tab w:val="left" w:pos="2880"/>
        </w:tabs>
        <w:spacing w:line="480" w:lineRule="auto"/>
        <w:jc w:val="both"/>
        <w:rPr>
          <w:rFonts w:ascii="Times New Roman" w:hAnsi="Times New Roman" w:cs="Times New Roman"/>
          <w:b/>
          <w:bCs/>
          <w:color w:val="000000"/>
        </w:rPr>
      </w:pPr>
      <w:r w:rsidRPr="00F7778C">
        <w:rPr>
          <w:rFonts w:ascii="Times New Roman" w:hAnsi="Times New Roman" w:cs="Times New Roman"/>
          <w:noProof/>
          <w:color w:val="000000"/>
          <w:bdr w:val="none" w:sz="0" w:space="0" w:color="auto" w:frame="1"/>
        </w:rPr>
        <w:lastRenderedPageBreak/>
        <w:drawing>
          <wp:anchor distT="0" distB="0" distL="114300" distR="114300" simplePos="0" relativeHeight="251677696" behindDoc="0" locked="0" layoutInCell="1" allowOverlap="1" wp14:anchorId="12CB0593" wp14:editId="2DF8C8FE">
            <wp:simplePos x="0" y="0"/>
            <wp:positionH relativeFrom="margin">
              <wp:posOffset>804261</wp:posOffset>
            </wp:positionH>
            <wp:positionV relativeFrom="margin">
              <wp:posOffset>694643</wp:posOffset>
            </wp:positionV>
            <wp:extent cx="3698240" cy="3698240"/>
            <wp:effectExtent l="0" t="0" r="0" b="0"/>
            <wp:wrapTopAndBottom/>
            <wp:docPr id="340019872" name="Picture 1" descr="This figure illustrates a multi-level model of psilocybin's acute effects on cognitive test performance. The image shows a pyramid with three levels: &quot;Psychomotor Speed&quot; at the base, &quot;Attention &amp; Motivation&quot; in the middle, and &quot;Executive Functions&quot; at the top. A chemical structure of psilocybin is depicted on the left, with arrows indicating its influence on all three levels of the pyramid. To the right, a computer icon represents cognitive test performance, which is negatively impacted by the cumulative effects from the pyramid levels. The model suggests that psilocybin acutely alters these cognitive domains, potentially leading to decreased performance on executive function and attention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9872" name="Picture 1" descr="This figure illustrates a multi-level model of psilocybin's acute effects on cognitive test performance. The image shows a pyramid with three levels: &quot;Psychomotor Speed&quot; at the base, &quot;Attention &amp; Motivation&quot; in the middle, and &quot;Executive Functions&quot; at the top. A chemical structure of psilocybin is depicted on the left, with arrows indicating its influence on all three levels of the pyramid. To the right, a computer icon represents cognitive test performance, which is negatively impacted by the cumulative effects from the pyramid levels. The model suggests that psilocybin acutely alters these cognitive domains, potentially leading to decreased performance on executive function and attention task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8240" cy="3698240"/>
                    </a:xfrm>
                    <a:prstGeom prst="rect">
                      <a:avLst/>
                    </a:prstGeom>
                    <a:noFill/>
                    <a:ln>
                      <a:noFill/>
                    </a:ln>
                  </pic:spPr>
                </pic:pic>
              </a:graphicData>
            </a:graphic>
            <wp14:sizeRelH relativeFrom="page">
              <wp14:pctWidth>0</wp14:pctWidth>
            </wp14:sizeRelH>
            <wp14:sizeRelV relativeFrom="page">
              <wp14:pctHeight>0</wp14:pctHeight>
            </wp14:sizeRelV>
          </wp:anchor>
        </w:drawing>
      </w:r>
      <w:r w:rsidR="00DC7AFF" w:rsidRPr="00F7778C">
        <w:rPr>
          <w:rFonts w:ascii="Times New Roman" w:hAnsi="Times New Roman" w:cs="Times New Roman"/>
          <w:b/>
          <w:bCs/>
          <w:color w:val="000000"/>
        </w:rPr>
        <w:t>Figure 8</w:t>
      </w:r>
      <w:r w:rsidR="00DC7AFF" w:rsidRPr="00F7778C">
        <w:rPr>
          <w:rFonts w:ascii="Times New Roman" w:hAnsi="Times New Roman" w:cs="Times New Roman"/>
          <w:color w:val="000000"/>
        </w:rPr>
        <w:t xml:space="preserve">: </w:t>
      </w:r>
      <w:r w:rsidR="00DC7AFF" w:rsidRPr="00F7778C">
        <w:rPr>
          <w:rFonts w:ascii="Times New Roman" w:hAnsi="Times New Roman" w:cs="Times New Roman"/>
          <w:b/>
          <w:bCs/>
          <w:color w:val="000000"/>
        </w:rPr>
        <w:t>Multi-level explanation of the acute effects of psilocybin on reaction time and accuracy in executive function and attention tasks.</w:t>
      </w:r>
    </w:p>
    <w:p w14:paraId="4F44BB3E" w14:textId="05850FD0" w:rsidR="00F7778C" w:rsidRPr="00F7778C" w:rsidRDefault="00F7778C" w:rsidP="00F7778C">
      <w:pPr>
        <w:pBdr>
          <w:top w:val="nil"/>
          <w:left w:val="nil"/>
          <w:bottom w:val="nil"/>
          <w:right w:val="nil"/>
          <w:between w:val="nil"/>
        </w:pBdr>
        <w:spacing w:line="480" w:lineRule="auto"/>
        <w:ind w:firstLine="720"/>
        <w:jc w:val="both"/>
        <w:rPr>
          <w:rFonts w:ascii="Times New Roman" w:eastAsia="Times New Roman" w:hAnsi="Times New Roman" w:cs="Times New Roman"/>
          <w:b/>
          <w:color w:val="000000"/>
        </w:rPr>
      </w:pPr>
      <w:r w:rsidRPr="00F7778C">
        <w:rPr>
          <w:rFonts w:ascii="Times New Roman" w:hAnsi="Times New Roman" w:cs="Times New Roman"/>
          <w:i/>
          <w:iCs/>
          <w:color w:val="000000"/>
        </w:rPr>
        <w:t>Note.</w:t>
      </w:r>
      <w:r w:rsidRPr="00F7778C">
        <w:rPr>
          <w:rFonts w:ascii="Times New Roman" w:hAnsi="Times New Roman" w:cs="Times New Roman"/>
          <w:color w:val="000000"/>
        </w:rPr>
        <w:t xml:space="preserve"> This figure illustrates a theoretical multilevel model delineating the acute effects of psilocybin on cognitive test performance, specifically reaction time and accuracy. Psilocybin may acutely alter executive functions, attention, and motivation, as well as psychomotor speed. These influences can occur independently at each level or interact cumulatively, ultimately resulting in a negative impact on overall task performance.</w:t>
      </w:r>
    </w:p>
    <w:p w14:paraId="5DEAA6D1" w14:textId="77777777" w:rsidR="00144611" w:rsidRDefault="00144611">
      <w:pPr>
        <w:widowControl w:val="0"/>
        <w:tabs>
          <w:tab w:val="left" w:pos="1440"/>
          <w:tab w:val="left" w:pos="2160"/>
          <w:tab w:val="left" w:pos="2880"/>
        </w:tabs>
        <w:spacing w:line="480" w:lineRule="auto"/>
        <w:jc w:val="both"/>
        <w:rPr>
          <w:rFonts w:ascii="Times New Roman" w:eastAsia="Times New Roman" w:hAnsi="Times New Roman" w:cs="Times New Roman"/>
          <w:b/>
          <w:color w:val="000000"/>
        </w:rPr>
      </w:pPr>
    </w:p>
    <w:p w14:paraId="02653837" w14:textId="77777777" w:rsidR="0043370F" w:rsidRPr="0043370F" w:rsidRDefault="0043370F" w:rsidP="0043370F">
      <w:pPr>
        <w:spacing w:line="480" w:lineRule="auto"/>
        <w:jc w:val="both"/>
        <w:rPr>
          <w:rFonts w:ascii="Times New Roman" w:eastAsia="Times New Roman" w:hAnsi="Times New Roman" w:cs="Times New Roman"/>
          <w:lang w:val="en-DE" w:eastAsia="en-DE"/>
        </w:rPr>
      </w:pPr>
      <w:r w:rsidRPr="0043370F">
        <w:rPr>
          <w:rFonts w:ascii="Times New Roman" w:eastAsia="Times New Roman" w:hAnsi="Times New Roman" w:cs="Times New Roman"/>
          <w:b/>
          <w:bCs/>
          <w:i/>
          <w:iCs/>
          <w:color w:val="000000"/>
          <w:lang w:val="en-DE" w:eastAsia="en-DE"/>
        </w:rPr>
        <w:t>Possible factors influencing cognitive task performance: Psychomotor speed</w:t>
      </w:r>
    </w:p>
    <w:p w14:paraId="4BF4957E" w14:textId="77777777" w:rsidR="00937402" w:rsidRPr="00937402" w:rsidRDefault="0043370F" w:rsidP="00937402">
      <w:pPr>
        <w:pStyle w:val="NormalWeb"/>
        <w:spacing w:before="0" w:beforeAutospacing="0" w:after="0" w:afterAutospacing="0" w:line="480" w:lineRule="auto"/>
        <w:jc w:val="both"/>
        <w:rPr>
          <w:rFonts w:eastAsia="Times New Roman" w:cs="Times New Roman"/>
        </w:rPr>
      </w:pPr>
      <w:r w:rsidRPr="0043370F">
        <w:rPr>
          <w:rFonts w:eastAsia="Times New Roman" w:cs="Times New Roman"/>
          <w:color w:val="000000"/>
        </w:rPr>
        <w:tab/>
      </w:r>
      <w:r w:rsidR="00937402" w:rsidRPr="00937402">
        <w:rPr>
          <w:rFonts w:eastAsia="Times New Roman" w:cs="Times New Roman"/>
          <w:color w:val="000000"/>
        </w:rPr>
        <w:t xml:space="preserve">As pointed out above, the moderator analyses indicated that psilocybin's impact on RT is more general rather than specific, with general measures showing a stronger effect than specific ones. Subcomponents of executive functions and attention did not moderate the effect, suggesting </w:t>
      </w:r>
      <w:r w:rsidR="00937402" w:rsidRPr="00937402">
        <w:rPr>
          <w:rFonts w:eastAsia="Times New Roman" w:cs="Times New Roman"/>
          <w:color w:val="000000"/>
        </w:rPr>
        <w:lastRenderedPageBreak/>
        <w:t>psilocybin affects these functions uniformly. These findings imply that basic motor and attention functions shared across these domains might be influenced by psilocybin.</w:t>
      </w:r>
    </w:p>
    <w:p w14:paraId="0117DF50" w14:textId="77777777" w:rsidR="00937402" w:rsidRPr="00937402" w:rsidRDefault="00937402" w:rsidP="00937402">
      <w:pPr>
        <w:spacing w:line="480" w:lineRule="auto"/>
        <w:jc w:val="both"/>
        <w:rPr>
          <w:rFonts w:ascii="Times New Roman" w:eastAsia="Times New Roman" w:hAnsi="Times New Roman" w:cs="Times New Roman"/>
          <w:lang w:val="en-DE" w:eastAsia="en-DE"/>
        </w:rPr>
      </w:pPr>
      <w:r w:rsidRPr="00937402">
        <w:rPr>
          <w:rFonts w:ascii="Times New Roman" w:eastAsia="Times New Roman" w:hAnsi="Times New Roman" w:cs="Times New Roman"/>
          <w:color w:val="000000"/>
          <w:lang w:val="en-DE" w:eastAsia="en-DE"/>
        </w:rPr>
        <w:tab/>
        <w:t>For example, reduction in psychomotor speed negatively impacts RT on a wide range of tasks. In particular, the study by Barrett et al. (2007) found that psilocybin acutely leads to a reduction in psychomotor speed for medium and high doses, but not for low doses. Similarly, Wittmann et al. (2006) found that psilocybin acutely and significantly slowed responses in a motor-praxis task (Wittmann et al., 2006). The observed reduction in psychomotor speed is not surprising, considering that the serotonin system partially modulates the motor system including the motor cortex and basal ganglia circuits (for review, see: Kawashima, 2018). </w:t>
      </w:r>
    </w:p>
    <w:p w14:paraId="0BDEC00E" w14:textId="77777777" w:rsidR="00937402" w:rsidRPr="00937402" w:rsidRDefault="00937402" w:rsidP="00937402">
      <w:pPr>
        <w:spacing w:line="480" w:lineRule="auto"/>
        <w:jc w:val="both"/>
        <w:rPr>
          <w:rFonts w:ascii="Times New Roman" w:eastAsia="Times New Roman" w:hAnsi="Times New Roman" w:cs="Times New Roman"/>
          <w:lang w:val="en-DE" w:eastAsia="en-DE"/>
        </w:rPr>
      </w:pPr>
      <w:r w:rsidRPr="00937402">
        <w:rPr>
          <w:rFonts w:ascii="Times New Roman" w:eastAsia="Times New Roman" w:hAnsi="Times New Roman" w:cs="Times New Roman"/>
          <w:color w:val="000000"/>
          <w:lang w:val="en-DE" w:eastAsia="en-DE"/>
        </w:rPr>
        <w:tab/>
        <w:t xml:space="preserve">As the motor cortex is responsible for the execution of voluntary movements, modulation of 5HT-2a receptor activity through psilocybin could affect motor cortex excitability and thus impact RTs in cognitive tasks by slowing motor response. Other basic functioning areas might be involved in the generalized slowing of RT as well, for example alterations of the sensitivity of the visual system might play a role in the observed effects.  Several studies suggest that psilocybin and other 5HT-2ar agonist inhibit connectivity within the visual pathway, potentially reducing its responsiveness, thus slowing the overall processing speed (Stoliker et al.,2023; Azimi et al., 2020; Evarts et al., 1955; </w:t>
      </w:r>
      <w:proofErr w:type="spellStart"/>
      <w:r w:rsidRPr="00937402">
        <w:rPr>
          <w:rFonts w:ascii="Times New Roman" w:eastAsia="Times New Roman" w:hAnsi="Times New Roman" w:cs="Times New Roman"/>
          <w:color w:val="000000"/>
          <w:lang w:val="en-DE" w:eastAsia="en-DE"/>
        </w:rPr>
        <w:t>Michaiel</w:t>
      </w:r>
      <w:proofErr w:type="spellEnd"/>
      <w:r w:rsidRPr="00937402">
        <w:rPr>
          <w:rFonts w:ascii="Times New Roman" w:eastAsia="Times New Roman" w:hAnsi="Times New Roman" w:cs="Times New Roman"/>
          <w:color w:val="000000"/>
          <w:lang w:val="en-DE" w:eastAsia="en-DE"/>
        </w:rPr>
        <w:t xml:space="preserve"> et al., 2019).</w:t>
      </w:r>
    </w:p>
    <w:p w14:paraId="7B7A9135" w14:textId="77777777" w:rsidR="00937402" w:rsidRPr="00937402" w:rsidRDefault="00937402" w:rsidP="00937402">
      <w:pPr>
        <w:spacing w:line="480" w:lineRule="auto"/>
        <w:ind w:firstLine="720"/>
        <w:jc w:val="both"/>
        <w:rPr>
          <w:rFonts w:ascii="Times New Roman" w:eastAsia="Times New Roman" w:hAnsi="Times New Roman" w:cs="Times New Roman"/>
          <w:lang w:val="en-DE" w:eastAsia="en-DE"/>
        </w:rPr>
      </w:pPr>
      <w:r w:rsidRPr="00937402">
        <w:rPr>
          <w:rFonts w:ascii="Times New Roman" w:eastAsia="Times New Roman" w:hAnsi="Times New Roman" w:cs="Times New Roman"/>
          <w:color w:val="000000"/>
          <w:lang w:val="en-DE" w:eastAsia="en-DE"/>
        </w:rPr>
        <w:t>Taken together, modulation through psilocybin within the motor apparatus as well as the visual pathways might explain parts of the RT slowing observed in our data. However, reduced ACC is not usually observed in individuals with reduced visual or motor functions, which suggests that there might be additional working mechanisms involved. </w:t>
      </w:r>
    </w:p>
    <w:p w14:paraId="28218578" w14:textId="77777777" w:rsidR="00937402" w:rsidRPr="00937402" w:rsidRDefault="00937402" w:rsidP="00937402">
      <w:pPr>
        <w:rPr>
          <w:rFonts w:ascii="Times New Roman" w:eastAsia="Times New Roman" w:hAnsi="Times New Roman" w:cs="Times New Roman"/>
          <w:lang w:val="en-DE" w:eastAsia="en-DE"/>
        </w:rPr>
      </w:pPr>
    </w:p>
    <w:p w14:paraId="290A1B58" w14:textId="77777777" w:rsidR="00937402" w:rsidRPr="00937402" w:rsidRDefault="00937402" w:rsidP="00937402">
      <w:pPr>
        <w:spacing w:line="480" w:lineRule="auto"/>
        <w:jc w:val="both"/>
        <w:rPr>
          <w:rFonts w:ascii="Times New Roman" w:eastAsia="Times New Roman" w:hAnsi="Times New Roman" w:cs="Times New Roman"/>
          <w:lang w:val="en-DE" w:eastAsia="en-DE"/>
        </w:rPr>
      </w:pPr>
      <w:r w:rsidRPr="00937402">
        <w:rPr>
          <w:rFonts w:ascii="Times New Roman" w:eastAsia="Times New Roman" w:hAnsi="Times New Roman" w:cs="Times New Roman"/>
          <w:b/>
          <w:bCs/>
          <w:i/>
          <w:iCs/>
          <w:color w:val="000000"/>
          <w:lang w:val="en-DE" w:eastAsia="en-DE"/>
        </w:rPr>
        <w:t>Possible factors influencing cognitive task performance through attention</w:t>
      </w:r>
    </w:p>
    <w:p w14:paraId="03C7D524" w14:textId="77777777" w:rsidR="00937402" w:rsidRPr="00937402" w:rsidRDefault="00937402" w:rsidP="00937402">
      <w:pPr>
        <w:spacing w:line="480" w:lineRule="auto"/>
        <w:ind w:firstLine="720"/>
        <w:jc w:val="both"/>
        <w:rPr>
          <w:rFonts w:ascii="Times New Roman" w:eastAsia="Times New Roman" w:hAnsi="Times New Roman" w:cs="Times New Roman"/>
          <w:lang w:val="en-DE" w:eastAsia="en-DE"/>
        </w:rPr>
      </w:pPr>
      <w:r w:rsidRPr="00937402">
        <w:rPr>
          <w:rFonts w:ascii="Times New Roman" w:eastAsia="Times New Roman" w:hAnsi="Times New Roman" w:cs="Times New Roman"/>
          <w:color w:val="000000"/>
          <w:lang w:val="en-DE" w:eastAsia="en-DE"/>
        </w:rPr>
        <w:lastRenderedPageBreak/>
        <w:t xml:space="preserve">While parts of the effects of psilocybin on RT might be driven by alterations in basic functions such as motor and visual domains, other parts, in particular the effects on ACC, may be explained through psilocybin’s effect on  attention. Attention is crucial as it dictates which stimuli enter our conscious experience (De </w:t>
      </w:r>
      <w:proofErr w:type="spellStart"/>
      <w:r w:rsidRPr="00937402">
        <w:rPr>
          <w:rFonts w:ascii="Times New Roman" w:eastAsia="Times New Roman" w:hAnsi="Times New Roman" w:cs="Times New Roman"/>
          <w:color w:val="000000"/>
          <w:lang w:val="en-DE" w:eastAsia="en-DE"/>
        </w:rPr>
        <w:t>Brigard</w:t>
      </w:r>
      <w:proofErr w:type="spellEnd"/>
      <w:r w:rsidRPr="00937402">
        <w:rPr>
          <w:rFonts w:ascii="Times New Roman" w:eastAsia="Times New Roman" w:hAnsi="Times New Roman" w:cs="Times New Roman"/>
          <w:color w:val="000000"/>
          <w:lang w:val="en-DE" w:eastAsia="en-DE"/>
        </w:rPr>
        <w:t xml:space="preserve"> and Prinz, 2009) and determines the extent of our engagement with these stimuli (Ki, Kelly and Parra, 2016). This selective focus is essential for goal-oriented </w:t>
      </w:r>
      <w:proofErr w:type="spellStart"/>
      <w:r w:rsidRPr="00937402">
        <w:rPr>
          <w:rFonts w:ascii="Times New Roman" w:eastAsia="Times New Roman" w:hAnsi="Times New Roman" w:cs="Times New Roman"/>
          <w:color w:val="000000"/>
          <w:lang w:val="en-DE" w:eastAsia="en-DE"/>
        </w:rPr>
        <w:t>behavior</w:t>
      </w:r>
      <w:proofErr w:type="spellEnd"/>
      <w:r w:rsidRPr="00937402">
        <w:rPr>
          <w:rFonts w:ascii="Times New Roman" w:eastAsia="Times New Roman" w:hAnsi="Times New Roman" w:cs="Times New Roman"/>
          <w:color w:val="000000"/>
          <w:lang w:val="en-DE" w:eastAsia="en-DE"/>
        </w:rPr>
        <w:t>, suggesting that the alterations observed in RT and ACC could be a result of changes in attentional dynamics induced by psilocybin.</w:t>
      </w:r>
    </w:p>
    <w:p w14:paraId="24487536" w14:textId="77777777" w:rsidR="00937402" w:rsidRPr="00937402" w:rsidRDefault="00937402" w:rsidP="00937402">
      <w:pPr>
        <w:spacing w:before="240" w:after="240" w:line="480" w:lineRule="auto"/>
        <w:ind w:firstLine="720"/>
        <w:jc w:val="both"/>
        <w:rPr>
          <w:rFonts w:ascii="Times New Roman" w:eastAsia="Times New Roman" w:hAnsi="Times New Roman" w:cs="Times New Roman"/>
          <w:lang w:val="en-DE" w:eastAsia="en-DE"/>
        </w:rPr>
      </w:pPr>
      <w:r w:rsidRPr="00937402">
        <w:rPr>
          <w:rFonts w:ascii="Times New Roman" w:eastAsia="Times New Roman" w:hAnsi="Times New Roman" w:cs="Times New Roman"/>
          <w:color w:val="000000"/>
          <w:lang w:val="en-DE" w:eastAsia="en-DE"/>
        </w:rPr>
        <w:t>Attention serves as a fundamental building block for higher cognitive functions (Burgoyne and Engle, 2020; Rose et al., 2003). Adequate attentional resources are essential for optimal task performance, and a lack of attention can lead to reduced performance or slower RTs. Psilocybin's impact on attentional processes can thus significantly influence cognitive task outcomes, which could explain the pattern we observe in our data. When attention is compromised, individuals may find it difficult to maintain focus, adhere to task instructions, or manage distractions effectively, leading to poorer performance across various tasks regardless of their specific demands (</w:t>
      </w:r>
      <w:proofErr w:type="spellStart"/>
      <w:r w:rsidRPr="00937402">
        <w:rPr>
          <w:rFonts w:ascii="Times New Roman" w:eastAsia="Times New Roman" w:hAnsi="Times New Roman" w:cs="Times New Roman"/>
          <w:color w:val="000000"/>
          <w:lang w:val="en-DE" w:eastAsia="en-DE"/>
        </w:rPr>
        <w:t>Prinzmetal</w:t>
      </w:r>
      <w:proofErr w:type="spellEnd"/>
      <w:r w:rsidRPr="00937402">
        <w:rPr>
          <w:rFonts w:ascii="Times New Roman" w:eastAsia="Times New Roman" w:hAnsi="Times New Roman" w:cs="Times New Roman"/>
          <w:color w:val="000000"/>
          <w:lang w:val="en-DE" w:eastAsia="en-DE"/>
        </w:rPr>
        <w:t xml:space="preserve"> et al., 2005). Indeed, Vollenweider et al. (2007) demonstrated significant reductions in performance on the FAIR task, which assess attentional capacity across low, medium, and high doses of psilocybin, during both the peak and post-peak drug effect. This suggests a global negative impact on attentional performance, a trend similarly observed in Hasler et al. (2004), who also used the FAIR task. Furthermore, Carter et al. (2005) reported that attentional tracking was adversely affected by psilocybin under low doses during an attentional object tracking task, proposing that even lower doses of psilocybin can impair attentional capacities. Interestingly, reduced attentional capabilities do not only lead to slower RTs, but also to reduced ACC (see Chen et al., 2022 for recent meta-analysis), which is in line with our findings. This suggests that attention </w:t>
      </w:r>
      <w:r w:rsidRPr="00937402">
        <w:rPr>
          <w:rFonts w:ascii="Times New Roman" w:eastAsia="Times New Roman" w:hAnsi="Times New Roman" w:cs="Times New Roman"/>
          <w:color w:val="000000"/>
          <w:lang w:val="en-DE" w:eastAsia="en-DE"/>
        </w:rPr>
        <w:lastRenderedPageBreak/>
        <w:t>may be a key factor influencing task performance on most (if not all) cognitive tests included in our analysis, as general performance is dependent on attentional capabilities.</w:t>
      </w:r>
    </w:p>
    <w:p w14:paraId="0AC555C3" w14:textId="77777777" w:rsidR="00937402" w:rsidRPr="00937402" w:rsidRDefault="00937402" w:rsidP="00937402">
      <w:pPr>
        <w:spacing w:line="480" w:lineRule="auto"/>
        <w:jc w:val="both"/>
        <w:rPr>
          <w:rFonts w:ascii="Times New Roman" w:eastAsia="Times New Roman" w:hAnsi="Times New Roman" w:cs="Times New Roman"/>
          <w:lang w:val="en-DE" w:eastAsia="en-DE"/>
        </w:rPr>
      </w:pPr>
      <w:r w:rsidRPr="00937402">
        <w:rPr>
          <w:rFonts w:ascii="Times New Roman" w:eastAsia="Times New Roman" w:hAnsi="Times New Roman" w:cs="Times New Roman"/>
          <w:b/>
          <w:bCs/>
          <w:i/>
          <w:iCs/>
          <w:color w:val="000000"/>
          <w:lang w:val="en-DE" w:eastAsia="en-DE"/>
        </w:rPr>
        <w:t>Possible factors influencing cognitive task performance on executive functions. Dual-Task and Cognitive Control</w:t>
      </w:r>
    </w:p>
    <w:p w14:paraId="4F77D5B5" w14:textId="77777777" w:rsidR="00937402" w:rsidRPr="00937402" w:rsidRDefault="00937402" w:rsidP="00937402">
      <w:pPr>
        <w:spacing w:line="480" w:lineRule="auto"/>
        <w:ind w:firstLine="720"/>
        <w:jc w:val="both"/>
        <w:rPr>
          <w:rFonts w:ascii="Times New Roman" w:eastAsia="Times New Roman" w:hAnsi="Times New Roman" w:cs="Times New Roman"/>
          <w:lang w:val="en-DE" w:eastAsia="en-DE"/>
        </w:rPr>
      </w:pPr>
      <w:r w:rsidRPr="00937402">
        <w:rPr>
          <w:rFonts w:ascii="Times New Roman" w:eastAsia="Times New Roman" w:hAnsi="Times New Roman" w:cs="Times New Roman"/>
          <w:color w:val="000000"/>
          <w:lang w:val="en-DE" w:eastAsia="en-DE"/>
        </w:rPr>
        <w:t>It is essential to consider that the effects of psilocybin may extend beyond basic sensory and motor functions, as well as attention, to also encompass higher-level cognitive processes. Our results share similarities with those observed in task assessing dual-task interference paradigms. The dual-task interference theory posits that the processing of multiple interfering processes leads to a cognitive cost in the form of slowing of RT and drops in ACC (Koch et al., 2018; Wickens, 2002; Stets et al., 2020; Kiesel et al., 2010; Leone et al., 2017). In the case of cognitive research during the acute phase of psilocybin, managing the intense subjective experiences of the psychedelic trip itself could act as a secondary task, demanding significant cognitive resources. This theory is supported by research showing that dual-task processing often leads to slower RTs and decreased ACC due to rapid task switching and cognitive recalibration. These processes involve ignoring interferences, implementing new task rules, and updating working memory (Shallice et al., 1996; Shallice &amp; Burgess, 1991; Burgess et al., 2007; Strayer et al., 2006; Strayer &amp; Johnston, 2001; Chen and Hsieh, 2023; Wylie and Allport, 2000; Monsell, 2003; Kieffaber and Hetrick, 2005; Snyder et al., 2021). Thus, the cognitive load induced by psilocybin's subjective effects could theoretically introduce additional cognitive costs similar to those observed in dual-task scenarios, impacting RT and ACC (see Figure 9).</w:t>
      </w:r>
    </w:p>
    <w:p w14:paraId="2E9617BD" w14:textId="6972B422" w:rsidR="00937402" w:rsidRPr="00B03302" w:rsidRDefault="00937402" w:rsidP="00937402">
      <w:pPr>
        <w:spacing w:line="480" w:lineRule="auto"/>
        <w:ind w:firstLine="720"/>
        <w:jc w:val="both"/>
        <w:rPr>
          <w:rFonts w:ascii="Times New Roman" w:eastAsia="Times New Roman" w:hAnsi="Times New Roman" w:cs="Times New Roman"/>
          <w:lang w:val="en-DE" w:eastAsia="en-DE"/>
        </w:rPr>
      </w:pPr>
      <w:r w:rsidRPr="00937402">
        <w:rPr>
          <w:rFonts w:ascii="Times New Roman" w:eastAsia="Times New Roman" w:hAnsi="Times New Roman" w:cs="Times New Roman"/>
          <w:color w:val="000000"/>
          <w:lang w:val="en-DE" w:eastAsia="en-DE"/>
        </w:rPr>
        <w:t xml:space="preserve">This becomes even more apparent when considering the verbal accounts of participants in these circumstances. The profound and captivating nature of the psychedelic experience often creates a mismatch between what participants find meaningful and the tasks expected by </w:t>
      </w:r>
      <w:r w:rsidRPr="00937402">
        <w:rPr>
          <w:rFonts w:ascii="Times New Roman" w:eastAsia="Times New Roman" w:hAnsi="Times New Roman" w:cs="Times New Roman"/>
          <w:color w:val="000000"/>
          <w:lang w:val="en-DE" w:eastAsia="en-DE"/>
        </w:rPr>
        <w:lastRenderedPageBreak/>
        <w:t>experimenters, thus interfering with the primary task (for discussion, see: Langlitz, 2013). For example, McCulloch et al. (2021) reported a participant from a LSD trial expressing a deep existential insight yet feeling constrained by the mundane requirement to "look into a TV-screen." Similarly, Robinson (1966) noted a participant's disinterest in test stimuli, stating a desire to immerse themselves in the experience rather than perform experimental tasks. These accounts illustrate that the intense nature of these experiences not only imposes substantial cognitive demands, potentially causing a dual-task-interference-like cost,  but may also diminish participants' motivation to fully engage with the primary task.</w:t>
      </w:r>
    </w:p>
    <w:p w14:paraId="3735E876" w14:textId="0E13AE01" w:rsidR="0043370F" w:rsidRPr="00FF46F7" w:rsidRDefault="004C5D2C">
      <w:pPr>
        <w:widowControl w:val="0"/>
        <w:tabs>
          <w:tab w:val="left" w:pos="1440"/>
          <w:tab w:val="left" w:pos="2160"/>
          <w:tab w:val="left" w:pos="2880"/>
        </w:tabs>
        <w:spacing w:line="480" w:lineRule="auto"/>
        <w:jc w:val="both"/>
        <w:rPr>
          <w:rFonts w:ascii="Times New Roman" w:eastAsia="Times New Roman" w:hAnsi="Times New Roman" w:cs="Times New Roman"/>
          <w:b/>
          <w:bCs/>
        </w:rPr>
      </w:pPr>
      <w:r w:rsidRPr="00FF46F7">
        <w:rPr>
          <w:rFonts w:ascii="Times New Roman" w:hAnsi="Times New Roman" w:cs="Times New Roman"/>
          <w:b/>
          <w:bCs/>
          <w:color w:val="000000"/>
        </w:rPr>
        <w:t xml:space="preserve">Figure 9: Hypothetical Impact of Psilocybin on cognitive </w:t>
      </w:r>
      <w:r w:rsidRPr="00FF46F7">
        <w:rPr>
          <w:rFonts w:ascii="Times New Roman" w:hAnsi="Times New Roman" w:cs="Times New Roman"/>
          <w:b/>
          <w:bCs/>
          <w:color w:val="000000"/>
          <w:sz w:val="26"/>
          <w:szCs w:val="26"/>
        </w:rPr>
        <w:t>t</w:t>
      </w:r>
      <w:r w:rsidRPr="00FF46F7">
        <w:rPr>
          <w:rFonts w:ascii="Times New Roman" w:hAnsi="Times New Roman" w:cs="Times New Roman"/>
          <w:b/>
          <w:bCs/>
          <w:color w:val="000000"/>
        </w:rPr>
        <w:t>ask processing: Switching and Cognitive Costs</w:t>
      </w:r>
    </w:p>
    <w:p w14:paraId="253BAC9F" w14:textId="0CF55BE3" w:rsidR="004C5D2C" w:rsidRPr="00FF46F7" w:rsidRDefault="004C5D2C">
      <w:pPr>
        <w:widowControl w:val="0"/>
        <w:tabs>
          <w:tab w:val="left" w:pos="1440"/>
          <w:tab w:val="left" w:pos="2160"/>
          <w:tab w:val="left" w:pos="2880"/>
        </w:tabs>
        <w:spacing w:line="480" w:lineRule="auto"/>
        <w:jc w:val="both"/>
        <w:rPr>
          <w:rFonts w:ascii="Times New Roman" w:eastAsia="Times New Roman" w:hAnsi="Times New Roman" w:cs="Times New Roman"/>
          <w:b/>
          <w:color w:val="000000"/>
        </w:rPr>
      </w:pPr>
      <w:r w:rsidRPr="00FF46F7">
        <w:rPr>
          <w:rFonts w:ascii="Times New Roman" w:hAnsi="Times New Roman" w:cs="Times New Roman"/>
          <w:noProof/>
          <w:bdr w:val="none" w:sz="0" w:space="0" w:color="auto" w:frame="1"/>
        </w:rPr>
        <w:drawing>
          <wp:inline distT="0" distB="0" distL="0" distR="0" wp14:anchorId="403A362F" wp14:editId="5BA38980">
            <wp:extent cx="5943600" cy="4231640"/>
            <wp:effectExtent l="0" t="0" r="0" b="0"/>
            <wp:docPr id="1997801303" name="Picture 2" descr="This figure illustrates the hypothetical impact of psilocybin on cognitive task processing, focusing on switching and cognitive costs. It consists of four panels (A-D) showing different task scenarios: single task, dual task, cognitive costs comparison, and single task under psilocybin influence. In panels A, B, and D, stick figures represent participants engaging with computer screens, while panel C shows a bar graph comparing cognitive costs across different conditions. The figure suggests that performing a cognitive task while experiencing psilocybin-induced effects may introduce dual-task-like costs, similar to those observed when rapidly switching between two distinct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01303" name="Picture 2" descr="This figure illustrates the hypothetical impact of psilocybin on cognitive task processing, focusing on switching and cognitive costs. It consists of four panels (A-D) showing different task scenarios: single task, dual task, cognitive costs comparison, and single task under psilocybin influence. In panels A, B, and D, stick figures represent participants engaging with computer screens, while panel C shows a bar graph comparing cognitive costs across different conditions. The figure suggests that performing a cognitive task while experiencing psilocybin-induced effects may introduce dual-task-like costs, similar to those observed when rapidly switching between two distinct tas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5DF3BB46" w14:textId="78D0DD5D" w:rsidR="006D542C" w:rsidRDefault="00FF46F7" w:rsidP="003A432D">
      <w:pPr>
        <w:widowControl w:val="0"/>
        <w:tabs>
          <w:tab w:val="left" w:pos="1440"/>
          <w:tab w:val="left" w:pos="2160"/>
          <w:tab w:val="left" w:pos="2880"/>
        </w:tabs>
        <w:spacing w:line="480" w:lineRule="auto"/>
        <w:ind w:firstLine="720"/>
        <w:jc w:val="both"/>
        <w:rPr>
          <w:rFonts w:ascii="Times New Roman" w:eastAsia="Times New Roman" w:hAnsi="Times New Roman" w:cs="Times New Roman"/>
          <w:b/>
          <w:color w:val="000000"/>
        </w:rPr>
      </w:pPr>
      <w:r w:rsidRPr="00FF46F7">
        <w:rPr>
          <w:rFonts w:ascii="Times New Roman" w:hAnsi="Times New Roman" w:cs="Times New Roman"/>
          <w:i/>
          <w:iCs/>
          <w:color w:val="000000"/>
        </w:rPr>
        <w:t>Note.</w:t>
      </w:r>
      <w:r w:rsidRPr="00FF46F7">
        <w:rPr>
          <w:rFonts w:ascii="Times New Roman" w:hAnsi="Times New Roman" w:cs="Times New Roman"/>
          <w:color w:val="000000"/>
        </w:rPr>
        <w:t xml:space="preserve"> Schematic illustration of how psilocybin might acutely impact executive function </w:t>
      </w:r>
      <w:r w:rsidRPr="00FF46F7">
        <w:rPr>
          <w:rFonts w:ascii="Times New Roman" w:hAnsi="Times New Roman" w:cs="Times New Roman"/>
          <w:color w:val="000000"/>
        </w:rPr>
        <w:lastRenderedPageBreak/>
        <w:t xml:space="preserve">performance and attention due to a dual-task-like scenario. </w:t>
      </w:r>
      <w:r w:rsidRPr="00FF46F7">
        <w:rPr>
          <w:rFonts w:ascii="Times New Roman" w:hAnsi="Times New Roman" w:cs="Times New Roman"/>
          <w:b/>
          <w:bCs/>
          <w:color w:val="000000"/>
        </w:rPr>
        <w:t xml:space="preserve">A) </w:t>
      </w:r>
      <w:r w:rsidRPr="00FF46F7">
        <w:rPr>
          <w:rFonts w:ascii="Times New Roman" w:hAnsi="Times New Roman" w:cs="Times New Roman"/>
          <w:color w:val="000000"/>
        </w:rPr>
        <w:t xml:space="preserve">During a single task, participants have little to no switching costs, as no second task has to be performed. </w:t>
      </w:r>
      <w:r w:rsidRPr="00FF46F7">
        <w:rPr>
          <w:rFonts w:ascii="Times New Roman" w:hAnsi="Times New Roman" w:cs="Times New Roman"/>
          <w:b/>
          <w:bCs/>
          <w:color w:val="000000"/>
        </w:rPr>
        <w:t>B)</w:t>
      </w:r>
      <w:r w:rsidRPr="00FF46F7">
        <w:rPr>
          <w:rFonts w:ascii="Times New Roman" w:hAnsi="Times New Roman" w:cs="Times New Roman"/>
          <w:color w:val="000000"/>
        </w:rPr>
        <w:t xml:space="preserve"> During a true dual-task, participants are rapidly switching between the tasks, at a cost of reduced RT. </w:t>
      </w:r>
      <w:r w:rsidRPr="00FF46F7">
        <w:rPr>
          <w:rFonts w:ascii="Times New Roman" w:hAnsi="Times New Roman" w:cs="Times New Roman"/>
          <w:b/>
          <w:bCs/>
          <w:color w:val="000000"/>
        </w:rPr>
        <w:t xml:space="preserve">C) </w:t>
      </w:r>
      <w:r w:rsidRPr="00FF46F7">
        <w:rPr>
          <w:rFonts w:ascii="Times New Roman" w:hAnsi="Times New Roman" w:cs="Times New Roman"/>
          <w:color w:val="000000"/>
        </w:rPr>
        <w:t>Hypothetical representation of cognitive costs associated with switching. The switching cost between doing tasks or doing one task and having a psychedelic experience are similarly high</w:t>
      </w:r>
      <w:r w:rsidRPr="00FF46F7">
        <w:rPr>
          <w:rFonts w:ascii="Times New Roman" w:hAnsi="Times New Roman" w:cs="Times New Roman"/>
          <w:b/>
          <w:bCs/>
          <w:color w:val="000000"/>
        </w:rPr>
        <w:t xml:space="preserve">, </w:t>
      </w:r>
      <w:r w:rsidRPr="00FF46F7">
        <w:rPr>
          <w:rFonts w:ascii="Times New Roman" w:hAnsi="Times New Roman" w:cs="Times New Roman"/>
          <w:color w:val="000000"/>
        </w:rPr>
        <w:t> </w:t>
      </w:r>
      <w:r w:rsidRPr="00FF46F7">
        <w:rPr>
          <w:rFonts w:ascii="Times New Roman" w:hAnsi="Times New Roman" w:cs="Times New Roman"/>
          <w:b/>
          <w:bCs/>
          <w:color w:val="000000"/>
        </w:rPr>
        <w:t>D)</w:t>
      </w:r>
      <w:r w:rsidRPr="00FF46F7">
        <w:rPr>
          <w:rFonts w:ascii="Times New Roman" w:hAnsi="Times New Roman" w:cs="Times New Roman"/>
          <w:color w:val="000000"/>
        </w:rPr>
        <w:t xml:space="preserve"> Performing a cognitive task, while experiencing psychedelic-induced subjective experiences could introduce dual-task-like costs.</w:t>
      </w:r>
    </w:p>
    <w:p w14:paraId="47AF1F5C" w14:textId="77777777" w:rsidR="003A432D" w:rsidRPr="006D542C" w:rsidRDefault="003A432D" w:rsidP="003A432D">
      <w:pPr>
        <w:widowControl w:val="0"/>
        <w:tabs>
          <w:tab w:val="left" w:pos="1440"/>
          <w:tab w:val="left" w:pos="2160"/>
          <w:tab w:val="left" w:pos="2880"/>
        </w:tabs>
        <w:spacing w:line="480" w:lineRule="auto"/>
        <w:ind w:firstLine="720"/>
        <w:jc w:val="both"/>
        <w:rPr>
          <w:rFonts w:ascii="Times New Roman" w:eastAsia="Times New Roman" w:hAnsi="Times New Roman" w:cs="Times New Roman"/>
          <w:b/>
          <w:color w:val="000000"/>
        </w:rPr>
      </w:pPr>
    </w:p>
    <w:p w14:paraId="58B49564" w14:textId="77777777" w:rsidR="003A432D" w:rsidRPr="003A432D" w:rsidRDefault="003A432D" w:rsidP="003A432D">
      <w:pPr>
        <w:spacing w:line="480" w:lineRule="auto"/>
        <w:ind w:firstLine="720"/>
        <w:jc w:val="both"/>
        <w:rPr>
          <w:rFonts w:ascii="Times New Roman" w:eastAsia="Times New Roman" w:hAnsi="Times New Roman" w:cs="Times New Roman"/>
          <w:lang w:val="en-DE" w:eastAsia="en-DE"/>
        </w:rPr>
      </w:pPr>
      <w:r w:rsidRPr="003A432D">
        <w:rPr>
          <w:rFonts w:ascii="Times New Roman" w:eastAsia="Times New Roman" w:hAnsi="Times New Roman" w:cs="Times New Roman"/>
          <w:color w:val="000000"/>
          <w:lang w:val="en-DE" w:eastAsia="en-DE"/>
        </w:rPr>
        <w:t xml:space="preserve">The results of our meta-analysis also align with the </w:t>
      </w:r>
      <w:proofErr w:type="spellStart"/>
      <w:r w:rsidRPr="003A432D">
        <w:rPr>
          <w:rFonts w:ascii="Times New Roman" w:eastAsia="Times New Roman" w:hAnsi="Times New Roman" w:cs="Times New Roman"/>
          <w:color w:val="000000"/>
          <w:lang w:val="en-DE" w:eastAsia="en-DE"/>
        </w:rPr>
        <w:t>claustro</w:t>
      </w:r>
      <w:proofErr w:type="spellEnd"/>
      <w:r w:rsidRPr="003A432D">
        <w:rPr>
          <w:rFonts w:ascii="Times New Roman" w:eastAsia="Times New Roman" w:hAnsi="Times New Roman" w:cs="Times New Roman"/>
          <w:color w:val="000000"/>
          <w:lang w:val="en-DE" w:eastAsia="en-DE"/>
        </w:rPr>
        <w:t>-cortical-circuit network (CCC-Network) disruption hypothesis (Doss et al., 2022). While empirical evidence is limited, one fMRI study suggests psilocybin transiently disrupts higher-level cognitive control mechanisms through 5HT-2Ar mediated desynchronisation in the CCC-Network (Barrett et al., 2020). The claustrum, a highly interconnected subcortical structure rich in serotonin receptors (Mathur, 2014; Nichols, 2016; Nichols et al., 2017, Cortes et al., 1989), is crucial for cognitive control (Atlan et al., 2018; Krimmel et al., 2019; White and Mathur, 2018; White et al., 2017). Cognitive control involves allocating attentional resources to task-relevant processes while ignoring distractions (Lavie, 2010; Miller, 2000; O'Reilly et al., 2010) and governs task switching abilities (Egner, 2023; Meiran, 2000). Disruption of the CCC-network by psilocybin could explain the observed drop in task performance, as reduced cognitive control is less efficient in guiding attention towards task-relevant stimuli.</w:t>
      </w:r>
    </w:p>
    <w:p w14:paraId="3A5BEBAC" w14:textId="1B4135BF" w:rsidR="003A432D" w:rsidRPr="003A432D" w:rsidRDefault="003A432D" w:rsidP="003A432D">
      <w:pPr>
        <w:spacing w:line="480" w:lineRule="auto"/>
        <w:ind w:firstLine="720"/>
        <w:jc w:val="both"/>
        <w:rPr>
          <w:rFonts w:ascii="Times New Roman" w:eastAsia="Times New Roman" w:hAnsi="Times New Roman" w:cs="Times New Roman"/>
          <w:lang w:val="en-DE" w:eastAsia="en-DE"/>
        </w:rPr>
      </w:pPr>
      <w:r w:rsidRPr="003A432D">
        <w:rPr>
          <w:rFonts w:ascii="Times New Roman" w:eastAsia="Times New Roman" w:hAnsi="Times New Roman" w:cs="Times New Roman"/>
          <w:color w:val="000000"/>
          <w:lang w:val="en-DE" w:eastAsia="en-DE"/>
        </w:rPr>
        <w:t xml:space="preserve">In summation, psilocybin's impact on executive function and attention task performance may involve multiple mechanisms across different neural and cognitive levels (see fig 8). The pronounced effects on reaction time indicate that more basic functions may play a substantial role. </w:t>
      </w:r>
      <w:r w:rsidRPr="003A432D">
        <w:rPr>
          <w:rFonts w:ascii="Times New Roman" w:eastAsia="Times New Roman" w:hAnsi="Times New Roman" w:cs="Times New Roman"/>
          <w:color w:val="000000"/>
          <w:lang w:val="en-DE" w:eastAsia="en-DE"/>
        </w:rPr>
        <w:lastRenderedPageBreak/>
        <w:t>However, given the multifaceted nature of psilocybin's acute effects, we argue that all levels—executive functions, attention, motivation, and psychomotor speed—are likely affected, leading to a cumulative negative impact on cognitive task performance. This is important to consider when assessing cognition in the acute phase, highlighting the need for changes in evaluation methods to account for these multi-level impacts.</w:t>
      </w:r>
    </w:p>
    <w:p w14:paraId="736CECE3" w14:textId="77777777" w:rsidR="003A432D" w:rsidRPr="003A432D" w:rsidRDefault="003A432D" w:rsidP="003A432D">
      <w:pPr>
        <w:spacing w:line="480" w:lineRule="auto"/>
        <w:jc w:val="both"/>
        <w:rPr>
          <w:rFonts w:ascii="Times New Roman" w:eastAsia="Times New Roman" w:hAnsi="Times New Roman" w:cs="Times New Roman"/>
          <w:lang w:val="en-DE" w:eastAsia="en-DE"/>
        </w:rPr>
      </w:pPr>
      <w:r w:rsidRPr="003A432D">
        <w:rPr>
          <w:rFonts w:ascii="Times New Roman" w:eastAsia="Times New Roman" w:hAnsi="Times New Roman" w:cs="Times New Roman"/>
          <w:b/>
          <w:bCs/>
          <w:color w:val="000000"/>
          <w:lang w:val="en-DE" w:eastAsia="en-DE"/>
        </w:rPr>
        <w:t>Recommendations for future assessment of cognition under the influence of psychedelics</w:t>
      </w:r>
    </w:p>
    <w:p w14:paraId="34C8C4A4" w14:textId="77777777" w:rsidR="003A432D" w:rsidRPr="003A432D" w:rsidRDefault="003A432D" w:rsidP="003A432D">
      <w:pPr>
        <w:spacing w:line="480" w:lineRule="auto"/>
        <w:ind w:firstLine="720"/>
        <w:jc w:val="both"/>
        <w:rPr>
          <w:rFonts w:ascii="Times New Roman" w:eastAsia="Times New Roman" w:hAnsi="Times New Roman" w:cs="Times New Roman"/>
          <w:lang w:val="en-DE" w:eastAsia="en-DE"/>
        </w:rPr>
      </w:pPr>
      <w:r w:rsidRPr="003A432D">
        <w:rPr>
          <w:rFonts w:ascii="Times New Roman" w:eastAsia="Times New Roman" w:hAnsi="Times New Roman" w:cs="Times New Roman"/>
          <w:color w:val="000000"/>
          <w:lang w:val="en-DE" w:eastAsia="en-DE"/>
        </w:rPr>
        <w:t>To directly assess some of the mechanisms that drive the observed effects, a thought-probe mind-wandering paradigm (Franklin, Smallwood &amp; Schooler, 2011) could be employed to evaluate dual-task interference and attention. This method would determine if participants are more readily distracted by their psychedelic experiences, suggesting that psilocybin increases the frequency of off-task thoughts and experiences, leading to greater impairments in cognitive performance.</w:t>
      </w:r>
    </w:p>
    <w:p w14:paraId="68DAFE57" w14:textId="6731EC1A" w:rsidR="003A432D" w:rsidRPr="003A432D" w:rsidRDefault="003A432D" w:rsidP="003A432D">
      <w:pPr>
        <w:spacing w:line="480" w:lineRule="auto"/>
        <w:ind w:firstLine="720"/>
        <w:jc w:val="both"/>
        <w:rPr>
          <w:rFonts w:ascii="Times New Roman" w:eastAsia="Times New Roman" w:hAnsi="Times New Roman" w:cs="Times New Roman"/>
          <w:lang w:val="en-DE" w:eastAsia="en-DE"/>
        </w:rPr>
      </w:pPr>
      <w:r w:rsidRPr="003A432D">
        <w:rPr>
          <w:rFonts w:ascii="Times New Roman" w:eastAsia="Times New Roman" w:hAnsi="Times New Roman" w:cs="Times New Roman"/>
          <w:color w:val="000000"/>
          <w:lang w:val="en-DE" w:eastAsia="en-DE"/>
        </w:rPr>
        <w:t xml:space="preserve">Alternatively,  novel test paradigms could be used instead of traditional cognitive tests as the latter may not fully capture the broad and overlapping effects of psilocybin on multiple levels. One promising direction is the incorporation of no-response or task-free paradigms (e.g. eye-tracking or experience sampling), inspired by consciousness research, which can provide insights into cognitive function without relying on conventional task performance measures (for review see Duman et al., 2022; </w:t>
      </w:r>
      <w:proofErr w:type="spellStart"/>
      <w:r w:rsidRPr="003A432D">
        <w:rPr>
          <w:rFonts w:ascii="Times New Roman" w:eastAsia="Times New Roman" w:hAnsi="Times New Roman" w:cs="Times New Roman"/>
          <w:color w:val="000000"/>
          <w:lang w:val="en-DE" w:eastAsia="en-DE"/>
        </w:rPr>
        <w:t>Baror</w:t>
      </w:r>
      <w:proofErr w:type="spellEnd"/>
      <w:r w:rsidRPr="003A432D">
        <w:rPr>
          <w:rFonts w:ascii="Times New Roman" w:eastAsia="Times New Roman" w:hAnsi="Times New Roman" w:cs="Times New Roman"/>
          <w:color w:val="000000"/>
          <w:lang w:val="en-DE" w:eastAsia="en-DE"/>
        </w:rPr>
        <w:t xml:space="preserve"> and He, 2021). This approach could help mitigate the confounding effects of psilocybin on cognitive tasks, offering a more accurate assessment of its impact on cognitive processes.</w:t>
      </w:r>
    </w:p>
    <w:p w14:paraId="345C31B0" w14:textId="77777777" w:rsidR="003A432D" w:rsidRPr="003A432D" w:rsidRDefault="003A432D" w:rsidP="003A432D">
      <w:pPr>
        <w:spacing w:line="480" w:lineRule="auto"/>
        <w:jc w:val="both"/>
        <w:rPr>
          <w:rFonts w:ascii="Times New Roman" w:eastAsia="Times New Roman" w:hAnsi="Times New Roman" w:cs="Times New Roman"/>
          <w:lang w:val="en-DE" w:eastAsia="en-DE"/>
        </w:rPr>
      </w:pPr>
      <w:r w:rsidRPr="003A432D">
        <w:rPr>
          <w:rFonts w:ascii="Times New Roman" w:eastAsia="Times New Roman" w:hAnsi="Times New Roman" w:cs="Times New Roman"/>
          <w:b/>
          <w:bCs/>
          <w:color w:val="000000"/>
          <w:lang w:val="en-DE" w:eastAsia="en-DE"/>
        </w:rPr>
        <w:t>Lack of long-term assessment of psilocybin on executive functions and attention</w:t>
      </w:r>
    </w:p>
    <w:p w14:paraId="0519C15C" w14:textId="27992D41" w:rsidR="003A432D" w:rsidRPr="003A432D" w:rsidRDefault="003A432D" w:rsidP="003A432D">
      <w:pPr>
        <w:spacing w:line="480" w:lineRule="auto"/>
        <w:ind w:firstLine="720"/>
        <w:jc w:val="both"/>
        <w:rPr>
          <w:rFonts w:ascii="Times New Roman" w:eastAsia="Times New Roman" w:hAnsi="Times New Roman" w:cs="Times New Roman"/>
          <w:lang w:val="en-DE" w:eastAsia="en-DE"/>
        </w:rPr>
      </w:pPr>
      <w:r w:rsidRPr="003A432D">
        <w:rPr>
          <w:rFonts w:ascii="Times New Roman" w:eastAsia="Times New Roman" w:hAnsi="Times New Roman" w:cs="Times New Roman"/>
          <w:color w:val="000000"/>
          <w:lang w:val="en-DE" w:eastAsia="en-DE"/>
        </w:rPr>
        <w:t xml:space="preserve">A major limitation of this meta-analysis is that the results focus exclusively on the acute effects of psilocybin on cognition, as there were almost no studies with measurements at later time </w:t>
      </w:r>
      <w:r w:rsidRPr="003A432D">
        <w:rPr>
          <w:rFonts w:ascii="Times New Roman" w:eastAsia="Times New Roman" w:hAnsi="Times New Roman" w:cs="Times New Roman"/>
          <w:color w:val="000000"/>
          <w:lang w:val="en-DE" w:eastAsia="en-DE"/>
        </w:rPr>
        <w:lastRenderedPageBreak/>
        <w:t xml:space="preserve">points that met our inclusion criteria. The only exception was the previously discussed study by Doss et al., (2021) where improvements in cognitive flexibility were observed up to one month after the treatment (Doss et al., 2021), which lasted up to a year for the majority of the participants (Gukasyan, 2022). Further, a recent large scale self-report based longitudinal study involving 2,503 older adults (average age 64 ± 11 years), showed that psychedelic use within the 12 months prior to assessment was linked to faster RT and increased ACC in an executive function task battery in addition to fewer depressive symptoms, although no similar effect was observed for episodic memory (Fearn et al., 2024). This goes to show that </w:t>
      </w:r>
      <w:r w:rsidRPr="003A432D">
        <w:rPr>
          <w:rFonts w:ascii="Times New Roman" w:eastAsia="Times New Roman" w:hAnsi="Times New Roman" w:cs="Times New Roman"/>
          <w:color w:val="000000"/>
          <w:shd w:val="clear" w:color="auto" w:fill="FFFFFF"/>
          <w:lang w:val="en-DE" w:eastAsia="en-DE"/>
        </w:rPr>
        <w:t>contrary to the acute slowing of RTs and reduced ACC under the influence of psychedelics observed in our study, more recent</w:t>
      </w:r>
      <w:r w:rsidRPr="003A432D">
        <w:rPr>
          <w:rFonts w:ascii="Times New Roman" w:eastAsia="Times New Roman" w:hAnsi="Times New Roman" w:cs="Times New Roman"/>
          <w:color w:val="000000"/>
          <w:lang w:val="en-DE" w:eastAsia="en-DE"/>
        </w:rPr>
        <w:t xml:space="preserve"> studies are pointing towards potential long-term cognitive benefits. </w:t>
      </w:r>
      <w:r w:rsidRPr="003A432D">
        <w:rPr>
          <w:rFonts w:ascii="Times New Roman" w:eastAsia="Times New Roman" w:hAnsi="Times New Roman" w:cs="Times New Roman"/>
          <w:color w:val="000000"/>
          <w:shd w:val="clear" w:color="auto" w:fill="FFFFFF"/>
          <w:lang w:val="en-DE" w:eastAsia="en-DE"/>
        </w:rPr>
        <w:t>Some studies suggest that these long term changes might be</w:t>
      </w:r>
      <w:r w:rsidRPr="003A432D">
        <w:rPr>
          <w:rFonts w:ascii="Times New Roman" w:eastAsia="Times New Roman" w:hAnsi="Times New Roman" w:cs="Times New Roman"/>
          <w:color w:val="000000"/>
          <w:lang w:val="en-DE" w:eastAsia="en-DE"/>
        </w:rPr>
        <w:t xml:space="preserve"> mediated and facilitated by an increase in neuronal plasticity after psychedelics use (for review see Calder and Hasler, 2023), but to our knowledge, the link between psychedelics induced neuroplasticity and cognitive performance has yet to be investigated. </w:t>
      </w:r>
      <w:r w:rsidRPr="003A432D">
        <w:rPr>
          <w:rFonts w:ascii="Times New Roman" w:eastAsia="Times New Roman" w:hAnsi="Times New Roman" w:cs="Times New Roman"/>
          <w:color w:val="000000"/>
          <w:shd w:val="clear" w:color="auto" w:fill="FFFFFF"/>
          <w:lang w:val="en-DE" w:eastAsia="en-DE"/>
        </w:rPr>
        <w:t>Thus, further research is needed to establish a clearer picture on the mechanisms that guide the acute functional disturbances, as well as potential long-term benefits. </w:t>
      </w:r>
    </w:p>
    <w:p w14:paraId="481B9121" w14:textId="77777777" w:rsidR="003A432D" w:rsidRPr="003A432D" w:rsidRDefault="003A432D" w:rsidP="003A432D">
      <w:pPr>
        <w:spacing w:line="480" w:lineRule="auto"/>
        <w:jc w:val="both"/>
        <w:rPr>
          <w:rFonts w:ascii="Times New Roman" w:eastAsia="Times New Roman" w:hAnsi="Times New Roman" w:cs="Times New Roman"/>
          <w:lang w:val="en-DE" w:eastAsia="en-DE"/>
        </w:rPr>
      </w:pPr>
      <w:r w:rsidRPr="003A432D">
        <w:rPr>
          <w:rFonts w:ascii="Times New Roman" w:eastAsia="Times New Roman" w:hAnsi="Times New Roman" w:cs="Times New Roman"/>
          <w:b/>
          <w:bCs/>
          <w:color w:val="000000"/>
          <w:lang w:val="en-DE" w:eastAsia="en-DE"/>
        </w:rPr>
        <w:t>Implications of the meta-analytic results on safety </w:t>
      </w:r>
    </w:p>
    <w:p w14:paraId="260359A6" w14:textId="4F6ACB9D" w:rsidR="003A432D" w:rsidRPr="003A432D" w:rsidRDefault="003A432D" w:rsidP="003A432D">
      <w:pPr>
        <w:spacing w:line="480" w:lineRule="auto"/>
        <w:ind w:firstLine="720"/>
        <w:jc w:val="both"/>
        <w:rPr>
          <w:rFonts w:ascii="Times New Roman" w:eastAsia="Times New Roman" w:hAnsi="Times New Roman" w:cs="Times New Roman"/>
          <w:lang w:val="en-DE" w:eastAsia="en-DE"/>
        </w:rPr>
      </w:pPr>
      <w:r w:rsidRPr="003A432D">
        <w:rPr>
          <w:rFonts w:ascii="Times New Roman" w:eastAsia="Times New Roman" w:hAnsi="Times New Roman" w:cs="Times New Roman"/>
          <w:color w:val="000000"/>
          <w:lang w:val="en-DE" w:eastAsia="en-DE"/>
        </w:rPr>
        <w:t xml:space="preserve">The results of our meta-analysis underscores the necessity for adequate supervision in therapeutic and recreational settings where psilocybin is being used. Although the negative impact on cognition is most likely transient, the exact duration of this influence remains unclear, as adequately assessing side effects in psychedelic studies has been challenging (for discussion, see </w:t>
      </w:r>
      <w:proofErr w:type="spellStart"/>
      <w:r w:rsidRPr="003A432D">
        <w:rPr>
          <w:rFonts w:ascii="Times New Roman" w:eastAsia="Times New Roman" w:hAnsi="Times New Roman" w:cs="Times New Roman"/>
          <w:color w:val="000000"/>
          <w:lang w:val="en-DE" w:eastAsia="en-DE"/>
        </w:rPr>
        <w:t>Breeksema</w:t>
      </w:r>
      <w:proofErr w:type="spellEnd"/>
      <w:r w:rsidRPr="003A432D">
        <w:rPr>
          <w:rFonts w:ascii="Times New Roman" w:eastAsia="Times New Roman" w:hAnsi="Times New Roman" w:cs="Times New Roman"/>
          <w:color w:val="000000"/>
          <w:lang w:val="en-DE" w:eastAsia="en-DE"/>
        </w:rPr>
        <w:t xml:space="preserve">, 2022). Thus, it is particularly relevant for patients and participants to avoid potentially hazardous situations, such as participating in traffic or operating heavy machinery, during the acute phases and the following days of psilocybin, during which cognitive functions might still be </w:t>
      </w:r>
      <w:r w:rsidRPr="003A432D">
        <w:rPr>
          <w:rFonts w:ascii="Times New Roman" w:eastAsia="Times New Roman" w:hAnsi="Times New Roman" w:cs="Times New Roman"/>
          <w:color w:val="000000"/>
          <w:lang w:val="en-DE" w:eastAsia="en-DE"/>
        </w:rPr>
        <w:lastRenderedPageBreak/>
        <w:t>affected. Especially, considering the increasing acceptability and use of psychedelics for treatment or recreation, it is imperative for future studies to assess the impact and timeframe of these side effects systematically, to reduce harm. One exemplary tool in this regard is the newly developed Swiss Psychedelic Side Effect Scale, which is designed to address this need comprehensively (Calder and Hasler, 2024).</w:t>
      </w:r>
    </w:p>
    <w:p w14:paraId="6DA4455E" w14:textId="77777777" w:rsidR="003A432D" w:rsidRPr="003A432D" w:rsidRDefault="003A432D" w:rsidP="003A432D">
      <w:pPr>
        <w:spacing w:line="480" w:lineRule="auto"/>
        <w:jc w:val="both"/>
        <w:rPr>
          <w:rFonts w:ascii="Times New Roman" w:eastAsia="Times New Roman" w:hAnsi="Times New Roman" w:cs="Times New Roman"/>
          <w:lang w:val="en-DE" w:eastAsia="en-DE"/>
        </w:rPr>
      </w:pPr>
      <w:r w:rsidRPr="003A432D">
        <w:rPr>
          <w:rFonts w:ascii="Times New Roman" w:eastAsia="Times New Roman" w:hAnsi="Times New Roman" w:cs="Times New Roman"/>
          <w:b/>
          <w:bCs/>
          <w:color w:val="000000"/>
          <w:lang w:val="en-DE" w:eastAsia="en-DE"/>
        </w:rPr>
        <w:t>Conclusion </w:t>
      </w:r>
    </w:p>
    <w:p w14:paraId="52060F4C" w14:textId="77777777" w:rsidR="003A432D" w:rsidRPr="003A432D" w:rsidRDefault="003A432D" w:rsidP="003A432D">
      <w:pPr>
        <w:spacing w:line="480" w:lineRule="auto"/>
        <w:ind w:firstLine="720"/>
        <w:jc w:val="both"/>
        <w:rPr>
          <w:rFonts w:ascii="Times New Roman" w:eastAsia="Times New Roman" w:hAnsi="Times New Roman" w:cs="Times New Roman"/>
          <w:lang w:val="en-DE" w:eastAsia="en-DE"/>
        </w:rPr>
      </w:pPr>
      <w:r w:rsidRPr="003A432D">
        <w:rPr>
          <w:rFonts w:ascii="Times New Roman" w:eastAsia="Times New Roman" w:hAnsi="Times New Roman" w:cs="Times New Roman"/>
          <w:color w:val="000000"/>
          <w:lang w:val="en-DE" w:eastAsia="en-DE"/>
        </w:rPr>
        <w:t>Given the therapeutic potential of psilocybin for various neuropsychiatric disorders and the transdiagnostic significance of executive function impairments, understanding psilocybin's effects on cognition is crucial. Thus, this exploratory meta-analysis provides a comprehensive overview of the acute effects of psilocybin on executive functions and attention, revealing nuanced insights and highlighting significant gaps in the current literature. Our findings demonstrate that psilocybin generally slows RTs in cognitive tasks assessing executive functions and attention, with a clear dose-dependent effect, where higher doses result in more substantial slowing. This effect is significantly moderated by the sensitivity of the measurement, indicating that general measures are more likely to capture the impact of psilocybin than specific ones. Even though there is a small to moderate effect on ACC as well,  these findings are less consistent, suggesting a more complex interaction between psilocybin and cognitive performance.</w:t>
      </w:r>
      <w:r w:rsidRPr="003A432D">
        <w:rPr>
          <w:rFonts w:ascii="Times New Roman" w:eastAsia="Times New Roman" w:hAnsi="Times New Roman" w:cs="Times New Roman"/>
          <w:b/>
          <w:bCs/>
          <w:color w:val="000000"/>
          <w:lang w:val="en-DE" w:eastAsia="en-DE"/>
        </w:rPr>
        <w:t> </w:t>
      </w:r>
    </w:p>
    <w:p w14:paraId="4D85C308" w14:textId="77777777" w:rsidR="003A432D" w:rsidRPr="003A432D" w:rsidRDefault="003A432D" w:rsidP="003A432D">
      <w:pPr>
        <w:spacing w:line="480" w:lineRule="auto"/>
        <w:ind w:firstLine="720"/>
        <w:jc w:val="both"/>
        <w:rPr>
          <w:rFonts w:ascii="Times New Roman" w:eastAsia="Times New Roman" w:hAnsi="Times New Roman" w:cs="Times New Roman"/>
          <w:lang w:val="en-DE" w:eastAsia="en-DE"/>
        </w:rPr>
      </w:pPr>
      <w:r w:rsidRPr="003A432D">
        <w:rPr>
          <w:rFonts w:ascii="Times New Roman" w:eastAsia="Times New Roman" w:hAnsi="Times New Roman" w:cs="Times New Roman"/>
          <w:color w:val="000000"/>
          <w:lang w:val="en-DE" w:eastAsia="en-DE"/>
        </w:rPr>
        <w:t>Our results further underscore the importance of considering multiple levels of cognitive and motor functions when evaluating the acute effects of psilocybin. The observed RT slowing is likely influenced by basic processes such as psychomotor speed and attentional capabilities, alongside more complex executive functions, attention and motivation. The lack of significant moderation by subcomponents of executive functions and attention suggests that psilocybin’s effects are more generalized across cognitive domains.</w:t>
      </w:r>
    </w:p>
    <w:p w14:paraId="1F97DD61" w14:textId="77777777" w:rsidR="003A432D" w:rsidRPr="003A432D" w:rsidRDefault="003A432D" w:rsidP="003A432D">
      <w:pPr>
        <w:spacing w:line="480" w:lineRule="auto"/>
        <w:ind w:firstLine="720"/>
        <w:jc w:val="both"/>
        <w:rPr>
          <w:rFonts w:ascii="Times New Roman" w:eastAsia="Times New Roman" w:hAnsi="Times New Roman" w:cs="Times New Roman"/>
          <w:lang w:val="en-DE" w:eastAsia="en-DE"/>
        </w:rPr>
      </w:pPr>
      <w:r w:rsidRPr="003A432D">
        <w:rPr>
          <w:rFonts w:ascii="Times New Roman" w:eastAsia="Times New Roman" w:hAnsi="Times New Roman" w:cs="Times New Roman"/>
          <w:color w:val="000000"/>
          <w:lang w:val="en-DE" w:eastAsia="en-DE"/>
        </w:rPr>
        <w:lastRenderedPageBreak/>
        <w:t>Despite these insights, the analysis is constrained by moderate to high risk of bias across the included studies, notably due to concerns regarding blinding procedures and a lack of pre-registrations. The potential for publication bias further complicates our understanding, as the asymmetry of the funnel plot suggests that non-significant results may have been underreported. This could lead to an overestimation of the true effect size, skewing the data towards significant findings.</w:t>
      </w:r>
    </w:p>
    <w:p w14:paraId="2014930E" w14:textId="77777777" w:rsidR="003A432D" w:rsidRPr="003A432D" w:rsidRDefault="003A432D" w:rsidP="003A432D">
      <w:pPr>
        <w:spacing w:line="480" w:lineRule="auto"/>
        <w:ind w:firstLine="720"/>
        <w:jc w:val="both"/>
        <w:rPr>
          <w:rFonts w:ascii="Times New Roman" w:eastAsia="Times New Roman" w:hAnsi="Times New Roman" w:cs="Times New Roman"/>
          <w:lang w:val="en-DE" w:eastAsia="en-DE"/>
        </w:rPr>
      </w:pPr>
      <w:r w:rsidRPr="003A432D">
        <w:rPr>
          <w:rFonts w:ascii="Times New Roman" w:eastAsia="Times New Roman" w:hAnsi="Times New Roman" w:cs="Times New Roman"/>
          <w:color w:val="000000"/>
          <w:lang w:val="en-DE" w:eastAsia="en-DE"/>
        </w:rPr>
        <w:t>Future research should address the limitations of the field by employing robust experimental designs, including pre-registered protocols and improved double-blind procedures. Additionally, exploring a wider range of time points post-psilocybin administration, from acute to long-term effects, is crucial for a holistic understanding of its impact on cognition. The incorporation of novel assessment paradigms, such as task-free methods and mind-wandering probes, could provide deeper insights into the multifaceted effects of psilocybin on cognitive processes.</w:t>
      </w:r>
    </w:p>
    <w:p w14:paraId="505A3822" w14:textId="77777777" w:rsidR="003A432D" w:rsidRPr="003A432D" w:rsidRDefault="003A432D" w:rsidP="003A432D">
      <w:pPr>
        <w:spacing w:line="480" w:lineRule="auto"/>
        <w:ind w:firstLine="720"/>
        <w:jc w:val="both"/>
        <w:rPr>
          <w:rFonts w:ascii="Times New Roman" w:eastAsia="Times New Roman" w:hAnsi="Times New Roman" w:cs="Times New Roman"/>
          <w:lang w:val="en-DE" w:eastAsia="en-DE"/>
        </w:rPr>
      </w:pPr>
      <w:r w:rsidRPr="003A432D">
        <w:rPr>
          <w:rFonts w:ascii="Times New Roman" w:eastAsia="Times New Roman" w:hAnsi="Times New Roman" w:cs="Times New Roman"/>
          <w:color w:val="000000"/>
          <w:lang w:val="en-DE" w:eastAsia="en-DE"/>
        </w:rPr>
        <w:t>In conclusion, while psilocybin shows potential for negatively affecting cognitive task performance acutely, the exact nature and mechanisms of these effects require further elucidation. The findings of this meta-analysis should inform future research directions, aiming to unravel both the immediate and enduring impacts of psilocybin on the brain and cognition, as well as post a call for innovation for cognitive tasks in the psychedelic field.</w:t>
      </w:r>
    </w:p>
    <w:p w14:paraId="4CC73CAE" w14:textId="77777777" w:rsidR="00424D27" w:rsidRPr="00424D27" w:rsidRDefault="00424D27" w:rsidP="00424D27">
      <w:pPr>
        <w:spacing w:line="480" w:lineRule="auto"/>
        <w:jc w:val="both"/>
        <w:rPr>
          <w:rFonts w:ascii="Times New Roman" w:eastAsia="Times New Roman" w:hAnsi="Times New Roman" w:cs="Times New Roman"/>
          <w:lang w:val="en-DE" w:eastAsia="en-DE"/>
        </w:rPr>
      </w:pPr>
      <w:r w:rsidRPr="00424D27">
        <w:rPr>
          <w:rFonts w:ascii="Times New Roman" w:eastAsia="Times New Roman" w:hAnsi="Times New Roman" w:cs="Times New Roman"/>
          <w:b/>
          <w:bCs/>
          <w:color w:val="000000"/>
          <w:lang w:val="en-DE" w:eastAsia="en-DE"/>
        </w:rPr>
        <w:t>Further Information</w:t>
      </w:r>
    </w:p>
    <w:p w14:paraId="126FC02C" w14:textId="77777777" w:rsidR="00424D27" w:rsidRPr="00424D27" w:rsidRDefault="00424D27" w:rsidP="00424D27">
      <w:pPr>
        <w:spacing w:line="480" w:lineRule="auto"/>
        <w:jc w:val="both"/>
        <w:rPr>
          <w:rFonts w:ascii="Times New Roman" w:eastAsia="Times New Roman" w:hAnsi="Times New Roman" w:cs="Times New Roman"/>
          <w:lang w:val="en-DE" w:eastAsia="en-DE"/>
        </w:rPr>
      </w:pPr>
      <w:r w:rsidRPr="00424D27">
        <w:rPr>
          <w:rFonts w:ascii="Times New Roman" w:eastAsia="Times New Roman" w:hAnsi="Times New Roman" w:cs="Times New Roman"/>
          <w:b/>
          <w:bCs/>
          <w:i/>
          <w:iCs/>
          <w:color w:val="000000"/>
          <w:lang w:val="en-DE" w:eastAsia="en-DE"/>
        </w:rPr>
        <w:t>Registration and protocol</w:t>
      </w:r>
    </w:p>
    <w:p w14:paraId="642C0D1B" w14:textId="77777777" w:rsidR="00424D27" w:rsidRPr="00424D27" w:rsidRDefault="00424D27" w:rsidP="00424D27">
      <w:pPr>
        <w:spacing w:line="480" w:lineRule="auto"/>
        <w:ind w:firstLine="720"/>
        <w:jc w:val="both"/>
        <w:rPr>
          <w:rFonts w:ascii="Times New Roman" w:eastAsia="Times New Roman" w:hAnsi="Times New Roman" w:cs="Times New Roman"/>
          <w:lang w:val="en-DE" w:eastAsia="en-DE"/>
        </w:rPr>
      </w:pPr>
      <w:r w:rsidRPr="00424D27">
        <w:rPr>
          <w:rFonts w:ascii="Times New Roman" w:eastAsia="Times New Roman" w:hAnsi="Times New Roman" w:cs="Times New Roman"/>
          <w:color w:val="000000"/>
          <w:lang w:val="en-DE" w:eastAsia="en-DE"/>
        </w:rPr>
        <w:t>For the present study, no prior hypotheses were set. Furthermore, the present study was not pre registered, and also no study protocol was produced prior to data collection and analysis, thus, the present study is considered exploratory.</w:t>
      </w:r>
    </w:p>
    <w:p w14:paraId="08FFBCB3" w14:textId="77777777" w:rsidR="00424D27" w:rsidRPr="00424D27" w:rsidRDefault="00424D27" w:rsidP="00424D27">
      <w:pPr>
        <w:spacing w:line="480" w:lineRule="auto"/>
        <w:jc w:val="both"/>
        <w:rPr>
          <w:rFonts w:ascii="Times New Roman" w:eastAsia="Times New Roman" w:hAnsi="Times New Roman" w:cs="Times New Roman"/>
          <w:lang w:val="en-DE" w:eastAsia="en-DE"/>
        </w:rPr>
      </w:pPr>
      <w:r w:rsidRPr="00424D27">
        <w:rPr>
          <w:rFonts w:ascii="Times New Roman" w:eastAsia="Times New Roman" w:hAnsi="Times New Roman" w:cs="Times New Roman"/>
          <w:b/>
          <w:bCs/>
          <w:i/>
          <w:iCs/>
          <w:color w:val="000000"/>
          <w:lang w:val="en-DE" w:eastAsia="en-DE"/>
        </w:rPr>
        <w:lastRenderedPageBreak/>
        <w:t>Author contributions</w:t>
      </w:r>
    </w:p>
    <w:p w14:paraId="66370F55" w14:textId="4944B567" w:rsidR="00424D27" w:rsidRPr="00F156C7" w:rsidRDefault="00424D27" w:rsidP="00F156C7">
      <w:pPr>
        <w:spacing w:line="480" w:lineRule="auto"/>
        <w:ind w:firstLine="720"/>
        <w:jc w:val="both"/>
        <w:rPr>
          <w:rFonts w:ascii="Times New Roman" w:eastAsia="Times New Roman" w:hAnsi="Times New Roman" w:cs="Times New Roman"/>
          <w:lang w:val="en-DE" w:eastAsia="en-DE"/>
        </w:rPr>
      </w:pPr>
      <w:r w:rsidRPr="00424D27">
        <w:rPr>
          <w:rFonts w:ascii="Times New Roman" w:eastAsia="Times New Roman" w:hAnsi="Times New Roman" w:cs="Times New Roman"/>
          <w:color w:val="000000"/>
          <w:lang w:val="en-DE" w:eastAsia="en-DE"/>
        </w:rPr>
        <w:t>The conceptualization of the research was collaboratively developed by SEG, MVE, and ML. The methodology was designed by PY, RR, and SEG, with PY and RR also responsible for the software development and validation. Formal analysis was conducted by PY and RR, with PY leading the investigation. Resources were provided by SEG and MVE, and data curation was handled by PY and FOH. The original draft of the manuscript was written by PY and ML, and the manuscript was reviewed and edited by PY, ML, GH, MVE, and SEG. Data visualisation was executed by PY, RR and ML. Risk of Bias assessment completed by FOH and ML. Supervision of the project was overseen by SEG and MVE. Project administration was conducted by PY, SEG, ML and MVE. Funding acquisition was solely managed by SEG.</w:t>
      </w:r>
    </w:p>
    <w:p w14:paraId="5DEAA6D7" w14:textId="77777777" w:rsidR="00144611" w:rsidRDefault="003422DA">
      <w:pPr>
        <w:pBdr>
          <w:top w:val="nil"/>
          <w:left w:val="nil"/>
          <w:bottom w:val="nil"/>
          <w:right w:val="nil"/>
          <w:between w:val="nil"/>
        </w:pBdr>
        <w:spacing w:line="480" w:lineRule="auto"/>
        <w:jc w:val="both"/>
        <w:rPr>
          <w:rFonts w:ascii="Times New Roman" w:eastAsia="Times New Roman" w:hAnsi="Times New Roman" w:cs="Times New Roman"/>
          <w:i/>
          <w:color w:val="000000"/>
        </w:rPr>
      </w:pPr>
      <w:r>
        <w:rPr>
          <w:rFonts w:ascii="Times New Roman" w:eastAsia="Times New Roman" w:hAnsi="Times New Roman" w:cs="Times New Roman"/>
          <w:b/>
          <w:i/>
          <w:color w:val="000000"/>
        </w:rPr>
        <w:t>Availability of data and code</w:t>
      </w:r>
    </w:p>
    <w:p w14:paraId="5DEAA6D8" w14:textId="363CBE2E" w:rsidR="00F144A2" w:rsidRDefault="003422DA">
      <w:pPr>
        <w:pBdr>
          <w:top w:val="nil"/>
          <w:left w:val="nil"/>
          <w:bottom w:val="nil"/>
          <w:right w:val="nil"/>
          <w:between w:val="nil"/>
        </w:pBdr>
        <w:spacing w:line="48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All the data and code, as well as further analyses underlying the present study are available </w:t>
      </w:r>
      <w:hyperlink r:id="rId19">
        <w:r>
          <w:rPr>
            <w:rFonts w:ascii="Times New Roman" w:eastAsia="Times New Roman" w:hAnsi="Times New Roman" w:cs="Times New Roman"/>
            <w:color w:val="1155CC"/>
            <w:u w:val="single"/>
          </w:rPr>
          <w:t>he</w:t>
        </w:r>
        <w:r>
          <w:rPr>
            <w:rFonts w:ascii="Times New Roman" w:eastAsia="Times New Roman" w:hAnsi="Times New Roman" w:cs="Times New Roman"/>
            <w:color w:val="1155CC"/>
            <w:u w:val="single"/>
          </w:rPr>
          <w:t>r</w:t>
        </w:r>
        <w:r>
          <w:rPr>
            <w:rFonts w:ascii="Times New Roman" w:eastAsia="Times New Roman" w:hAnsi="Times New Roman" w:cs="Times New Roman"/>
            <w:color w:val="1155CC"/>
            <w:u w:val="single"/>
          </w:rPr>
          <w:t>e</w:t>
        </w:r>
      </w:hyperlink>
      <w:r>
        <w:rPr>
          <w:rFonts w:ascii="Times New Roman" w:eastAsia="Times New Roman" w:hAnsi="Times New Roman" w:cs="Times New Roman"/>
          <w:color w:val="000000"/>
        </w:rPr>
        <w:t xml:space="preserve"> as supplementary material. We adhere to OPEN guidelines and encourage the usage of our data for further exploration.</w:t>
      </w:r>
    </w:p>
    <w:p w14:paraId="2DCB61BE" w14:textId="213BB359" w:rsidR="00F144A2" w:rsidRDefault="00F144A2">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0AB29338" w14:textId="77777777" w:rsidR="00F144A2" w:rsidRPr="00F144A2" w:rsidRDefault="00F144A2" w:rsidP="00F144A2">
      <w:pPr>
        <w:pStyle w:val="Heading1"/>
        <w:pageBreakBefore/>
        <w:jc w:val="center"/>
        <w:rPr>
          <w:rFonts w:ascii="Times New Roman" w:hAnsi="Times New Roman" w:cs="Times New Roman"/>
          <w:sz w:val="24"/>
          <w:szCs w:val="24"/>
          <w:lang w:val="nl-NL"/>
        </w:rPr>
      </w:pPr>
      <w:r w:rsidRPr="00F144A2">
        <w:rPr>
          <w:rFonts w:ascii="Times New Roman" w:hAnsi="Times New Roman" w:cs="Times New Roman"/>
          <w:sz w:val="24"/>
          <w:szCs w:val="24"/>
          <w:lang w:val="nl-NL"/>
        </w:rPr>
        <w:lastRenderedPageBreak/>
        <w:t>References</w:t>
      </w:r>
    </w:p>
    <w:p w14:paraId="7FC671C7" w14:textId="77777777" w:rsidR="00F144A2" w:rsidRDefault="00F144A2" w:rsidP="00F144A2">
      <w:pPr>
        <w:pStyle w:val="Bibliography"/>
      </w:pPr>
      <w:r>
        <w:t xml:space="preserve">Abramovitch, A., Short, T., &amp; Schweiger, A. (2021). The C Factor: Cognitive dysfunction as a transdiagnostic dimension in psychopathology. </w:t>
      </w:r>
      <w:r>
        <w:rPr>
          <w:i/>
          <w:iCs/>
        </w:rPr>
        <w:t>Clinical Psychology Review</w:t>
      </w:r>
      <w:r>
        <w:t xml:space="preserve">, </w:t>
      </w:r>
      <w:r>
        <w:rPr>
          <w:i/>
          <w:iCs/>
        </w:rPr>
        <w:t>86</w:t>
      </w:r>
      <w:r>
        <w:t>, 102007. https://doi.org/10.1016/j.cpr.2021.102007</w:t>
      </w:r>
    </w:p>
    <w:p w14:paraId="7B07E676" w14:textId="77777777" w:rsidR="00F144A2" w:rsidRDefault="00F144A2" w:rsidP="00F144A2">
      <w:pPr>
        <w:pStyle w:val="Bibliography"/>
      </w:pPr>
      <w:r>
        <w:t xml:space="preserve">Adleman, N. E., Menon, V., Blasey, C. M., White, C. D., Warsofsky, I. S., Glover, G. H., &amp; Reiss, A. L. (2002). A Developmental fMRI Study of the Stroop Color-Word Task. </w:t>
      </w:r>
      <w:r>
        <w:rPr>
          <w:i/>
          <w:iCs/>
        </w:rPr>
        <w:t>NeuroImage</w:t>
      </w:r>
      <w:r>
        <w:t xml:space="preserve">, </w:t>
      </w:r>
      <w:r>
        <w:rPr>
          <w:i/>
          <w:iCs/>
        </w:rPr>
        <w:t>16</w:t>
      </w:r>
      <w:r>
        <w:t>(1), 61–75. https://doi.org/10.1006/nimg.2001.1046</w:t>
      </w:r>
    </w:p>
    <w:p w14:paraId="792130C7" w14:textId="77777777" w:rsidR="00F144A2" w:rsidRDefault="00F144A2" w:rsidP="00F144A2">
      <w:pPr>
        <w:pStyle w:val="Bibliography"/>
      </w:pPr>
      <w:r>
        <w:t xml:space="preserve">Amir, I., &amp; Bernstein, A. (2022). Dynamics of Internal Attention and Internally-Directed Cognition: The Attention-to-Thoughts (A2T) Model. </w:t>
      </w:r>
      <w:r>
        <w:rPr>
          <w:i/>
          <w:iCs/>
        </w:rPr>
        <w:t>Psychological Inquiry</w:t>
      </w:r>
      <w:r>
        <w:t xml:space="preserve">, </w:t>
      </w:r>
      <w:r>
        <w:rPr>
          <w:i/>
          <w:iCs/>
        </w:rPr>
        <w:t>33</w:t>
      </w:r>
      <w:r>
        <w:t>(4), 239–260. https://doi.org/10.1080/1047840x.2022.2141000</w:t>
      </w:r>
    </w:p>
    <w:p w14:paraId="09594280" w14:textId="77777777" w:rsidR="00F144A2" w:rsidRDefault="00F144A2" w:rsidP="00F144A2">
      <w:pPr>
        <w:pStyle w:val="Bibliography"/>
      </w:pPr>
      <w:r>
        <w:t xml:space="preserve">Azimi, Z., Barzan, R., Spoida, K., Surdin, T., Wollenweber, P., Mark, M. D., Herlitze, S., &amp; Jancke, D. (2020). Separable gain control of ongoing and evoked activity in the visual cortex by serotonergic input. </w:t>
      </w:r>
      <w:r>
        <w:rPr>
          <w:i/>
          <w:iCs/>
        </w:rPr>
        <w:t>eLife</w:t>
      </w:r>
      <w:r>
        <w:t xml:space="preserve">, </w:t>
      </w:r>
      <w:r>
        <w:rPr>
          <w:i/>
          <w:iCs/>
        </w:rPr>
        <w:t>9</w:t>
      </w:r>
      <w:r>
        <w:t>. https://doi.org/10.7554/elife.53552</w:t>
      </w:r>
    </w:p>
    <w:p w14:paraId="4058D3E2" w14:textId="77777777" w:rsidR="00F144A2" w:rsidRDefault="00F144A2" w:rsidP="00F144A2">
      <w:pPr>
        <w:pStyle w:val="Bibliography"/>
      </w:pPr>
      <w:r>
        <w:t xml:space="preserve">Badart, P., McDowall, J., &amp; Prime, S. L. (2017). Multimodal Sustained Attention Superiority in Concentrative Meditators Compared to Nonmeditators. </w:t>
      </w:r>
      <w:r>
        <w:rPr>
          <w:i/>
          <w:iCs/>
        </w:rPr>
        <w:t>Mindfulness</w:t>
      </w:r>
      <w:r>
        <w:t xml:space="preserve">, </w:t>
      </w:r>
      <w:r>
        <w:rPr>
          <w:i/>
          <w:iCs/>
        </w:rPr>
        <w:t>9</w:t>
      </w:r>
      <w:r>
        <w:t>(3), 824–835. https://doi.org/10.1007/s12671-017-0822-y</w:t>
      </w:r>
    </w:p>
    <w:p w14:paraId="2AC56576" w14:textId="77777777" w:rsidR="00F144A2" w:rsidRDefault="00F144A2" w:rsidP="00F144A2">
      <w:pPr>
        <w:pStyle w:val="Bibliography"/>
      </w:pPr>
      <w:r>
        <w:t xml:space="preserve">Bălăeţ, M. (2022). Psychedelic Cognition—The Unreached Frontier of Psychedelic Science. </w:t>
      </w:r>
      <w:r>
        <w:rPr>
          <w:i/>
          <w:iCs/>
        </w:rPr>
        <w:t>Frontiers in Neuroscience</w:t>
      </w:r>
      <w:r>
        <w:t xml:space="preserve">, </w:t>
      </w:r>
      <w:r>
        <w:rPr>
          <w:i/>
          <w:iCs/>
        </w:rPr>
        <w:t>16</w:t>
      </w:r>
      <w:r>
        <w:t>. https://doi.org/10.3389/fnins.2022.832375</w:t>
      </w:r>
    </w:p>
    <w:p w14:paraId="71D229F8" w14:textId="77777777" w:rsidR="00F144A2" w:rsidRDefault="00F144A2" w:rsidP="00F144A2">
      <w:pPr>
        <w:pStyle w:val="Bibliography"/>
      </w:pPr>
      <w:r>
        <w:t xml:space="preserve">Baror, S., &amp; He, B. J. (2021). Spontaneous perception: a framework for task-free, self-paced perception. </w:t>
      </w:r>
      <w:r>
        <w:rPr>
          <w:i/>
          <w:iCs/>
        </w:rPr>
        <w:t>Neuroscience of Consciousness</w:t>
      </w:r>
      <w:r>
        <w:t xml:space="preserve">, </w:t>
      </w:r>
      <w:r>
        <w:rPr>
          <w:i/>
          <w:iCs/>
        </w:rPr>
        <w:t>2021</w:t>
      </w:r>
      <w:r>
        <w:t>(2). https://doi.org/10.1093/nc/niab016</w:t>
      </w:r>
    </w:p>
    <w:p w14:paraId="26A10196" w14:textId="77777777" w:rsidR="00F144A2" w:rsidRDefault="00F144A2" w:rsidP="00F144A2">
      <w:pPr>
        <w:pStyle w:val="Bibliography"/>
      </w:pPr>
      <w:r>
        <w:t xml:space="preserve">Barrett, F. S., Carbonaro, T. M., Hurwitz, E., Johnson, M. W., &amp; Griffiths, R. R. (2018). Double-blind comparison of the two hallucinogens psilocybin and dextromethorphan: effects on cognition. </w:t>
      </w:r>
      <w:r>
        <w:rPr>
          <w:i/>
          <w:iCs/>
        </w:rPr>
        <w:t>Psychopharmacology</w:t>
      </w:r>
      <w:r>
        <w:t xml:space="preserve">, </w:t>
      </w:r>
      <w:r>
        <w:rPr>
          <w:i/>
          <w:iCs/>
        </w:rPr>
        <w:t>235</w:t>
      </w:r>
      <w:r>
        <w:t>(10), 2915–2927. https://doi.org/10.1007/s00213-018-4981-x</w:t>
      </w:r>
    </w:p>
    <w:p w14:paraId="09C69FF4" w14:textId="77777777" w:rsidR="00F144A2" w:rsidRDefault="00F144A2" w:rsidP="00F144A2">
      <w:pPr>
        <w:pStyle w:val="Bibliography"/>
      </w:pPr>
      <w:r>
        <w:lastRenderedPageBreak/>
        <w:t xml:space="preserve">Barrett, F. S., Doss, M., Sepeda, N. D., Pekar, J. J., &amp; Griffiths, R. R. (2020). Emotions and brain function are altered up to one month after a single high dose of psilocybin. </w:t>
      </w:r>
      <w:r>
        <w:rPr>
          <w:i/>
          <w:iCs/>
        </w:rPr>
        <w:t>Scientific Reports</w:t>
      </w:r>
      <w:r>
        <w:t xml:space="preserve">, </w:t>
      </w:r>
      <w:r>
        <w:rPr>
          <w:i/>
          <w:iCs/>
        </w:rPr>
        <w:t>10</w:t>
      </w:r>
      <w:r>
        <w:t>(1). https://doi.org/10.1038/s41598-020-59282-y</w:t>
      </w:r>
    </w:p>
    <w:p w14:paraId="23F2F98E" w14:textId="77777777" w:rsidR="00F144A2" w:rsidRDefault="00F144A2" w:rsidP="00F144A2">
      <w:pPr>
        <w:pStyle w:val="Bibliography"/>
      </w:pPr>
      <w:r>
        <w:t xml:space="preserve">Basedow, L. A., Riemer, T., Reiche, S., Kreutz, R., &amp; Majić, T. (2021). Neuropsychological Functioning in Users of Serotonergic Psychedelics – A Systematic Review and Meta-Analysis. </w:t>
      </w:r>
      <w:r>
        <w:rPr>
          <w:i/>
          <w:iCs/>
        </w:rPr>
        <w:t>Frontiers in Pharmacology</w:t>
      </w:r>
      <w:r>
        <w:t xml:space="preserve">, </w:t>
      </w:r>
      <w:r>
        <w:rPr>
          <w:i/>
          <w:iCs/>
        </w:rPr>
        <w:t>12</w:t>
      </w:r>
      <w:r>
        <w:t>. https://doi.org/10.3389/fphar.2021.739966</w:t>
      </w:r>
    </w:p>
    <w:p w14:paraId="3B5C92FB" w14:textId="77777777" w:rsidR="00F144A2" w:rsidRDefault="00F144A2" w:rsidP="00F144A2">
      <w:pPr>
        <w:pStyle w:val="Bibliography"/>
      </w:pPr>
      <w:r>
        <w:t xml:space="preserve">Bekinschtein, T. A., Dehaene, S., Rohaut, B., Tadel, F., Cohen, L., &amp; Naccache, L. (2009). Neural signature of the conscious processing of auditory regularities. </w:t>
      </w:r>
      <w:r>
        <w:rPr>
          <w:i/>
          <w:iCs/>
        </w:rPr>
        <w:t>Proceedings of the National Academy of Sciences of the United States of America</w:t>
      </w:r>
      <w:r>
        <w:t xml:space="preserve">, </w:t>
      </w:r>
      <w:r>
        <w:rPr>
          <w:i/>
          <w:iCs/>
        </w:rPr>
        <w:t>106</w:t>
      </w:r>
      <w:r>
        <w:t>(5), 1672–1677. https://doi.org/10.1073/pnas.0809667106</w:t>
      </w:r>
    </w:p>
    <w:p w14:paraId="697F6B37" w14:textId="77777777" w:rsidR="00F144A2" w:rsidRDefault="00F144A2" w:rsidP="00F144A2">
      <w:pPr>
        <w:pStyle w:val="Bibliography"/>
      </w:pPr>
      <w:r>
        <w:t xml:space="preserve">Bogenschutz, M. P., Ross, S., Bhatt, S., Baron, T., Forcehimes, A. A., Laska, E., Mennenga, S. E., O’Donnell, K. C., Owens, L. T., Podrebarac, S. K., Rotrosen, J., Tonigan, J. S., &amp; Worth, L. (2022). Percentage of Heavy Drinking Days Following Psilocybin-Assisted Psychotherapy vs Placebo in the Treatment of Adult Patients With Alcohol Use Disorder. </w:t>
      </w:r>
      <w:r>
        <w:rPr>
          <w:i/>
          <w:iCs/>
        </w:rPr>
        <w:t>JAMA Psychiatry</w:t>
      </w:r>
      <w:r>
        <w:t xml:space="preserve">, </w:t>
      </w:r>
      <w:r>
        <w:rPr>
          <w:i/>
          <w:iCs/>
        </w:rPr>
        <w:t>79</w:t>
      </w:r>
      <w:r>
        <w:t>(10), 953. https://doi.org/10.1001/jamapsychiatry.2022.2096</w:t>
      </w:r>
    </w:p>
    <w:p w14:paraId="58411A7C" w14:textId="77777777" w:rsidR="00F144A2" w:rsidRDefault="00F144A2" w:rsidP="00F144A2">
      <w:pPr>
        <w:pStyle w:val="Bibliography"/>
      </w:pPr>
      <w:r>
        <w:t xml:space="preserve">Bonnieux, J. N., VanderZwaag, B., Premji, Z., Garcia-Romeu, A., &amp; Garcia-Barrera, M. A. (2023). Psilocybin’s effects on cognition and creativity: A scoping review. </w:t>
      </w:r>
      <w:r>
        <w:rPr>
          <w:i/>
          <w:iCs/>
        </w:rPr>
        <w:t>Journal of Psychopharmacology</w:t>
      </w:r>
      <w:r>
        <w:t xml:space="preserve">, </w:t>
      </w:r>
      <w:r>
        <w:rPr>
          <w:i/>
          <w:iCs/>
        </w:rPr>
        <w:t>37</w:t>
      </w:r>
      <w:r>
        <w:t>(7), 635–648. https://doi.org/10.1177/02698811231179801</w:t>
      </w:r>
    </w:p>
    <w:p w14:paraId="54A1EA67" w14:textId="77777777" w:rsidR="00F144A2" w:rsidRDefault="00F144A2" w:rsidP="00F144A2">
      <w:pPr>
        <w:pStyle w:val="Bibliography"/>
      </w:pPr>
      <w:r>
        <w:t xml:space="preserve">Breeksema, J. J., Kuin, B. W., Kamphuis, J., Van Den Brink, W., Vermetten, E., &amp; Schoevers, R. A. (2022). Adverse events in clinical treatments with serotonergic psychedelics and MDMA: A mixed-methods systematic review. </w:t>
      </w:r>
      <w:r>
        <w:rPr>
          <w:i/>
          <w:iCs/>
        </w:rPr>
        <w:t>Journal of Psychopharmacology</w:t>
      </w:r>
      <w:r>
        <w:t xml:space="preserve">, </w:t>
      </w:r>
      <w:r>
        <w:rPr>
          <w:i/>
          <w:iCs/>
        </w:rPr>
        <w:t>36</w:t>
      </w:r>
      <w:r>
        <w:t>(10), 1100–1117. https://doi.org/10.1177/02698811221116926</w:t>
      </w:r>
    </w:p>
    <w:p w14:paraId="62AA45B6" w14:textId="77777777" w:rsidR="00F144A2" w:rsidRDefault="00F144A2" w:rsidP="00F144A2">
      <w:pPr>
        <w:pStyle w:val="Bibliography"/>
      </w:pPr>
      <w:r>
        <w:lastRenderedPageBreak/>
        <w:t xml:space="preserve">Buetti, S., &amp; Lleras, A. (2016). Distractibility is a function of engagement, not task difficulty: Evidence from a new oculomotor capture paradigm. </w:t>
      </w:r>
      <w:r>
        <w:rPr>
          <w:i/>
          <w:iCs/>
        </w:rPr>
        <w:t>Journal of Experimental Psychology. General</w:t>
      </w:r>
      <w:r>
        <w:t xml:space="preserve">, </w:t>
      </w:r>
      <w:r>
        <w:rPr>
          <w:i/>
          <w:iCs/>
        </w:rPr>
        <w:t>145</w:t>
      </w:r>
      <w:r>
        <w:t>(10), 1382–1405. https://doi.org/10.1037/xge0000213</w:t>
      </w:r>
    </w:p>
    <w:p w14:paraId="39413E38" w14:textId="77777777" w:rsidR="00F144A2" w:rsidRDefault="00F144A2" w:rsidP="00F144A2">
      <w:pPr>
        <w:pStyle w:val="Bibliography"/>
      </w:pPr>
      <w:r>
        <w:t xml:space="preserve">Burgoyne, A. P., &amp; Engle, R. W. (2020). Attention Control: A Cornerstone of Higher-Order Cognition. </w:t>
      </w:r>
      <w:r>
        <w:rPr>
          <w:i/>
          <w:iCs/>
        </w:rPr>
        <w:t>Current Directions in Psychological Science</w:t>
      </w:r>
      <w:r>
        <w:t xml:space="preserve">, </w:t>
      </w:r>
      <w:r>
        <w:rPr>
          <w:i/>
          <w:iCs/>
        </w:rPr>
        <w:t>29</w:t>
      </w:r>
      <w:r>
        <w:t>(6), 624–630. https://doi.org/10.1177/0963721420969371</w:t>
      </w:r>
    </w:p>
    <w:p w14:paraId="16FCC1CA" w14:textId="77777777" w:rsidR="00F144A2" w:rsidRDefault="00F144A2" w:rsidP="00F144A2">
      <w:pPr>
        <w:pStyle w:val="Bibliography"/>
      </w:pPr>
      <w:r>
        <w:t xml:space="preserve">Calder, A. E., &amp; Hasler, G. (2022). Towards an understanding of psychedelic-induced neuroplasticity. </w:t>
      </w:r>
      <w:r>
        <w:rPr>
          <w:i/>
          <w:iCs/>
        </w:rPr>
        <w:t>Neuropsychopharmacology</w:t>
      </w:r>
      <w:r>
        <w:t xml:space="preserve">, </w:t>
      </w:r>
      <w:r>
        <w:rPr>
          <w:i/>
          <w:iCs/>
        </w:rPr>
        <w:t>48</w:t>
      </w:r>
      <w:r>
        <w:t>(1), 104–112. https://doi.org/10.1038/s41386-022-01389-z</w:t>
      </w:r>
    </w:p>
    <w:p w14:paraId="79A314E2" w14:textId="77777777" w:rsidR="00F144A2" w:rsidRDefault="00F144A2" w:rsidP="00F144A2">
      <w:pPr>
        <w:pStyle w:val="Bibliography"/>
      </w:pPr>
      <w:r>
        <w:t xml:space="preserve">Calder, A., &amp; Hasler, G. (2024). Validation of the Swiss Psychedelic Side Effects Inventory: Standardized assessment of adverse effects in studies of psychedelics and MDMA. </w:t>
      </w:r>
      <w:r>
        <w:rPr>
          <w:i/>
          <w:iCs/>
        </w:rPr>
        <w:t>Preprint</w:t>
      </w:r>
      <w:r>
        <w:t>. https://doi.org/10.31234/osf.io/um2cy</w:t>
      </w:r>
    </w:p>
    <w:p w14:paraId="00650C47" w14:textId="77777777" w:rsidR="00F144A2" w:rsidRDefault="00F144A2" w:rsidP="00F144A2">
      <w:pPr>
        <w:pStyle w:val="Bibliography"/>
      </w:pPr>
      <w:r>
        <w:t xml:space="preserve">Carhart-Harris, R., Giribaldi, B., Watts, R., Baker-Jones, M., Murphy-Beiner, A., Murphy, R., Martell, J., Blemings, A., Erritzoe, D., &amp; Nutt, D. (2021). Trial of Psilocybin versus Escitalopram for Depression. </w:t>
      </w:r>
      <w:r>
        <w:rPr>
          <w:i/>
          <w:iCs/>
        </w:rPr>
        <w:t>The New England Journal of Medicine</w:t>
      </w:r>
      <w:r>
        <w:t xml:space="preserve">, </w:t>
      </w:r>
      <w:r>
        <w:rPr>
          <w:i/>
          <w:iCs/>
        </w:rPr>
        <w:t>384</w:t>
      </w:r>
      <w:r>
        <w:t>(15), 1402–1411. https://doi.org/10.1056/nejmoa2032994</w:t>
      </w:r>
    </w:p>
    <w:p w14:paraId="3F94C21B" w14:textId="77777777" w:rsidR="00F144A2" w:rsidRDefault="00F144A2" w:rsidP="00F144A2">
      <w:pPr>
        <w:pStyle w:val="Bibliography"/>
      </w:pPr>
      <w:r>
        <w:t xml:space="preserve">Carter, O. L., Burr, D. C., Pettigrew, J. D., Wallis, G. M., Hasler, F., &amp; Vollenweider, F. X. (2005). Using Psilocybin to Investigate the Relationship between Attention, Working Memory, and the Serotonin 1A and 2A Receptors. </w:t>
      </w:r>
      <w:r>
        <w:rPr>
          <w:i/>
          <w:iCs/>
        </w:rPr>
        <w:t>Journal of Cognitive Neuroscience</w:t>
      </w:r>
      <w:r>
        <w:t xml:space="preserve">, </w:t>
      </w:r>
      <w:r>
        <w:rPr>
          <w:i/>
          <w:iCs/>
        </w:rPr>
        <w:t>17</w:t>
      </w:r>
      <w:r>
        <w:t>(10), 1497–1508. https://doi.org/10.1162/089892905774597191</w:t>
      </w:r>
    </w:p>
    <w:p w14:paraId="48E75622" w14:textId="77777777" w:rsidR="00F144A2" w:rsidRDefault="00F144A2" w:rsidP="00F144A2">
      <w:pPr>
        <w:pStyle w:val="Bibliography"/>
      </w:pPr>
      <w:r>
        <w:t xml:space="preserve">Cavanna, F., Muller, S., De La Fuente, L. A., Zamberlan, F., Palmucci, M., Janeckova, L., Kuchar, M., Pallavicini, C., &amp; Tagliazucchi, E. (2022). Microdosing with psilocybin </w:t>
      </w:r>
      <w:r>
        <w:lastRenderedPageBreak/>
        <w:t xml:space="preserve">mushrooms: a double-blind placebo-controlled study. </w:t>
      </w:r>
      <w:r>
        <w:rPr>
          <w:i/>
          <w:iCs/>
        </w:rPr>
        <w:t>Translational Psychiatry</w:t>
      </w:r>
      <w:r>
        <w:t xml:space="preserve">, </w:t>
      </w:r>
      <w:r>
        <w:rPr>
          <w:i/>
          <w:iCs/>
        </w:rPr>
        <w:t>12</w:t>
      </w:r>
      <w:r>
        <w:t>(1). https://doi.org/10.1038/s41398-022-02039-0</w:t>
      </w:r>
    </w:p>
    <w:p w14:paraId="6DE033C9" w14:textId="77777777" w:rsidR="00F144A2" w:rsidRDefault="00F144A2" w:rsidP="00F144A2">
      <w:pPr>
        <w:pStyle w:val="Bibliography"/>
      </w:pPr>
      <w:r>
        <w:t xml:space="preserve">Chen, E., &amp; Hsieh, S. (2023). The effect of age on task switching: updated and extended meta-analyses. </w:t>
      </w:r>
      <w:r>
        <w:rPr>
          <w:i/>
          <w:iCs/>
        </w:rPr>
        <w:t>Psychological Research</w:t>
      </w:r>
      <w:r>
        <w:t xml:space="preserve">, </w:t>
      </w:r>
      <w:r>
        <w:rPr>
          <w:i/>
          <w:iCs/>
        </w:rPr>
        <w:t>87</w:t>
      </w:r>
      <w:r>
        <w:t>(7), 2011–2030. https://doi.org/10.1007/s00426-023-01794-z</w:t>
      </w:r>
    </w:p>
    <w:p w14:paraId="4D2F9344" w14:textId="77777777" w:rsidR="00F144A2" w:rsidRDefault="00F144A2" w:rsidP="00F144A2">
      <w:pPr>
        <w:pStyle w:val="Bibliography"/>
      </w:pPr>
      <w:r>
        <w:t xml:space="preserve">Chen, J., Paul, J. M., &amp; Reeve, R. (2022). Manipulation of attention affects subitizing performance: A systematic review and meta-analysis. </w:t>
      </w:r>
      <w:r>
        <w:rPr>
          <w:i/>
          <w:iCs/>
        </w:rPr>
        <w:t>Neuroscience &amp; Biobehavioral Reviews/Neuroscience and Biobehavioral Reviews</w:t>
      </w:r>
      <w:r>
        <w:t xml:space="preserve">, </w:t>
      </w:r>
      <w:r>
        <w:rPr>
          <w:i/>
          <w:iCs/>
        </w:rPr>
        <w:t>139</w:t>
      </w:r>
      <w:r>
        <w:t>, 104753. https://doi.org/10.1016/j.neubiorev.2022.104753</w:t>
      </w:r>
    </w:p>
    <w:p w14:paraId="35316B40" w14:textId="77777777" w:rsidR="00F144A2" w:rsidRDefault="00F144A2" w:rsidP="00F144A2">
      <w:pPr>
        <w:pStyle w:val="Bibliography"/>
      </w:pPr>
      <w:r>
        <w:t xml:space="preserve">Cortés, R., Gueye, B., Pazos, A., Probst, A., &amp; Palacios, J. (1989). Dopamine receptors in human brain: Autoradiographic distribution of D1 sites. </w:t>
      </w:r>
      <w:r>
        <w:rPr>
          <w:i/>
          <w:iCs/>
        </w:rPr>
        <w:t>Neuroscience</w:t>
      </w:r>
      <w:r>
        <w:t xml:space="preserve">, </w:t>
      </w:r>
      <w:r>
        <w:rPr>
          <w:i/>
          <w:iCs/>
        </w:rPr>
        <w:t>28</w:t>
      </w:r>
      <w:r>
        <w:t>(2), 263–273. https://doi.org/10.1016/0306-4522(89)90178-4</w:t>
      </w:r>
    </w:p>
    <w:p w14:paraId="43EC3E08" w14:textId="77777777" w:rsidR="00F144A2" w:rsidRDefault="00F144A2" w:rsidP="00F144A2">
      <w:pPr>
        <w:pStyle w:val="Bibliography"/>
      </w:pPr>
      <w:r>
        <w:t xml:space="preserve">Crocker, L. D., Jurick, S. M., Thomas, K. R., Keller, A. V., Sanderson-Cimino, M., Boyd, B., Rodgers, C., Twamley, E. W., &amp; Jak, A. J. (2018). Worse baseline executive functioning is associated with dropout and poorer response to trauma-focused treatment for veterans with PTSD and comorbid traumatic brain injury. </w:t>
      </w:r>
      <w:r>
        <w:rPr>
          <w:i/>
          <w:iCs/>
        </w:rPr>
        <w:t>Behaviour Research and Therapy</w:t>
      </w:r>
      <w:r>
        <w:t xml:space="preserve">, </w:t>
      </w:r>
      <w:r>
        <w:rPr>
          <w:i/>
          <w:iCs/>
        </w:rPr>
        <w:t>108</w:t>
      </w:r>
      <w:r>
        <w:t>, 68–77. https://doi.org/10.1016/j.brat.2018.07.004</w:t>
      </w:r>
    </w:p>
    <w:p w14:paraId="59149332" w14:textId="77777777" w:rsidR="00F144A2" w:rsidRDefault="00F144A2" w:rsidP="00F144A2">
      <w:pPr>
        <w:pStyle w:val="Bibliography"/>
      </w:pPr>
      <w:r>
        <w:t xml:space="preserve">D’Alcante, C. C., Diniz, J. B., Fossaluza, V., Batistuzzo, M. C., Lopes, A. C., Shavitt, R. G., Deckersbach, T., Malloy-Diniz, L., Miguel, E. C., &amp; Hoexter, M. Q. (2012). Neuropsychological predictors of response to randomized treatment in obsessive–compulsive disorder. </w:t>
      </w:r>
      <w:r>
        <w:rPr>
          <w:i/>
          <w:iCs/>
        </w:rPr>
        <w:t>Progress in Neuro-psychopharmacology &amp; Biological Psychiatry</w:t>
      </w:r>
      <w:r>
        <w:t xml:space="preserve">, </w:t>
      </w:r>
      <w:r>
        <w:rPr>
          <w:i/>
          <w:iCs/>
        </w:rPr>
        <w:t>39</w:t>
      </w:r>
      <w:r>
        <w:t>(2), 310–317. https://doi.org/10.1016/j.pnpbp.2012.07.002</w:t>
      </w:r>
    </w:p>
    <w:p w14:paraId="055FBA49" w14:textId="77777777" w:rsidR="00F144A2" w:rsidRDefault="00F144A2" w:rsidP="00F144A2">
      <w:pPr>
        <w:pStyle w:val="Bibliography"/>
      </w:pPr>
      <w:r>
        <w:lastRenderedPageBreak/>
        <w:t xml:space="preserve">De Brigard, F., &amp; Prinz, J. (2009). Attention and consciousness. </w:t>
      </w:r>
      <w:r>
        <w:rPr>
          <w:i/>
          <w:iCs/>
        </w:rPr>
        <w:t>Wiley Interdisciplinary Reviews. Cognitive Science</w:t>
      </w:r>
      <w:r>
        <w:t xml:space="preserve">, </w:t>
      </w:r>
      <w:r>
        <w:rPr>
          <w:i/>
          <w:iCs/>
        </w:rPr>
        <w:t>1</w:t>
      </w:r>
      <w:r>
        <w:t>(1), 51–59. https://doi.org/10.1002/wcs.27</w:t>
      </w:r>
    </w:p>
    <w:p w14:paraId="447A432F" w14:textId="77777777" w:rsidR="00F144A2" w:rsidRDefault="00F144A2" w:rsidP="00F144A2">
      <w:pPr>
        <w:pStyle w:val="Bibliography"/>
      </w:pPr>
      <w:r>
        <w:t xml:space="preserve">Diamond, A. (2013). Executive Functions. </w:t>
      </w:r>
      <w:r>
        <w:rPr>
          <w:i/>
          <w:iCs/>
        </w:rPr>
        <w:t>Annual Review of Psychology</w:t>
      </w:r>
      <w:r>
        <w:t xml:space="preserve">, </w:t>
      </w:r>
      <w:r>
        <w:rPr>
          <w:i/>
          <w:iCs/>
        </w:rPr>
        <w:t>64</w:t>
      </w:r>
      <w:r>
        <w:t>(1), 135–168. https://doi.org/10.1146/annurev-psych-113011-143750</w:t>
      </w:r>
    </w:p>
    <w:p w14:paraId="2170328D" w14:textId="77777777" w:rsidR="00F144A2" w:rsidRDefault="00F144A2" w:rsidP="00F144A2">
      <w:pPr>
        <w:pStyle w:val="Bibliography"/>
      </w:pPr>
      <w:r>
        <w:t xml:space="preserve">Doss, M. K., Považan, M., Rosenberg, M. D., Sepeda, N. D., Davis, A. K., Finan, P. H., Smith, G. S., Pekar, J. J., Barker, P. B., Griffiths, R. R., &amp; Barrett, F. S. (2021). Psilocybin therapy increases cognitive and neural flexibility in patients with major depressive disorder. </w:t>
      </w:r>
      <w:r>
        <w:rPr>
          <w:i/>
          <w:iCs/>
        </w:rPr>
        <w:t>Translational Psychiatry</w:t>
      </w:r>
      <w:r>
        <w:t xml:space="preserve">, </w:t>
      </w:r>
      <w:r>
        <w:rPr>
          <w:i/>
          <w:iCs/>
        </w:rPr>
        <w:t>11</w:t>
      </w:r>
      <w:r>
        <w:t>(1). https://doi.org/10.1038/s41398-021-01706-y</w:t>
      </w:r>
    </w:p>
    <w:p w14:paraId="685001D8" w14:textId="77777777" w:rsidR="00F144A2" w:rsidRDefault="00F144A2" w:rsidP="00F144A2">
      <w:pPr>
        <w:pStyle w:val="Bibliography"/>
      </w:pPr>
      <w:r>
        <w:t xml:space="preserve">Duman, I., Ehmann, I. S., Gonsalves, A. R., Gültekin, Z., Van Den Berckt, J., &amp; Van Leeuwen, C. (2022). The No-Report Paradigm: A Revolution in Consciousness Research? </w:t>
      </w:r>
      <w:r>
        <w:rPr>
          <w:i/>
          <w:iCs/>
        </w:rPr>
        <w:t>Frontiers in Human Neuroscience</w:t>
      </w:r>
      <w:r>
        <w:t xml:space="preserve">, </w:t>
      </w:r>
      <w:r>
        <w:rPr>
          <w:i/>
          <w:iCs/>
        </w:rPr>
        <w:t>16</w:t>
      </w:r>
      <w:r>
        <w:t>. https://doi.org/10.3389/fnhum.2022.861517</w:t>
      </w:r>
    </w:p>
    <w:p w14:paraId="6063A544" w14:textId="77777777" w:rsidR="00F144A2" w:rsidRDefault="00F144A2" w:rsidP="00F144A2">
      <w:pPr>
        <w:pStyle w:val="Bibliography"/>
      </w:pPr>
      <w:r>
        <w:t xml:space="preserve">Ebbesen, C. L., &amp; Brecht, M. (2017). Motor cortex — to act or not to act? </w:t>
      </w:r>
      <w:r>
        <w:rPr>
          <w:i/>
          <w:iCs/>
        </w:rPr>
        <w:t>Nature Reviews. Neuroscience</w:t>
      </w:r>
      <w:r>
        <w:t xml:space="preserve">, </w:t>
      </w:r>
      <w:r>
        <w:rPr>
          <w:i/>
          <w:iCs/>
        </w:rPr>
        <w:t>18</w:t>
      </w:r>
      <w:r>
        <w:t>(11), 694–705. https://doi.org/10.1038/nrn.2017.119</w:t>
      </w:r>
    </w:p>
    <w:p w14:paraId="69C80DD3" w14:textId="77777777" w:rsidR="00F144A2" w:rsidRDefault="00F144A2" w:rsidP="00F144A2">
      <w:pPr>
        <w:pStyle w:val="Bibliography"/>
      </w:pPr>
      <w:r>
        <w:t xml:space="preserve">Egner, T. (2023). Principles of cognitive control over task focus and task switching. </w:t>
      </w:r>
      <w:r>
        <w:rPr>
          <w:i/>
          <w:iCs/>
        </w:rPr>
        <w:t>Nature Reviews Psychology</w:t>
      </w:r>
      <w:r>
        <w:t xml:space="preserve">, </w:t>
      </w:r>
      <w:r>
        <w:rPr>
          <w:i/>
          <w:iCs/>
        </w:rPr>
        <w:t>2</w:t>
      </w:r>
      <w:r>
        <w:t>(11), 702–714. https://doi.org/10.1038/s44159-023-00234-4</w:t>
      </w:r>
    </w:p>
    <w:p w14:paraId="3AC7359D" w14:textId="77777777" w:rsidR="00F144A2" w:rsidRDefault="00F144A2" w:rsidP="00F144A2">
      <w:pPr>
        <w:pStyle w:val="Bibliography"/>
      </w:pPr>
      <w:r>
        <w:t xml:space="preserve">Enriquez-Geppert, S., Konrad, C., Pantev, C., &amp; Huster, R. J. (2010). Conflict and inhibition differentially affect the N200/P300 complex in a combined go/nogo and stop-signal task. </w:t>
      </w:r>
      <w:r>
        <w:rPr>
          <w:i/>
          <w:iCs/>
        </w:rPr>
        <w:t>NeuroImage</w:t>
      </w:r>
      <w:r>
        <w:t xml:space="preserve">, </w:t>
      </w:r>
      <w:r>
        <w:rPr>
          <w:i/>
          <w:iCs/>
        </w:rPr>
        <w:t>51</w:t>
      </w:r>
      <w:r>
        <w:t>(2), 877–887. https://doi.org/10.1016/j.neuroimage.2010.02.043</w:t>
      </w:r>
    </w:p>
    <w:p w14:paraId="07609956" w14:textId="77777777" w:rsidR="00F144A2" w:rsidRDefault="00F144A2" w:rsidP="00F144A2">
      <w:pPr>
        <w:pStyle w:val="Bibliography"/>
      </w:pPr>
      <w:r>
        <w:t xml:space="preserve">Evarts, E. V., Landau, W., Freygang, W., &amp; Marshall, W. H. (1955). Some Effects of Lysergic Acid Diethylamide and Bufotenine on Electrical Activity in the Cat’s Visual System. </w:t>
      </w:r>
      <w:r>
        <w:rPr>
          <w:i/>
          <w:iCs/>
        </w:rPr>
        <w:t>American Journal of Physiology/the American Journal of Physiology</w:t>
      </w:r>
      <w:r>
        <w:t xml:space="preserve">, </w:t>
      </w:r>
      <w:r>
        <w:rPr>
          <w:i/>
          <w:iCs/>
        </w:rPr>
        <w:t>182</w:t>
      </w:r>
      <w:r>
        <w:t>(3), 594–598. https://doi.org/10.1152/ajplegacy.1955.182.3.594</w:t>
      </w:r>
    </w:p>
    <w:p w14:paraId="1FE72ECB" w14:textId="77777777" w:rsidR="00F144A2" w:rsidRDefault="00F144A2" w:rsidP="00F144A2">
      <w:pPr>
        <w:pStyle w:val="Bibliography"/>
      </w:pPr>
      <w:r>
        <w:lastRenderedPageBreak/>
        <w:t xml:space="preserve">Fearn, K., &amp; Bhattacharyya, K. K. (2024). Is Use of Psychedelic Drugs a Risk or Protective Factor for Late-Life Cognitive Decline? </w:t>
      </w:r>
      <w:r>
        <w:rPr>
          <w:i/>
          <w:iCs/>
        </w:rPr>
        <w:t>Gerontology &amp; Geriatric Medicine</w:t>
      </w:r>
      <w:r>
        <w:t xml:space="preserve">, </w:t>
      </w:r>
      <w:r>
        <w:rPr>
          <w:i/>
          <w:iCs/>
        </w:rPr>
        <w:t>10</w:t>
      </w:r>
      <w:r>
        <w:t>. https://doi.org/10.1177/23337214241250108</w:t>
      </w:r>
    </w:p>
    <w:p w14:paraId="02FADE38" w14:textId="77777777" w:rsidR="00F144A2" w:rsidRDefault="00F144A2" w:rsidP="00F144A2">
      <w:pPr>
        <w:pStyle w:val="Bibliography"/>
      </w:pPr>
      <w:r>
        <w:t xml:space="preserve">Fertuck, E. A., Keilp, J., Song, I., Morris, M. C., Wilson, S. T., Brodsky, B. S., &amp; Stanley, B. (2011). Higher Executive Control and Visual Memory Performance Predict Treatment Completion in Borderline Personality Disorder. </w:t>
      </w:r>
      <w:r>
        <w:rPr>
          <w:i/>
          <w:iCs/>
        </w:rPr>
        <w:t>Psychotherapy and Psychosomatics</w:t>
      </w:r>
      <w:r>
        <w:t xml:space="preserve">, </w:t>
      </w:r>
      <w:r>
        <w:rPr>
          <w:i/>
          <w:iCs/>
        </w:rPr>
        <w:t>81</w:t>
      </w:r>
      <w:r>
        <w:t>(1), 38–43. https://doi.org/10.1159/000329700</w:t>
      </w:r>
    </w:p>
    <w:p w14:paraId="6D2BADDB" w14:textId="77777777" w:rsidR="00F144A2" w:rsidRDefault="00F144A2" w:rsidP="00F144A2">
      <w:pPr>
        <w:pStyle w:val="Bibliography"/>
      </w:pPr>
      <w:r>
        <w:t xml:space="preserve">Fisher, C. D. (1998). Effects of External and Internal Interruptions on Boredom at Work: Two Studies. </w:t>
      </w:r>
      <w:r>
        <w:rPr>
          <w:i/>
          <w:iCs/>
        </w:rPr>
        <w:t>Journal of Organizational Behavior</w:t>
      </w:r>
      <w:r>
        <w:t xml:space="preserve">, </w:t>
      </w:r>
      <w:r>
        <w:rPr>
          <w:i/>
          <w:iCs/>
        </w:rPr>
        <w:t>19</w:t>
      </w:r>
      <w:r>
        <w:t>(5), 503–522. https://www.jstor.org/stable/3100240</w:t>
      </w:r>
    </w:p>
    <w:p w14:paraId="3FB9AE83" w14:textId="77777777" w:rsidR="00F144A2" w:rsidRDefault="00F144A2" w:rsidP="00F144A2">
      <w:pPr>
        <w:pStyle w:val="Bibliography"/>
      </w:pPr>
      <w:r>
        <w:t xml:space="preserve">Fragkos, K. C., Tsagris, M., &amp; Frangos, C. C. (2014). Publication Bias in Meta-Analysis: Confidence Intervals for Rosenthal’s Fail-Safe Number. </w:t>
      </w:r>
      <w:r>
        <w:rPr>
          <w:i/>
          <w:iCs/>
        </w:rPr>
        <w:t>International Scholarly Research Notices</w:t>
      </w:r>
      <w:r>
        <w:t xml:space="preserve">, </w:t>
      </w:r>
      <w:r>
        <w:rPr>
          <w:i/>
          <w:iCs/>
        </w:rPr>
        <w:t>2014</w:t>
      </w:r>
      <w:r>
        <w:t>, 1–17. https://doi.org/10.1155/2014/825383</w:t>
      </w:r>
    </w:p>
    <w:p w14:paraId="51689D0C" w14:textId="77777777" w:rsidR="00F144A2" w:rsidRDefault="00F144A2" w:rsidP="00F144A2">
      <w:pPr>
        <w:pStyle w:val="Bibliography"/>
      </w:pPr>
      <w:r>
        <w:t xml:space="preserve">Franklin, M. S., Smallwood, J., &amp; Schooler, J. W. (2011). Catching the mind in flight: Using behavioral indices to detect mindless reading in real time. </w:t>
      </w:r>
      <w:r>
        <w:rPr>
          <w:i/>
          <w:iCs/>
        </w:rPr>
        <w:t>Psychonomic Bulletin &amp; Review</w:t>
      </w:r>
      <w:r>
        <w:t xml:space="preserve">, </w:t>
      </w:r>
      <w:r>
        <w:rPr>
          <w:i/>
          <w:iCs/>
        </w:rPr>
        <w:t>18</w:t>
      </w:r>
      <w:r>
        <w:t>(5), 992–997. https://doi.org/10.3758/s13423-011-0109-6</w:t>
      </w:r>
    </w:p>
    <w:p w14:paraId="355DBDCF" w14:textId="77777777" w:rsidR="00F144A2" w:rsidRDefault="00F144A2" w:rsidP="00F144A2">
      <w:pPr>
        <w:pStyle w:val="Bibliography"/>
      </w:pPr>
      <w:r>
        <w:t xml:space="preserve">Friedman, N. P., &amp; Miyake, A. (2017). Unity and diversity of executive functions: Individual differences as a window on cognitive structure. </w:t>
      </w:r>
      <w:r>
        <w:rPr>
          <w:i/>
          <w:iCs/>
        </w:rPr>
        <w:t>Cortex</w:t>
      </w:r>
      <w:r>
        <w:t xml:space="preserve">, </w:t>
      </w:r>
      <w:r>
        <w:rPr>
          <w:i/>
          <w:iCs/>
        </w:rPr>
        <w:t>86</w:t>
      </w:r>
      <w:r>
        <w:t>, 186–204. https://doi.org/10.1016/j.cortex.2016.04.023</w:t>
      </w:r>
    </w:p>
    <w:p w14:paraId="68478FFA" w14:textId="77777777" w:rsidR="00F144A2" w:rsidRDefault="00F144A2" w:rsidP="00F144A2">
      <w:pPr>
        <w:pStyle w:val="Bibliography"/>
      </w:pPr>
      <w:r>
        <w:t xml:space="preserve">Geiger, H. A., Wurst, M., &amp; Daniels, R. N. (2018). DARK Classics in Chemical Neuroscience: Psilocybin. </w:t>
      </w:r>
      <w:r>
        <w:rPr>
          <w:i/>
          <w:iCs/>
        </w:rPr>
        <w:t>ACS Chemical Neuroscience</w:t>
      </w:r>
      <w:r>
        <w:t xml:space="preserve">, </w:t>
      </w:r>
      <w:r>
        <w:rPr>
          <w:i/>
          <w:iCs/>
        </w:rPr>
        <w:t>9</w:t>
      </w:r>
      <w:r>
        <w:t>(10), 2438–2447. https://doi.org/10.1021/acschemneuro.8b00186</w:t>
      </w:r>
    </w:p>
    <w:p w14:paraId="1C6B6B99" w14:textId="77777777" w:rsidR="00F144A2" w:rsidRDefault="00F144A2" w:rsidP="00F144A2">
      <w:pPr>
        <w:pStyle w:val="Bibliography"/>
      </w:pPr>
      <w:r>
        <w:lastRenderedPageBreak/>
        <w:t xml:space="preserve">Godefroy, O., Azouvi, P., Robert, P., Roussel, M., LeGall, D., &amp; Meulemans, T. (2010). Dysexecutive syndrome: Diagnostic criteria and validation study. </w:t>
      </w:r>
      <w:r>
        <w:rPr>
          <w:i/>
          <w:iCs/>
        </w:rPr>
        <w:t>Annals of Neurology</w:t>
      </w:r>
      <w:r>
        <w:t xml:space="preserve">, </w:t>
      </w:r>
      <w:r>
        <w:rPr>
          <w:i/>
          <w:iCs/>
        </w:rPr>
        <w:t>68</w:t>
      </w:r>
      <w:r>
        <w:t>(6), 855–864. https://doi.org/10.1002/ana.22117</w:t>
      </w:r>
    </w:p>
    <w:p w14:paraId="600B9722" w14:textId="77777777" w:rsidR="00F144A2" w:rsidRDefault="00F144A2" w:rsidP="00F144A2">
      <w:pPr>
        <w:pStyle w:val="Bibliography"/>
      </w:pPr>
      <w:r>
        <w:t xml:space="preserve">Gouzoulis-Mayfrank, E., Thelen, B., Maier, S., Heekeren, K., Kovar, K. A., Sass, H., &amp; Spitzer, M. (2002). Effects of the Hallucinogen Psilocybin on Covert Orienting of Visual Attention in Humans. </w:t>
      </w:r>
      <w:r>
        <w:rPr>
          <w:i/>
          <w:iCs/>
        </w:rPr>
        <w:t>Neuropsychobiology</w:t>
      </w:r>
      <w:r>
        <w:t xml:space="preserve">, </w:t>
      </w:r>
      <w:r>
        <w:rPr>
          <w:i/>
          <w:iCs/>
        </w:rPr>
        <w:t>45</w:t>
      </w:r>
      <w:r>
        <w:t>(4), 205–212. https://doi.org/10.1159/000063672</w:t>
      </w:r>
    </w:p>
    <w:p w14:paraId="37B1E94A" w14:textId="77777777" w:rsidR="00F144A2" w:rsidRDefault="00F144A2" w:rsidP="00F144A2">
      <w:pPr>
        <w:pStyle w:val="Bibliography"/>
      </w:pPr>
      <w:r>
        <w:t xml:space="preserve">Griffiths, R. R., Johnson, M. W., Carducci, M. A., Umbricht, A., Richards, W. A., Richards, B. D., Cosimano, M. P., &amp; Klinedinst, M. A. (2016). Psilocybin produces substantial and sustained decreases in depression and anxiety in patients with life-threatening cancer: A randomized double-blind trial. </w:t>
      </w:r>
      <w:r>
        <w:rPr>
          <w:i/>
          <w:iCs/>
        </w:rPr>
        <w:t>Journal of Psychopharmacology</w:t>
      </w:r>
      <w:r>
        <w:t xml:space="preserve">, </w:t>
      </w:r>
      <w:r>
        <w:rPr>
          <w:i/>
          <w:iCs/>
        </w:rPr>
        <w:t>30</w:t>
      </w:r>
      <w:r>
        <w:t>(12), 1181–1197. https://doi.org/10.1177/0269881116675513</w:t>
      </w:r>
    </w:p>
    <w:p w14:paraId="3F4F91FA" w14:textId="77777777" w:rsidR="00F144A2" w:rsidRDefault="00F144A2" w:rsidP="00F144A2">
      <w:pPr>
        <w:pStyle w:val="Bibliography"/>
      </w:pPr>
      <w:r>
        <w:t xml:space="preserve">Groves, S. J., Douglas, K. M., &amp; Porter, R. J. (2018). A Systematic Review of Cognitive Predictors of Treatment Outcome in Major Depression. </w:t>
      </w:r>
      <w:r>
        <w:rPr>
          <w:i/>
          <w:iCs/>
        </w:rPr>
        <w:t>Frontiers in Psychiatry</w:t>
      </w:r>
      <w:r>
        <w:t xml:space="preserve">, </w:t>
      </w:r>
      <w:r>
        <w:rPr>
          <w:i/>
          <w:iCs/>
        </w:rPr>
        <w:t>9</w:t>
      </w:r>
      <w:r>
        <w:t>. https://doi.org/10.3389/fpsyt.2018.00382</w:t>
      </w:r>
    </w:p>
    <w:p w14:paraId="6A9FF258" w14:textId="77777777" w:rsidR="00F144A2" w:rsidRDefault="00F144A2" w:rsidP="00F144A2">
      <w:pPr>
        <w:pStyle w:val="Bibliography"/>
      </w:pPr>
      <w:r>
        <w:t xml:space="preserve">Gukasyan, N., Davis, A. K., Barrett, F. S., Cosimano, M. P., Sepeda, N. D., Johnson, M. W., &amp; Griffiths, R. R. (2022). Efficacy and safety of psilocybin-assisted treatment for major depressive disorder: Prospective 12-month follow-up. </w:t>
      </w:r>
      <w:r>
        <w:rPr>
          <w:i/>
          <w:iCs/>
        </w:rPr>
        <w:t>Journal of Psychopharmacology</w:t>
      </w:r>
      <w:r>
        <w:t xml:space="preserve">, </w:t>
      </w:r>
      <w:r>
        <w:rPr>
          <w:i/>
          <w:iCs/>
        </w:rPr>
        <w:t>36</w:t>
      </w:r>
      <w:r>
        <w:t>(2), 151–158. https://doi.org/10.1177/02698811211073759</w:t>
      </w:r>
    </w:p>
    <w:p w14:paraId="15210199" w14:textId="77777777" w:rsidR="00F144A2" w:rsidRDefault="00F144A2" w:rsidP="00F144A2">
      <w:pPr>
        <w:pStyle w:val="Bibliography"/>
      </w:pPr>
      <w:r>
        <w:t xml:space="preserve">Halberstadt, A. L., &amp; Geyer, M. A. (2011). Multiple receptors contribute to the behavioral effects of indoleamine hallucinogens. </w:t>
      </w:r>
      <w:r>
        <w:rPr>
          <w:i/>
          <w:iCs/>
        </w:rPr>
        <w:t>Neuropharmacology</w:t>
      </w:r>
      <w:r>
        <w:t xml:space="preserve">, </w:t>
      </w:r>
      <w:r>
        <w:rPr>
          <w:i/>
          <w:iCs/>
        </w:rPr>
        <w:t>61</w:t>
      </w:r>
      <w:r>
        <w:t>(3), 364–381. https://doi.org/10.1016/j.neuropharm.2011.01.017</w:t>
      </w:r>
    </w:p>
    <w:p w14:paraId="2E470614" w14:textId="77777777" w:rsidR="00F144A2" w:rsidRDefault="00F144A2" w:rsidP="00F144A2">
      <w:pPr>
        <w:pStyle w:val="Bibliography"/>
      </w:pPr>
      <w:r>
        <w:t xml:space="preserve">Hasler, F., Grimberg, U., Benz, M. A., Huber, T., &amp; Vollenweider, F. X. (2004). Acute psychological and physiological effects of psilocybin in healthy humans: a double-blind, </w:t>
      </w:r>
      <w:r>
        <w:lastRenderedPageBreak/>
        <w:t xml:space="preserve">placebo-controlled dose?effect study. </w:t>
      </w:r>
      <w:r>
        <w:rPr>
          <w:i/>
          <w:iCs/>
        </w:rPr>
        <w:t>Psychopharmacology</w:t>
      </w:r>
      <w:r>
        <w:t xml:space="preserve">, </w:t>
      </w:r>
      <w:r>
        <w:rPr>
          <w:i/>
          <w:iCs/>
        </w:rPr>
        <w:t>172</w:t>
      </w:r>
      <w:r>
        <w:t>(2), 145–156. https://doi.org/10.1007/s00213-003-1640-6</w:t>
      </w:r>
    </w:p>
    <w:p w14:paraId="75C0E948" w14:textId="77777777" w:rsidR="00F144A2" w:rsidRDefault="00F144A2" w:rsidP="00F144A2">
      <w:pPr>
        <w:pStyle w:val="Bibliography"/>
      </w:pPr>
      <w:r>
        <w:t xml:space="preserve">Hendy, K. (2018). Placebo Problems: Boundary Work in the Psychedelic Science Renaissance. In </w:t>
      </w:r>
      <w:r>
        <w:rPr>
          <w:i/>
          <w:iCs/>
        </w:rPr>
        <w:t>Springer eBooks</w:t>
      </w:r>
      <w:r>
        <w:t xml:space="preserve"> (pp. 151–166). https://doi.org/10.1007/978-3-319-76720-8_9</w:t>
      </w:r>
    </w:p>
    <w:p w14:paraId="04C25BF5" w14:textId="77777777" w:rsidR="00F144A2" w:rsidRDefault="00F144A2" w:rsidP="00F144A2">
      <w:pPr>
        <w:pStyle w:val="Bibliography"/>
      </w:pPr>
      <w:r>
        <w:t xml:space="preserve">Hesselgrave, N., Troppoli, T. A., Wulff, A. B., Cole, A. B., &amp; Thompson, S. M. (2021). Harnessing psilocybin: antidepressant-like behavioral and synaptic actions of psilocybin are independent of 5-HT2R activation in mice. </w:t>
      </w:r>
      <w:r>
        <w:rPr>
          <w:i/>
          <w:iCs/>
        </w:rPr>
        <w:t>Proceedings of the National Academy of Sciences of the United States of America</w:t>
      </w:r>
      <w:r>
        <w:t xml:space="preserve">, </w:t>
      </w:r>
      <w:r>
        <w:rPr>
          <w:i/>
          <w:iCs/>
        </w:rPr>
        <w:t>118</w:t>
      </w:r>
      <w:r>
        <w:t>(17). https://doi.org/10.1073/pnas.2022489118</w:t>
      </w:r>
    </w:p>
    <w:p w14:paraId="2F4E6F97" w14:textId="77777777" w:rsidR="00F144A2" w:rsidRDefault="00F144A2" w:rsidP="00F144A2">
      <w:pPr>
        <w:pStyle w:val="Bibliography"/>
      </w:pPr>
      <w:r>
        <w:t xml:space="preserve">Higgins, J. P. T., Altman, D. G., Gotzsche, P. C., Juni, P., Moher, D., Oxman, A. D., Savovic, J., Schulz, K. F., Weeks, L., &amp; Sterne, J. a. C. (2011). The Cochrane Collaboration’s tool for assessing risk of bias in randomised trials. </w:t>
      </w:r>
      <w:r>
        <w:rPr>
          <w:i/>
          <w:iCs/>
        </w:rPr>
        <w:t>BMJ</w:t>
      </w:r>
      <w:r>
        <w:t xml:space="preserve">, </w:t>
      </w:r>
      <w:r>
        <w:rPr>
          <w:i/>
          <w:iCs/>
        </w:rPr>
        <w:t>343</w:t>
      </w:r>
      <w:r>
        <w:t>(oct18 2), d5928–d5928. https://doi.org/10.1136/bmj.d5928</w:t>
      </w:r>
    </w:p>
    <w:p w14:paraId="6F1BC66D" w14:textId="77777777" w:rsidR="00F144A2" w:rsidRDefault="00F144A2" w:rsidP="00F144A2">
      <w:pPr>
        <w:pStyle w:val="Bibliography"/>
      </w:pPr>
      <w:r>
        <w:t xml:space="preserve">Higgins, J., Savović, J., Page, M., Elbers, R., &amp; Sterne, J. (2023). Chapter 8: Assessing risk of bias in a randomized trial. In </w:t>
      </w:r>
      <w:r>
        <w:rPr>
          <w:i/>
          <w:iCs/>
        </w:rPr>
        <w:t>Cochrane Handbook for Systematic Reviews of Interventions</w:t>
      </w:r>
      <w:r>
        <w:t xml:space="preserve"> (6.4). Cochrane. https://www.training.cochrane.org/handbook</w:t>
      </w:r>
    </w:p>
    <w:p w14:paraId="179823E2" w14:textId="77777777" w:rsidR="00F144A2" w:rsidRDefault="00F144A2" w:rsidP="00F144A2">
      <w:pPr>
        <w:pStyle w:val="Bibliography"/>
      </w:pPr>
      <w:r>
        <w:t xml:space="preserve">Hirschfeld, T., &amp; Schmidt, T. T. (2021). Dose–response relationships of psilocybin-induced subjective experiences in humans. </w:t>
      </w:r>
      <w:r>
        <w:rPr>
          <w:i/>
          <w:iCs/>
        </w:rPr>
        <w:t>Journal of Psychopharmacology</w:t>
      </w:r>
      <w:r>
        <w:t xml:space="preserve">, </w:t>
      </w:r>
      <w:r>
        <w:rPr>
          <w:i/>
          <w:iCs/>
        </w:rPr>
        <w:t>35</w:t>
      </w:r>
      <w:r>
        <w:t>(4), 384–397. https://doi.org/10.1177/0269881121992676</w:t>
      </w:r>
    </w:p>
    <w:p w14:paraId="42A55850" w14:textId="77777777" w:rsidR="00F144A2" w:rsidRDefault="00F144A2" w:rsidP="00F144A2">
      <w:pPr>
        <w:pStyle w:val="Bibliography"/>
      </w:pPr>
      <w:r>
        <w:t xml:space="preserve">Holze, F., Avedisian, I., Varghese, N., Eckert, A., &amp; Liechti, M. E. (2021). Role of the 5-HT2A Receptor in Acute Effects of LSD on Empathy and Circulating Oxytocin. </w:t>
      </w:r>
      <w:r>
        <w:rPr>
          <w:i/>
          <w:iCs/>
        </w:rPr>
        <w:t>Frontiers in Pharmacology</w:t>
      </w:r>
      <w:r>
        <w:t xml:space="preserve">, </w:t>
      </w:r>
      <w:r>
        <w:rPr>
          <w:i/>
          <w:iCs/>
        </w:rPr>
        <w:t>12</w:t>
      </w:r>
      <w:r>
        <w:t>. https://doi.org/10.3389/fphar.2021.711255</w:t>
      </w:r>
    </w:p>
    <w:p w14:paraId="5C39CC47" w14:textId="77777777" w:rsidR="00F144A2" w:rsidRDefault="00F144A2" w:rsidP="00F144A2">
      <w:pPr>
        <w:pStyle w:val="Bibliography"/>
      </w:pPr>
      <w:r>
        <w:t xml:space="preserve">Holze, F., Becker, A. M., Kolaczynska, K. E., Duthaler, U., &amp; Liechti, M. E. (2022). Pharmacokinetics and Pharmacodynamics of Oral Psilocybin Administration in Healthy </w:t>
      </w:r>
      <w:r>
        <w:lastRenderedPageBreak/>
        <w:t xml:space="preserve">Participants. </w:t>
      </w:r>
      <w:r>
        <w:rPr>
          <w:i/>
          <w:iCs/>
        </w:rPr>
        <w:t>Clinical Pharmacology and Therapeutics/Clinical Pharmacology &amp; Therapeutics</w:t>
      </w:r>
      <w:r>
        <w:t xml:space="preserve">, </w:t>
      </w:r>
      <w:r>
        <w:rPr>
          <w:i/>
          <w:iCs/>
        </w:rPr>
        <w:t>113</w:t>
      </w:r>
      <w:r>
        <w:t>(4), 822–831. https://doi.org/10.1002/cpt.2821</w:t>
      </w:r>
    </w:p>
    <w:p w14:paraId="305EAA1E" w14:textId="77777777" w:rsidR="00F144A2" w:rsidRDefault="00F144A2" w:rsidP="00F144A2">
      <w:pPr>
        <w:pStyle w:val="Bibliography"/>
      </w:pPr>
      <w:r>
        <w:t xml:space="preserve">Hybel, K. A., Mortensen, E. L., Lambek, R., Højgaard, D. R., &amp; Thomsen, P. H. (2017). Executive function predicts cognitive-behavioral therapy response in childhood obsessive-compulsive disorder. </w:t>
      </w:r>
      <w:r>
        <w:rPr>
          <w:i/>
          <w:iCs/>
        </w:rPr>
        <w:t>Behaviour Research and Therapy</w:t>
      </w:r>
      <w:r>
        <w:t xml:space="preserve">, </w:t>
      </w:r>
      <w:r>
        <w:rPr>
          <w:i/>
          <w:iCs/>
        </w:rPr>
        <w:t>99</w:t>
      </w:r>
      <w:r>
        <w:t>, 11–18. https://doi.org/10.1016/j.brat.2017.08.009</w:t>
      </w:r>
    </w:p>
    <w:p w14:paraId="3AB11113" w14:textId="77777777" w:rsidR="00F144A2" w:rsidRDefault="00F144A2" w:rsidP="00F144A2">
      <w:pPr>
        <w:pStyle w:val="Bibliography"/>
      </w:pPr>
      <w:r>
        <w:t xml:space="preserve">Irizarry, R., Winczura, A., Dimassi, O., Dhillon, N. K., Minhas, A., &amp; Larice, J. (2022). Psilocybin as a Treatment for Psychiatric Illness: A Meta-Analysis. </w:t>
      </w:r>
      <w:r>
        <w:rPr>
          <w:i/>
          <w:iCs/>
        </w:rPr>
        <w:t>Cureus</w:t>
      </w:r>
      <w:r>
        <w:t>. https://doi.org/10.7759/cureus.31796</w:t>
      </w:r>
    </w:p>
    <w:p w14:paraId="35E8C704" w14:textId="77777777" w:rsidR="00F144A2" w:rsidRDefault="00F144A2" w:rsidP="00F144A2">
      <w:pPr>
        <w:pStyle w:val="Bibliography"/>
      </w:pPr>
      <w:r>
        <w:t xml:space="preserve">Jakobsen, L. H., Sorensen, J. M., Rask, I. K., Jensen, B. S., &amp; Kondrup, J. (2011). Validation of reaction time as a measure of cognitive function and quality of life in healthy subjects and patients. </w:t>
      </w:r>
      <w:r>
        <w:rPr>
          <w:i/>
          <w:iCs/>
        </w:rPr>
        <w:t>Nutrition</w:t>
      </w:r>
      <w:r>
        <w:t xml:space="preserve">, </w:t>
      </w:r>
      <w:r>
        <w:rPr>
          <w:i/>
          <w:iCs/>
        </w:rPr>
        <w:t>27</w:t>
      </w:r>
      <w:r>
        <w:t>(5), 561–570. https://doi.org/10.1016/j.nut.2010.08.003</w:t>
      </w:r>
    </w:p>
    <w:p w14:paraId="3E27B860" w14:textId="77777777" w:rsidR="00F144A2" w:rsidRDefault="00F144A2" w:rsidP="00F144A2">
      <w:pPr>
        <w:pStyle w:val="Bibliography"/>
      </w:pPr>
      <w:r>
        <w:t xml:space="preserve">Kawashima, T. (2018). The role of the serotonergic system in motor control. </w:t>
      </w:r>
      <w:r>
        <w:rPr>
          <w:i/>
          <w:iCs/>
        </w:rPr>
        <w:t>Neuroscience Research</w:t>
      </w:r>
      <w:r>
        <w:t xml:space="preserve">, </w:t>
      </w:r>
      <w:r>
        <w:rPr>
          <w:i/>
          <w:iCs/>
        </w:rPr>
        <w:t>129</w:t>
      </w:r>
      <w:r>
        <w:t>, 32–39. https://doi.org/10.1016/j.neures.2017.07.005</w:t>
      </w:r>
    </w:p>
    <w:p w14:paraId="14D8FF23" w14:textId="77777777" w:rsidR="00F144A2" w:rsidRDefault="00F144A2" w:rsidP="00F144A2">
      <w:pPr>
        <w:pStyle w:val="Bibliography"/>
      </w:pPr>
      <w:r>
        <w:t xml:space="preserve">Ki, J. J., Kelly, S. P., &amp; Parra, L. C. (2016). Attention Strongly Modulates Reliability of Neural Responses to Naturalistic Narrative Stimuli. </w:t>
      </w:r>
      <w:r>
        <w:rPr>
          <w:i/>
          <w:iCs/>
        </w:rPr>
        <w:t>the Journal of Neuroscience/the Journal of Neuroscience</w:t>
      </w:r>
      <w:r>
        <w:t xml:space="preserve">, </w:t>
      </w:r>
      <w:r>
        <w:rPr>
          <w:i/>
          <w:iCs/>
        </w:rPr>
        <w:t>36</w:t>
      </w:r>
      <w:r>
        <w:t>(10), 3092–3101. https://doi.org/10.1523/jneurosci.2942-15.2016</w:t>
      </w:r>
    </w:p>
    <w:p w14:paraId="63C0A765" w14:textId="77777777" w:rsidR="00F144A2" w:rsidRDefault="00F144A2" w:rsidP="00F144A2">
      <w:pPr>
        <w:pStyle w:val="Bibliography"/>
      </w:pPr>
      <w:r>
        <w:t xml:space="preserve">Kieffaber, P. D., &amp; Hetrick, W. P. (2005). Event‐related potential correlates of task switching and switch costs. </w:t>
      </w:r>
      <w:r>
        <w:rPr>
          <w:i/>
          <w:iCs/>
        </w:rPr>
        <w:t>Psychophysiology</w:t>
      </w:r>
      <w:r>
        <w:t xml:space="preserve">, </w:t>
      </w:r>
      <w:r>
        <w:rPr>
          <w:i/>
          <w:iCs/>
        </w:rPr>
        <w:t>42</w:t>
      </w:r>
      <w:r>
        <w:t>(1), 56–71. https://doi.org/10.1111/j.1469-8986.2005.00262.x</w:t>
      </w:r>
    </w:p>
    <w:p w14:paraId="70E2CB0B" w14:textId="77777777" w:rsidR="00F144A2" w:rsidRDefault="00F144A2" w:rsidP="00F144A2">
      <w:pPr>
        <w:pStyle w:val="Bibliography"/>
      </w:pPr>
      <w:r>
        <w:t xml:space="preserve">Kiesel, A., Steinhauser, M., Wendt, M., Falkenstein, M., Jost, K., Philipp, A. M., &amp; Koch, I. (2010a). Control and interference in task switching—A review. </w:t>
      </w:r>
      <w:r>
        <w:rPr>
          <w:i/>
          <w:iCs/>
        </w:rPr>
        <w:t>Psychological Bulletin</w:t>
      </w:r>
      <w:r>
        <w:t xml:space="preserve">, </w:t>
      </w:r>
      <w:r>
        <w:rPr>
          <w:i/>
          <w:iCs/>
        </w:rPr>
        <w:t>136</w:t>
      </w:r>
      <w:r>
        <w:t>(5), 849–874. https://doi.org/10.1037/a0019842</w:t>
      </w:r>
    </w:p>
    <w:p w14:paraId="479460C7" w14:textId="77777777" w:rsidR="00F144A2" w:rsidRDefault="00F144A2" w:rsidP="00F144A2">
      <w:pPr>
        <w:pStyle w:val="Bibliography"/>
      </w:pPr>
      <w:r>
        <w:lastRenderedPageBreak/>
        <w:t xml:space="preserve">Kiesel, A., Steinhauser, M., Wendt, M., Falkenstein, M., Jost, K., Philipp, A. M., &amp; Koch, I. (2010b). Control and interference in task switching—A review. </w:t>
      </w:r>
      <w:r>
        <w:rPr>
          <w:i/>
          <w:iCs/>
        </w:rPr>
        <w:t>Psychological Bulletin</w:t>
      </w:r>
      <w:r>
        <w:t xml:space="preserve">, </w:t>
      </w:r>
      <w:r>
        <w:rPr>
          <w:i/>
          <w:iCs/>
        </w:rPr>
        <w:t>136</w:t>
      </w:r>
      <w:r>
        <w:t>(5), 849–874. https://doi.org/10.1037/a0019842</w:t>
      </w:r>
    </w:p>
    <w:p w14:paraId="22518ED5" w14:textId="77777777" w:rsidR="00F144A2" w:rsidRDefault="00F144A2" w:rsidP="00F144A2">
      <w:pPr>
        <w:pStyle w:val="Bibliography"/>
      </w:pPr>
      <w:r>
        <w:t xml:space="preserve">Koch, I., Poljac, E., Müller, H., &amp; Kiesel, A. (2018). Cognitive structure, flexibility, and plasticity in human multitasking—An integrative review of dual-task and task-switching research. </w:t>
      </w:r>
      <w:r>
        <w:rPr>
          <w:i/>
          <w:iCs/>
        </w:rPr>
        <w:t>Psychological Bulletin</w:t>
      </w:r>
      <w:r>
        <w:t xml:space="preserve">, </w:t>
      </w:r>
      <w:r>
        <w:rPr>
          <w:i/>
          <w:iCs/>
        </w:rPr>
        <w:t>144</w:t>
      </w:r>
      <w:r>
        <w:t>(6), 557–583. https://doi.org/10.1037/bul0000144</w:t>
      </w:r>
    </w:p>
    <w:p w14:paraId="2DE1415E" w14:textId="77777777" w:rsidR="00F144A2" w:rsidRDefault="00F144A2" w:rsidP="00F144A2">
      <w:pPr>
        <w:pStyle w:val="Bibliography"/>
      </w:pPr>
      <w:r>
        <w:t xml:space="preserve">Kometer, M., Schmidt, A., Bachmann, R., Studerus, E., Seifritz, E., &amp; Vollenweider, F. X. (2012). Psilocybin Biases Facial Recognition, Goal-Directed Behavior, and Mood State Toward Positive Relative to Negative Emotions Through Different Serotonergic Subreceptors. </w:t>
      </w:r>
      <w:r>
        <w:rPr>
          <w:i/>
          <w:iCs/>
        </w:rPr>
        <w:t>Biological Psychiatry</w:t>
      </w:r>
      <w:r>
        <w:t xml:space="preserve">, </w:t>
      </w:r>
      <w:r>
        <w:rPr>
          <w:i/>
          <w:iCs/>
        </w:rPr>
        <w:t>72</w:t>
      </w:r>
      <w:r>
        <w:t>(11), 898–906. https://doi.org/10.1016/j.biopsych.2012.04.005</w:t>
      </w:r>
    </w:p>
    <w:p w14:paraId="359591A2" w14:textId="77777777" w:rsidR="00F144A2" w:rsidRDefault="00F144A2" w:rsidP="00F144A2">
      <w:pPr>
        <w:pStyle w:val="Bibliography"/>
      </w:pPr>
      <w:r>
        <w:t xml:space="preserve">Langlitz, N. (2012). </w:t>
      </w:r>
      <w:r>
        <w:rPr>
          <w:i/>
          <w:iCs/>
        </w:rPr>
        <w:t>Neuropsychedelia: The Revival of Hallucinogen Research since the Decade of the Brain</w:t>
      </w:r>
      <w:r>
        <w:t>. Univ of California Press.</w:t>
      </w:r>
    </w:p>
    <w:p w14:paraId="4600CF90" w14:textId="77777777" w:rsidR="00F144A2" w:rsidRDefault="00F144A2" w:rsidP="00F144A2">
      <w:pPr>
        <w:pStyle w:val="Bibliography"/>
      </w:pPr>
      <w:r>
        <w:t xml:space="preserve">Lavie, N. (2010). Attention, Distraction, and Cognitive Control Under Load. </w:t>
      </w:r>
      <w:r>
        <w:rPr>
          <w:i/>
          <w:iCs/>
        </w:rPr>
        <w:t>Current Directions in Psychological Science</w:t>
      </w:r>
      <w:r>
        <w:t xml:space="preserve">, </w:t>
      </w:r>
      <w:r>
        <w:rPr>
          <w:i/>
          <w:iCs/>
        </w:rPr>
        <w:t>19</w:t>
      </w:r>
      <w:r>
        <w:t>(3), 143–148. https://doi.org/10.1177/0963721410370295</w:t>
      </w:r>
    </w:p>
    <w:p w14:paraId="2827ADBE" w14:textId="77777777" w:rsidR="00F144A2" w:rsidRDefault="00F144A2" w:rsidP="00F144A2">
      <w:pPr>
        <w:pStyle w:val="Bibliography"/>
      </w:pPr>
      <w:r>
        <w:t xml:space="preserve">Lawn, T., Dipasquale, O., Vamvakas, A., Tsougos, I., Mehta, M. A., &amp; Howard, M. A. (2022). Differential contributions of serotonergic and dopaminergic functional connectivity to the phenomenology of LSD. </w:t>
      </w:r>
      <w:r>
        <w:rPr>
          <w:i/>
          <w:iCs/>
        </w:rPr>
        <w:t>Psychopharmacology/Psychopharmacologia</w:t>
      </w:r>
      <w:r>
        <w:t xml:space="preserve">, </w:t>
      </w:r>
      <w:r>
        <w:rPr>
          <w:i/>
          <w:iCs/>
        </w:rPr>
        <w:t>239</w:t>
      </w:r>
      <w:r>
        <w:t>(6), 1797–1808. https://doi.org/10.1007/s00213-022-06117-5</w:t>
      </w:r>
    </w:p>
    <w:p w14:paraId="1541111E" w14:textId="77777777" w:rsidR="00F144A2" w:rsidRDefault="00F144A2" w:rsidP="00F144A2">
      <w:pPr>
        <w:pStyle w:val="Bibliography"/>
      </w:pPr>
      <w:r>
        <w:t xml:space="preserve">Leone, C., Feys, P., Moumdjian, L., D’Amico, E., Zappia, M., &amp; Patti, F. (2017). Cognitive-motor dual-task interference: A systematic review of neural correlates. </w:t>
      </w:r>
      <w:r>
        <w:rPr>
          <w:i/>
          <w:iCs/>
        </w:rPr>
        <w:t>Neuroscience &amp; Biobehavioral Reviews/Neuroscience and Biobehavioral Reviews</w:t>
      </w:r>
      <w:r>
        <w:t xml:space="preserve">, </w:t>
      </w:r>
      <w:r>
        <w:rPr>
          <w:i/>
          <w:iCs/>
        </w:rPr>
        <w:t>75</w:t>
      </w:r>
      <w:r>
        <w:t>, 348–360. https://doi.org/10.1016/j.neubiorev.2017.01.010</w:t>
      </w:r>
    </w:p>
    <w:p w14:paraId="7C3A5D1F" w14:textId="77777777" w:rsidR="00F144A2" w:rsidRDefault="00F144A2" w:rsidP="00F144A2">
      <w:pPr>
        <w:pStyle w:val="Bibliography"/>
      </w:pPr>
      <w:r>
        <w:lastRenderedPageBreak/>
        <w:t xml:space="preserve">Lewis, C. R., Preller, K. H., Braden, B. B., Riecken, C., &amp; Vollenweider, F. X. (2020). Rostral Anterior Cingulate Thickness Predicts the Emotional Psilocybin Experience. </w:t>
      </w:r>
      <w:r>
        <w:rPr>
          <w:i/>
          <w:iCs/>
        </w:rPr>
        <w:t>Biomedicines</w:t>
      </w:r>
      <w:r>
        <w:t xml:space="preserve">, </w:t>
      </w:r>
      <w:r>
        <w:rPr>
          <w:i/>
          <w:iCs/>
        </w:rPr>
        <w:t>8</w:t>
      </w:r>
      <w:r>
        <w:t>(2), 34. https://doi.org/10.3390/biomedicines8020034</w:t>
      </w:r>
    </w:p>
    <w:p w14:paraId="66137B6D" w14:textId="77777777" w:rsidR="00F144A2" w:rsidRDefault="00F144A2" w:rsidP="00F144A2">
      <w:pPr>
        <w:pStyle w:val="Bibliography"/>
      </w:pPr>
      <w:r>
        <w:t xml:space="preserve">Li, N., Hu, Y., Chen, W., &amp; Zhang, B. (2022). Dose effect of psilocybin on primary and secondary depression: a preliminary systematic review and meta-analysis. </w:t>
      </w:r>
      <w:r>
        <w:rPr>
          <w:i/>
          <w:iCs/>
        </w:rPr>
        <w:t>Journal of Affective Disorders</w:t>
      </w:r>
      <w:r>
        <w:t xml:space="preserve">, </w:t>
      </w:r>
      <w:r>
        <w:rPr>
          <w:i/>
          <w:iCs/>
        </w:rPr>
        <w:t>296</w:t>
      </w:r>
      <w:r>
        <w:t>, 26–34. https://doi.org/10.1016/j.jad.2021.09.041</w:t>
      </w:r>
    </w:p>
    <w:p w14:paraId="1472E688" w14:textId="77777777" w:rsidR="00F144A2" w:rsidRDefault="00F144A2" w:rsidP="00F144A2">
      <w:pPr>
        <w:pStyle w:val="Bibliography"/>
      </w:pPr>
      <w:r>
        <w:t xml:space="preserve">Liemburg, E. J., Enriquez-Geppert, S., Wardenaar, K. J., Bruggeman, R., Aleman, A., Castelein, S., Knegtering, H., Veling, W., Alizadeh, B. Z., Van Amelsvoort, T., Bartels-Velthuis, A. A., Van Beveren, N. J., Bruggeman, R., Cahn, W., De Haan, L., Delespaul, P., Luykx, J. J., Myin-Germeys, I., Kahn, R. S., . . . Van Winkel, R. (2020). Expressive deficits and amotivation as mediators of the associations between cognitive problems and functional outcomes: Results from two independent cohorts. </w:t>
      </w:r>
      <w:r>
        <w:rPr>
          <w:i/>
          <w:iCs/>
        </w:rPr>
        <w:t>Schizophrenia Research</w:t>
      </w:r>
      <w:r>
        <w:t xml:space="preserve">, </w:t>
      </w:r>
      <w:r>
        <w:rPr>
          <w:i/>
          <w:iCs/>
        </w:rPr>
        <w:t>218</w:t>
      </w:r>
      <w:r>
        <w:t>, 283–291. https://doi.org/10.1016/j.schres.2019.12.018</w:t>
      </w:r>
    </w:p>
    <w:p w14:paraId="1702B265" w14:textId="77777777" w:rsidR="00F144A2" w:rsidRDefault="00F144A2" w:rsidP="00F144A2">
      <w:pPr>
        <w:pStyle w:val="Bibliography"/>
      </w:pPr>
      <w:r>
        <w:t xml:space="preserve">Luciana, M., Collins, P. F., Olson, E. A., &amp; Schissel, A. M. (2009). Tower of London Performance in Healthy Adolescents: The Development of Planning Skills and Associations With Self-Reported Inattention and Impulsivity. </w:t>
      </w:r>
      <w:r>
        <w:rPr>
          <w:i/>
          <w:iCs/>
        </w:rPr>
        <w:t>Developmental Neuropsychology/Developmental Neuropsychology :</w:t>
      </w:r>
      <w:r>
        <w:t xml:space="preserve">, </w:t>
      </w:r>
      <w:r>
        <w:rPr>
          <w:i/>
          <w:iCs/>
        </w:rPr>
        <w:t>34</w:t>
      </w:r>
      <w:r>
        <w:t>(4), 461–475. https://doi.org/10.1080/87565640902964540</w:t>
      </w:r>
    </w:p>
    <w:p w14:paraId="5D828F00" w14:textId="77777777" w:rsidR="00F144A2" w:rsidRDefault="00F144A2" w:rsidP="00F144A2">
      <w:pPr>
        <w:pStyle w:val="Bibliography"/>
      </w:pPr>
      <w:r>
        <w:t xml:space="preserve">Maddox, W. T., &amp; Markman, A. B. (2010). The Motivation–Cognition Interface in Learning and Decision Making. </w:t>
      </w:r>
      <w:r>
        <w:rPr>
          <w:i/>
          <w:iCs/>
        </w:rPr>
        <w:t>Current Directions in Psychological Science</w:t>
      </w:r>
      <w:r>
        <w:t xml:space="preserve">, </w:t>
      </w:r>
      <w:r>
        <w:rPr>
          <w:i/>
          <w:iCs/>
        </w:rPr>
        <w:t>19</w:t>
      </w:r>
      <w:r>
        <w:t>(2), 106–110. https://doi.org/10.1177/0963721410364008</w:t>
      </w:r>
    </w:p>
    <w:p w14:paraId="74B4E9AF" w14:textId="77777777" w:rsidR="00F144A2" w:rsidRDefault="00F144A2" w:rsidP="00F144A2">
      <w:pPr>
        <w:pStyle w:val="Bibliography"/>
      </w:pPr>
      <w:r>
        <w:t>Madsen, M. K., Stenbæk, D. S., Arvidsson, A., Armand, S., Marstrand-Joergensen, M. R., Johansen, S. S., Linnet, K., Ozenne, B., Knudsen, G. M., &amp; Fisher, P. M. (2021). Psilocybin-</w:t>
      </w:r>
      <w:r>
        <w:lastRenderedPageBreak/>
        <w:t xml:space="preserve">induced changes in brain network integrity and segregation correlate with plasma psilocin level and psychedelic experience. </w:t>
      </w:r>
      <w:r>
        <w:rPr>
          <w:i/>
          <w:iCs/>
        </w:rPr>
        <w:t>European Neuropsychopharmacology</w:t>
      </w:r>
      <w:r>
        <w:t xml:space="preserve">, </w:t>
      </w:r>
      <w:r>
        <w:rPr>
          <w:i/>
          <w:iCs/>
        </w:rPr>
        <w:t>50</w:t>
      </w:r>
      <w:r>
        <w:t>, 121–132. https://doi.org/10.1016/j.euroneuro.2021.06.001</w:t>
      </w:r>
    </w:p>
    <w:p w14:paraId="5B75D3FC" w14:textId="77777777" w:rsidR="00F144A2" w:rsidRDefault="00F144A2" w:rsidP="00F144A2">
      <w:pPr>
        <w:pStyle w:val="Bibliography"/>
      </w:pPr>
      <w:r>
        <w:t xml:space="preserve">Mallaroni, P., Mason, N. L., Reckweg, J. T., Paci, R., Ritscher, S., Toennes, S. W., Theunissen, E. L., Kuypers, K. P., &amp; Ramaekers, J. G. (2023). Assessment of the acute effects of 2C-B vs psilocybin on subjective experience, mood and cognition. </w:t>
      </w:r>
      <w:r>
        <w:rPr>
          <w:i/>
          <w:iCs/>
        </w:rPr>
        <w:t>-</w:t>
      </w:r>
      <w:r>
        <w:t>. https://doi.org/10.1101/2023.02.16.528808</w:t>
      </w:r>
    </w:p>
    <w:p w14:paraId="52525CA9" w14:textId="77777777" w:rsidR="00F144A2" w:rsidRDefault="00F144A2" w:rsidP="00F144A2">
      <w:pPr>
        <w:pStyle w:val="Bibliography"/>
      </w:pPr>
      <w:r>
        <w:t xml:space="preserve">Marschall, J., Fejer, G., Lempe, P., Prochazkova, L., Kuchar, M., Hajkova, K., &amp; Van Elk, M. (2021). Psilocybin microdosing does not affect emotion-related symptoms and processing: A preregistered field and lab-based study. </w:t>
      </w:r>
      <w:r>
        <w:rPr>
          <w:i/>
          <w:iCs/>
        </w:rPr>
        <w:t>Journal of Psychopharmacology</w:t>
      </w:r>
      <w:r>
        <w:t xml:space="preserve">, </w:t>
      </w:r>
      <w:r>
        <w:rPr>
          <w:i/>
          <w:iCs/>
        </w:rPr>
        <w:t>36</w:t>
      </w:r>
      <w:r>
        <w:t>(1), 97–113. https://doi.org/10.1177/02698811211050556</w:t>
      </w:r>
    </w:p>
    <w:p w14:paraId="3CB9B1BC" w14:textId="77777777" w:rsidR="00F144A2" w:rsidRDefault="00F144A2" w:rsidP="00F144A2">
      <w:pPr>
        <w:pStyle w:val="Bibliography"/>
      </w:pPr>
      <w:r>
        <w:t xml:space="preserve">Mason, N. L., Mischler, E., Uthaug, M. V., &amp; Kuypers, K. P. C. (2019). Sub-Acute effects of Psilocybin on empathy, creative thinking, and Subjective Well-Being. </w:t>
      </w:r>
      <w:r>
        <w:rPr>
          <w:i/>
          <w:iCs/>
        </w:rPr>
        <w:t>Journal of Psychoactive Drugs</w:t>
      </w:r>
      <w:r>
        <w:t xml:space="preserve">, </w:t>
      </w:r>
      <w:r>
        <w:rPr>
          <w:i/>
          <w:iCs/>
        </w:rPr>
        <w:t>51</w:t>
      </w:r>
      <w:r>
        <w:t>(2), 123–134. https://doi.org/10.1080/02791072.2019.1580804</w:t>
      </w:r>
    </w:p>
    <w:p w14:paraId="3AE45A2E" w14:textId="77777777" w:rsidR="00F144A2" w:rsidRDefault="00F144A2" w:rsidP="00F144A2">
      <w:pPr>
        <w:pStyle w:val="Bibliography"/>
      </w:pPr>
      <w:r>
        <w:t xml:space="preserve">McCartney, A. M., McGovern, H. T., &amp; De Foe, A. (2022). Psychedelic assisted therapy for major depressive disorder: Recent work and clinical directions. </w:t>
      </w:r>
      <w:r>
        <w:rPr>
          <w:i/>
          <w:iCs/>
        </w:rPr>
        <w:t>Journal of Psychedelic Studies</w:t>
      </w:r>
      <w:r>
        <w:t xml:space="preserve">, </w:t>
      </w:r>
      <w:r>
        <w:rPr>
          <w:i/>
          <w:iCs/>
        </w:rPr>
        <w:t>6</w:t>
      </w:r>
      <w:r>
        <w:t>(1), 10–22. https://doi.org/10.1556/2054.2022.00211</w:t>
      </w:r>
    </w:p>
    <w:p w14:paraId="65646B3A" w14:textId="77777777" w:rsidR="00F144A2" w:rsidRDefault="00F144A2" w:rsidP="00F144A2">
      <w:pPr>
        <w:pStyle w:val="Bibliography"/>
      </w:pPr>
      <w:r>
        <w:t xml:space="preserve">McCulloch, D. E., Grzywacz, M. Z., Madsen, M. K., Jensen, P. S., Ozenne, B., Armand, S., Knudsen, G. M., Fisher, P. M., &amp; Stenbæk, D. S. (2021). A quantitative and qualitative report of psilocybin induced Mystical-Type experiences and their relation to lasting positive effects. </w:t>
      </w:r>
      <w:r>
        <w:rPr>
          <w:i/>
          <w:iCs/>
        </w:rPr>
        <w:t>Preprint</w:t>
      </w:r>
      <w:r>
        <w:t>. https://doi.org/10.31234/osf.io/xqzu2</w:t>
      </w:r>
    </w:p>
    <w:p w14:paraId="58728C13" w14:textId="77777777" w:rsidR="00F144A2" w:rsidRDefault="00F144A2" w:rsidP="00F144A2">
      <w:pPr>
        <w:pStyle w:val="Bibliography"/>
      </w:pPr>
      <w:r>
        <w:lastRenderedPageBreak/>
        <w:t xml:space="preserve">McGuinness, L. A., &amp; Higgins, J. P. T. (2020). Risk‐of‐bias VISualization (robvis): An R package and Shiny web app for visualizing risk‐of‐bias assessments. </w:t>
      </w:r>
      <w:r>
        <w:rPr>
          <w:i/>
          <w:iCs/>
        </w:rPr>
        <w:t>Research Synthesis Methods</w:t>
      </w:r>
      <w:r>
        <w:t xml:space="preserve">, </w:t>
      </w:r>
      <w:r>
        <w:rPr>
          <w:i/>
          <w:iCs/>
        </w:rPr>
        <w:t>12</w:t>
      </w:r>
      <w:r>
        <w:t>(1), 55–61. https://doi.org/10.1002/jrsm.1411</w:t>
      </w:r>
    </w:p>
    <w:p w14:paraId="3D74A658" w14:textId="77777777" w:rsidR="00F144A2" w:rsidRDefault="00F144A2" w:rsidP="00F144A2">
      <w:pPr>
        <w:pStyle w:val="Bibliography"/>
      </w:pPr>
      <w:r>
        <w:t xml:space="preserve">Meiran, N. (2000). Modeling cognitive control in task-switching. </w:t>
      </w:r>
      <w:r>
        <w:rPr>
          <w:i/>
          <w:iCs/>
        </w:rPr>
        <w:t>Psychological Research</w:t>
      </w:r>
      <w:r>
        <w:t xml:space="preserve">, </w:t>
      </w:r>
      <w:r>
        <w:rPr>
          <w:i/>
          <w:iCs/>
        </w:rPr>
        <w:t>63</w:t>
      </w:r>
      <w:r>
        <w:t>(3–4), 234–249. https://doi.org/10.1007/s004269900004</w:t>
      </w:r>
    </w:p>
    <w:p w14:paraId="3F1E57F5" w14:textId="77777777" w:rsidR="00F144A2" w:rsidRDefault="00F144A2" w:rsidP="00F144A2">
      <w:pPr>
        <w:pStyle w:val="Bibliography"/>
      </w:pPr>
      <w:r>
        <w:t xml:space="preserve">Michaiel, A. M., Parker, P. R., &amp; Niell, C. M. (2019). A Hallucinogenic Serotonin-2A Receptor Agonist Reduces Visual Response Gain and Alters Temporal Dynamics in Mouse V1. </w:t>
      </w:r>
      <w:r>
        <w:rPr>
          <w:i/>
          <w:iCs/>
        </w:rPr>
        <w:t>Cell Reports</w:t>
      </w:r>
      <w:r>
        <w:t xml:space="preserve">, </w:t>
      </w:r>
      <w:r>
        <w:rPr>
          <w:i/>
          <w:iCs/>
        </w:rPr>
        <w:t>26</w:t>
      </w:r>
      <w:r>
        <w:t>(13), 3475-3483.e4. https://doi.org/10.1016/j.celrep.2019.02.104</w:t>
      </w:r>
    </w:p>
    <w:p w14:paraId="0A21319E" w14:textId="77777777" w:rsidR="00F144A2" w:rsidRDefault="00F144A2" w:rsidP="00F144A2">
      <w:pPr>
        <w:pStyle w:val="Bibliography"/>
      </w:pPr>
      <w:r>
        <w:t xml:space="preserve">Miller, E. K. (2000). The prefontral cortex and cognitive control. </w:t>
      </w:r>
      <w:r>
        <w:rPr>
          <w:i/>
          <w:iCs/>
        </w:rPr>
        <w:t>Nature Reviews. Neuroscience</w:t>
      </w:r>
      <w:r>
        <w:t xml:space="preserve">, </w:t>
      </w:r>
      <w:r>
        <w:rPr>
          <w:i/>
          <w:iCs/>
        </w:rPr>
        <w:t>1</w:t>
      </w:r>
      <w:r>
        <w:t>(1), 59–65. https://doi.org/10.1038/35036228</w:t>
      </w:r>
    </w:p>
    <w:p w14:paraId="3679252F" w14:textId="77777777" w:rsidR="00F144A2" w:rsidRDefault="00F144A2" w:rsidP="00F144A2">
      <w:pPr>
        <w:pStyle w:val="Bibliography"/>
      </w:pPr>
      <w:r>
        <w:t xml:space="preserve">Mitchell, J., G, M. O., Van Der Kolk, B., Shannon, S., Bogenschutz, M. P., Gelfand, Y., Paleos, C., Nicholas, C. R., Quevedo, S., Balliett, B., Hamilton, S., Mithoefer, M. C., Kleiman, S. E., Parker-Guilbert, K., Tzarfaty, K., Harrison, C., De Boer, A., Doblin, R., &amp; Yazar-Klosinski, B. (2023). MDMA-assisted therapy for moderate to severe PTSD: a randomized, placebo-controlled phase 3 trial. </w:t>
      </w:r>
      <w:r>
        <w:rPr>
          <w:i/>
          <w:iCs/>
        </w:rPr>
        <w:t>Nature Medicine</w:t>
      </w:r>
      <w:r>
        <w:t>. https://doi.org/10.1038/s41591-023-02565-4</w:t>
      </w:r>
    </w:p>
    <w:p w14:paraId="60944B0C" w14:textId="77777777" w:rsidR="00F144A2" w:rsidRDefault="00F144A2" w:rsidP="00F144A2">
      <w:pPr>
        <w:pStyle w:val="Bibliography"/>
      </w:pPr>
      <w:r>
        <w:t xml:space="preserve">Miyake, A., Friedman, N. P., Emerson, M. J., Witzki, A. H., Howerter, A., &amp; Wager, T. D. (2000). The Unity and Diversity of Executive Functions and Their Contributions to Complex “Frontal Lobe” Tasks: A Latent Variable Analysis. </w:t>
      </w:r>
      <w:r>
        <w:rPr>
          <w:i/>
          <w:iCs/>
        </w:rPr>
        <w:t>Cognitive Psychology</w:t>
      </w:r>
      <w:r>
        <w:t xml:space="preserve">, </w:t>
      </w:r>
      <w:r>
        <w:rPr>
          <w:i/>
          <w:iCs/>
        </w:rPr>
        <w:t>41</w:t>
      </w:r>
      <w:r>
        <w:t>(1), 49–100. https://doi.org/10.1006/cogp.1999.0734</w:t>
      </w:r>
    </w:p>
    <w:p w14:paraId="340FF66F" w14:textId="77777777" w:rsidR="00F144A2" w:rsidRDefault="00F144A2" w:rsidP="00F144A2">
      <w:pPr>
        <w:pStyle w:val="Bibliography"/>
      </w:pPr>
      <w:r>
        <w:t xml:space="preserve">Nutt, D., &amp; Carhart-Harris, R. (2021). The Current Status of Psychedelics in Psychiatry. </w:t>
      </w:r>
      <w:r>
        <w:rPr>
          <w:i/>
          <w:iCs/>
        </w:rPr>
        <w:t>JAMA Psychiatry</w:t>
      </w:r>
      <w:r>
        <w:t xml:space="preserve">, </w:t>
      </w:r>
      <w:r>
        <w:rPr>
          <w:i/>
          <w:iCs/>
        </w:rPr>
        <w:t>78</w:t>
      </w:r>
      <w:r>
        <w:t>(2), 121. https://doi.org/10.1001/jamapsychiatry.2020.2171</w:t>
      </w:r>
    </w:p>
    <w:p w14:paraId="636DC974" w14:textId="77777777" w:rsidR="00F144A2" w:rsidRDefault="00F144A2" w:rsidP="00F144A2">
      <w:pPr>
        <w:pStyle w:val="Bibliography"/>
      </w:pPr>
      <w:r>
        <w:lastRenderedPageBreak/>
        <w:t xml:space="preserve">O’Reilly, R. C., Herd, S. A., &amp; Pauli, W. M. (2010). Computational models of cognitive control. </w:t>
      </w:r>
      <w:r>
        <w:rPr>
          <w:i/>
          <w:iCs/>
        </w:rPr>
        <w:t>Current Opinion in Neurobiology</w:t>
      </w:r>
      <w:r>
        <w:t xml:space="preserve">, </w:t>
      </w:r>
      <w:r>
        <w:rPr>
          <w:i/>
          <w:iCs/>
        </w:rPr>
        <w:t>20</w:t>
      </w:r>
      <w:r>
        <w:t>(2), 257–261. https://doi.org/10.1016/j.conb.2010.01.008</w:t>
      </w:r>
    </w:p>
    <w:p w14:paraId="05D64BC6" w14:textId="77777777" w:rsidR="00F144A2" w:rsidRDefault="00F144A2" w:rsidP="00F144A2">
      <w:pPr>
        <w:pStyle w:val="Bibliography"/>
      </w:pPr>
      <w:r>
        <w:t xml:space="preserve">Orwin, R. G. (1983). A Fail-SafeN for Effect Size in Meta-Analysis. </w:t>
      </w:r>
      <w:r>
        <w:rPr>
          <w:i/>
          <w:iCs/>
        </w:rPr>
        <w:t>Journal of Educational Statistics</w:t>
      </w:r>
      <w:r>
        <w:t xml:space="preserve">, </w:t>
      </w:r>
      <w:r>
        <w:rPr>
          <w:i/>
          <w:iCs/>
        </w:rPr>
        <w:t>8</w:t>
      </w:r>
      <w:r>
        <w:t>(2), 157–159. https://doi.org/10.3102/10769986008002157</w:t>
      </w:r>
    </w:p>
    <w:p w14:paraId="09259C3C" w14:textId="77777777" w:rsidR="00F144A2" w:rsidRDefault="00F144A2" w:rsidP="00F144A2">
      <w:pPr>
        <w:pStyle w:val="Bibliography"/>
      </w:pPr>
      <w:r>
        <w:t xml:space="preserve">Ouzzani, M., Hammady, H., Fedorowicz, Z., &amp; Elmagarmid, A. (2016). Rayyan—a web and mobile app for systematic reviews. </w:t>
      </w:r>
      <w:r>
        <w:rPr>
          <w:i/>
          <w:iCs/>
        </w:rPr>
        <w:t>Systematic Reviews</w:t>
      </w:r>
      <w:r>
        <w:t xml:space="preserve">, </w:t>
      </w:r>
      <w:r>
        <w:rPr>
          <w:i/>
          <w:iCs/>
        </w:rPr>
        <w:t>5</w:t>
      </w:r>
      <w:r>
        <w:t>(1). https://doi.org/10.1186/s13643-016-0384-4</w:t>
      </w:r>
    </w:p>
    <w:p w14:paraId="02E77135" w14:textId="77777777" w:rsidR="00F144A2" w:rsidRDefault="00F144A2" w:rsidP="00F144A2">
      <w:pPr>
        <w:pStyle w:val="Bibliography"/>
      </w:pPr>
      <w:r>
        <w:t xml:space="preserve">Page, M. J., McKenzie, J. E., Bossuyt, P. M., Boutron, I., Hoffmann, T. C., Mulrow, C. D., Shamseer, L., Tetzlaff, J. M., Akl, E. A., Brennan, S. E., Chou, R., Glanville, J., Grimshaw, J. M., Hróbjartsson, A., Lalu, M. M., Li, T., Loder, E. W., Mayo-Wilson, E., McDonald, S., . . . Moher, D. (2021). The PRISMA 2020 statement: an updated guideline for reporting systematic reviews. </w:t>
      </w:r>
      <w:r>
        <w:rPr>
          <w:i/>
          <w:iCs/>
        </w:rPr>
        <w:t>BMJ</w:t>
      </w:r>
      <w:r>
        <w:t>, n71. https://doi.org/10.1136/bmj.n71</w:t>
      </w:r>
    </w:p>
    <w:p w14:paraId="03EEB5B4" w14:textId="77777777" w:rsidR="00F144A2" w:rsidRDefault="00F144A2" w:rsidP="00F144A2">
      <w:pPr>
        <w:pStyle w:val="Bibliography"/>
      </w:pPr>
      <w:r>
        <w:t xml:space="preserve">Park, S., &amp; Holzman, P. S. (1992). Schizophrenics Show Spatial Working Memory Deficits. </w:t>
      </w:r>
      <w:r>
        <w:rPr>
          <w:i/>
          <w:iCs/>
        </w:rPr>
        <w:t>Archives of General Psychiatry</w:t>
      </w:r>
      <w:r>
        <w:t xml:space="preserve">, </w:t>
      </w:r>
      <w:r>
        <w:rPr>
          <w:i/>
          <w:iCs/>
        </w:rPr>
        <w:t>49</w:t>
      </w:r>
      <w:r>
        <w:t>(12), 975. https://doi.org/10.1001/archpsyc.1992.01820120063009</w:t>
      </w:r>
    </w:p>
    <w:p w14:paraId="77BD7DC0" w14:textId="77777777" w:rsidR="00F144A2" w:rsidRDefault="00F144A2" w:rsidP="00F144A2">
      <w:pPr>
        <w:pStyle w:val="Bibliography"/>
      </w:pPr>
      <w:r>
        <w:t xml:space="preserve">Prinzmetal, W., McCool, C., &amp; Park, S. (2005). Attention: Reaction Time and Accuracy Reveal Different Mechanisms. </w:t>
      </w:r>
      <w:r>
        <w:rPr>
          <w:i/>
          <w:iCs/>
        </w:rPr>
        <w:t>Journal of Experimental Psychology. General</w:t>
      </w:r>
      <w:r>
        <w:t xml:space="preserve">, </w:t>
      </w:r>
      <w:r>
        <w:rPr>
          <w:i/>
          <w:iCs/>
        </w:rPr>
        <w:t>134</w:t>
      </w:r>
      <w:r>
        <w:t>(1), 73–92. https://doi.org/10.1037/0096-3445.134.1.73</w:t>
      </w:r>
    </w:p>
    <w:p w14:paraId="3B8E2AE6" w14:textId="77777777" w:rsidR="00F144A2" w:rsidRDefault="00F144A2" w:rsidP="00F144A2">
      <w:pPr>
        <w:pStyle w:val="Bibliography"/>
      </w:pPr>
      <w:r>
        <w:t xml:space="preserve">Quednow, B. B., Kometer, M., Geyer, M. A., &amp; Vollenweider, F. X. (2011). Psilocybin-Induced Deficits in Automatic and Controlled Inhibition are Attenuated by Ketanserin in Healthy Human Volunteers. </w:t>
      </w:r>
      <w:r>
        <w:rPr>
          <w:i/>
          <w:iCs/>
        </w:rPr>
        <w:t>Neuropsychopharmacology</w:t>
      </w:r>
      <w:r>
        <w:t xml:space="preserve">, </w:t>
      </w:r>
      <w:r>
        <w:rPr>
          <w:i/>
          <w:iCs/>
        </w:rPr>
        <w:t>37</w:t>
      </w:r>
      <w:r>
        <w:t>(3), 630–640. https://doi.org/10.1038/npp.2011.228</w:t>
      </w:r>
    </w:p>
    <w:p w14:paraId="5810835C" w14:textId="77777777" w:rsidR="00F144A2" w:rsidRDefault="00F144A2" w:rsidP="00F144A2">
      <w:pPr>
        <w:pStyle w:val="Bibliography"/>
      </w:pPr>
      <w:r>
        <w:lastRenderedPageBreak/>
        <w:t xml:space="preserve">R Foundation for Statistical Computing. (2022). </w:t>
      </w:r>
      <w:r>
        <w:rPr>
          <w:i/>
          <w:iCs/>
        </w:rPr>
        <w:t>R: A Language and Environment for Statistical Computing</w:t>
      </w:r>
      <w:r>
        <w:t xml:space="preserve"> [Software]. https://www.R-project.org</w:t>
      </w:r>
    </w:p>
    <w:p w14:paraId="0C8C370B" w14:textId="77777777" w:rsidR="00F144A2" w:rsidRDefault="00F144A2" w:rsidP="00F144A2">
      <w:pPr>
        <w:pStyle w:val="Bibliography"/>
      </w:pPr>
      <w:r>
        <w:t xml:space="preserve">Robinson, J. T. (1966). Drugs of Hallucination: The Uses and Misuses of Lysergic Acid Diethylamide. By Sidney Cohen. Foreword by John Rowan Wilson. London: Martin Secker &amp;amp; Warburg. 1965. Pp. 268. Price 30s. </w:t>
      </w:r>
      <w:r>
        <w:rPr>
          <w:i/>
          <w:iCs/>
        </w:rPr>
        <w:t>British Journal of Psychiatry</w:t>
      </w:r>
      <w:r>
        <w:t xml:space="preserve">, </w:t>
      </w:r>
      <w:r>
        <w:rPr>
          <w:i/>
          <w:iCs/>
        </w:rPr>
        <w:t>112</w:t>
      </w:r>
      <w:r>
        <w:t>(489), 869. https://doi.org/10.1192/bjp.112.489.869</w:t>
      </w:r>
    </w:p>
    <w:p w14:paraId="7A285392" w14:textId="77777777" w:rsidR="00F144A2" w:rsidRDefault="00F144A2" w:rsidP="00F144A2">
      <w:pPr>
        <w:pStyle w:val="Bibliography"/>
      </w:pPr>
      <w:r>
        <w:t xml:space="preserve">Rohatgi, A. (2022, September). </w:t>
      </w:r>
      <w:r>
        <w:rPr>
          <w:i/>
          <w:iCs/>
        </w:rPr>
        <w:t>WebPlotDigitizer - Copyright 2010-2022 Ankit Rohatgi</w:t>
      </w:r>
      <w:r>
        <w:t>. https://automeris.io/WebPlotDigitizer. https://apps.automeris.io/wpd/</w:t>
      </w:r>
    </w:p>
    <w:p w14:paraId="781AF92D" w14:textId="77777777" w:rsidR="00F144A2" w:rsidRDefault="00F144A2" w:rsidP="00F144A2">
      <w:pPr>
        <w:pStyle w:val="Bibliography"/>
      </w:pPr>
      <w:r>
        <w:t xml:space="preserve">Rose, S. A., Feldman, J. F., &amp; Jankowski, J. J. (2003). The building blocks of cognition. </w:t>
      </w:r>
      <w:r>
        <w:rPr>
          <w:i/>
          <w:iCs/>
        </w:rPr>
        <w:t>the Journal of Pediatrics/the Journal of Pediatrics</w:t>
      </w:r>
      <w:r>
        <w:t xml:space="preserve">, </w:t>
      </w:r>
      <w:r>
        <w:rPr>
          <w:i/>
          <w:iCs/>
        </w:rPr>
        <w:t>143</w:t>
      </w:r>
      <w:r>
        <w:t>(4), 54–61. https://doi.org/10.1067/s0022-3476(03)00402-5</w:t>
      </w:r>
    </w:p>
    <w:p w14:paraId="3DD63E57" w14:textId="77777777" w:rsidR="00F144A2" w:rsidRDefault="00F144A2" w:rsidP="00F144A2">
      <w:pPr>
        <w:pStyle w:val="Bibliography"/>
      </w:pPr>
      <w:r>
        <w:t xml:space="preserve">Ross, S., Bossis, A. P., Guss, J., Agin-Liebes, G., Malone, T. C., Cohen, B. D., Mennenga, S. E., Belser, A., Kalliontzi, K., Babb, J. S., Su, Z., Corby, P., &amp; Schmidt, B. L. (2016). Rapid and sustained symptom reduction following psilocybin treatment for anxiety and depression in patients with life-threatening cancer: a randomized controlled trial. </w:t>
      </w:r>
      <w:r>
        <w:rPr>
          <w:i/>
          <w:iCs/>
        </w:rPr>
        <w:t>Journal of Psychopharmacology</w:t>
      </w:r>
      <w:r>
        <w:t xml:space="preserve">, </w:t>
      </w:r>
      <w:r>
        <w:rPr>
          <w:i/>
          <w:iCs/>
        </w:rPr>
        <w:t>30</w:t>
      </w:r>
      <w:r>
        <w:t>(12), 1165–1180. https://doi.org/10.1177/0269881116675512</w:t>
      </w:r>
    </w:p>
    <w:p w14:paraId="5F226758" w14:textId="77777777" w:rsidR="00F144A2" w:rsidRDefault="00F144A2" w:rsidP="00F144A2">
      <w:pPr>
        <w:pStyle w:val="Bibliography"/>
      </w:pPr>
      <w:r>
        <w:t xml:space="preserve">Sakashita, Y., Abe, K., Katagiri, N., Kambe, T., Saitoh, T., Utsunomiya, I., Horiguchi, Y., &amp; Taguchi, K. (2015). Effect of Psilocin on Extracellular Dopamine and Serotonin Levels in the Mesoaccumbens and Mesocortical Pathway in Awake Rats. </w:t>
      </w:r>
      <w:r>
        <w:rPr>
          <w:i/>
          <w:iCs/>
        </w:rPr>
        <w:t>Biological &amp; Pharmaceutical Bulletin</w:t>
      </w:r>
      <w:r>
        <w:t xml:space="preserve">, </w:t>
      </w:r>
      <w:r>
        <w:rPr>
          <w:i/>
          <w:iCs/>
        </w:rPr>
        <w:t>38</w:t>
      </w:r>
      <w:r>
        <w:t>(1), 134–138. https://doi.org/10.1248/bpb.b14-00315</w:t>
      </w:r>
    </w:p>
    <w:p w14:paraId="45E38FB5" w14:textId="77777777" w:rsidR="00F144A2" w:rsidRDefault="00F144A2" w:rsidP="00F144A2">
      <w:pPr>
        <w:pStyle w:val="Bibliography"/>
      </w:pPr>
      <w:r>
        <w:t xml:space="preserve">Sanes, J. N., &amp; Donoghue, J. P. (2000). Plasticity and Primary Motor Cortex. </w:t>
      </w:r>
      <w:r>
        <w:rPr>
          <w:i/>
          <w:iCs/>
        </w:rPr>
        <w:t>Annual Review of Neuroscience</w:t>
      </w:r>
      <w:r>
        <w:t xml:space="preserve">, </w:t>
      </w:r>
      <w:r>
        <w:rPr>
          <w:i/>
          <w:iCs/>
        </w:rPr>
        <w:t>23</w:t>
      </w:r>
      <w:r>
        <w:t>(1), 393–415. https://doi.org/10.1146/annurev.neuro.23.1.393</w:t>
      </w:r>
    </w:p>
    <w:p w14:paraId="460CEC71" w14:textId="77777777" w:rsidR="00F144A2" w:rsidRDefault="00F144A2" w:rsidP="00F144A2">
      <w:pPr>
        <w:pStyle w:val="Bibliography"/>
      </w:pPr>
      <w:r>
        <w:lastRenderedPageBreak/>
        <w:t xml:space="preserve">Sayalı, C., &amp; Barrett, F. S. (2023). The costs and benefits of psychedelics on cognition and mood. </w:t>
      </w:r>
      <w:r>
        <w:rPr>
          <w:i/>
          <w:iCs/>
        </w:rPr>
        <w:t>Neuron</w:t>
      </w:r>
      <w:r>
        <w:t xml:space="preserve">, </w:t>
      </w:r>
      <w:r>
        <w:rPr>
          <w:i/>
          <w:iCs/>
        </w:rPr>
        <w:t>111</w:t>
      </w:r>
      <w:r>
        <w:t>(5), 614–630. https://doi.org/10.1016/j.neuron.2022.12.031</w:t>
      </w:r>
    </w:p>
    <w:p w14:paraId="78D79525" w14:textId="77777777" w:rsidR="00F144A2" w:rsidRDefault="00F144A2" w:rsidP="00F144A2">
      <w:pPr>
        <w:pStyle w:val="Bibliography"/>
      </w:pPr>
      <w:r>
        <w:t xml:space="preserve">Shao, L., Liao, C., Gregg, I., Davoudian, P. A., Savalia, N. K., Delagarza, K., &amp; Kwan, A. C. (2021). Psilocybin induces rapid and persistent growth of dendritic spines in frontal cortex in vivo. </w:t>
      </w:r>
      <w:r>
        <w:rPr>
          <w:i/>
          <w:iCs/>
        </w:rPr>
        <w:t>Neuron</w:t>
      </w:r>
      <w:r>
        <w:t xml:space="preserve">, </w:t>
      </w:r>
      <w:r>
        <w:rPr>
          <w:i/>
          <w:iCs/>
        </w:rPr>
        <w:t>109</w:t>
      </w:r>
      <w:r>
        <w:t>(16), 2535-2544.e4. https://doi.org/10.1016/j.neuron.2021.06.008</w:t>
      </w:r>
    </w:p>
    <w:p w14:paraId="0181B471" w14:textId="77777777" w:rsidR="00F144A2" w:rsidRDefault="00F144A2" w:rsidP="00F144A2">
      <w:pPr>
        <w:pStyle w:val="Bibliography"/>
      </w:pPr>
      <w:r>
        <w:t xml:space="preserve">Smigielski, L., Kometer, M., Scheidegger, M., Krähenmann, R., Huber, T., &amp; Vollenweider, F. X. (2019). Characterization and prediction of acute and sustained response to psychedelic psilocybin in a mindfulness group retreat. </w:t>
      </w:r>
      <w:r>
        <w:rPr>
          <w:i/>
          <w:iCs/>
        </w:rPr>
        <w:t>Scientific Reports</w:t>
      </w:r>
      <w:r>
        <w:t xml:space="preserve">, </w:t>
      </w:r>
      <w:r>
        <w:rPr>
          <w:i/>
          <w:iCs/>
        </w:rPr>
        <w:t>9</w:t>
      </w:r>
      <w:r>
        <w:t>(1). https://doi.org/10.1038/s41598-019-50612-3</w:t>
      </w:r>
    </w:p>
    <w:p w14:paraId="67F3FA3C" w14:textId="77777777" w:rsidR="00F144A2" w:rsidRDefault="00F144A2" w:rsidP="00F144A2">
      <w:pPr>
        <w:pStyle w:val="Bibliography"/>
      </w:pPr>
      <w:r>
        <w:t xml:space="preserve">Snyder, H. R., Friedman, N. P., &amp; Hankin, B. L. (2020). Associations Between Task Performance and Self-Report Measures of Cognitive Control: Shared Versus Distinct Abilities. </w:t>
      </w:r>
      <w:r>
        <w:rPr>
          <w:i/>
          <w:iCs/>
        </w:rPr>
        <w:t>Assessment</w:t>
      </w:r>
      <w:r>
        <w:t xml:space="preserve">, </w:t>
      </w:r>
      <w:r>
        <w:rPr>
          <w:i/>
          <w:iCs/>
        </w:rPr>
        <w:t>28</w:t>
      </w:r>
      <w:r>
        <w:t>(4), 1080–1096. https://doi.org/10.1177/1073191120965694</w:t>
      </w:r>
    </w:p>
    <w:p w14:paraId="15D3CFEE" w14:textId="77777777" w:rsidR="00F144A2" w:rsidRDefault="00F144A2" w:rsidP="00F144A2">
      <w:pPr>
        <w:pStyle w:val="Bibliography"/>
      </w:pPr>
      <w:r>
        <w:t xml:space="preserve">Snyder, H. R., Miyake, A., &amp; Hankin, B. L. (2015). Advancing understanding of executive function impairments and psychopathology: bridging the gap between clinical and cognitive approaches. </w:t>
      </w:r>
      <w:r>
        <w:rPr>
          <w:i/>
          <w:iCs/>
        </w:rPr>
        <w:t>Frontiers in Psychology</w:t>
      </w:r>
      <w:r>
        <w:t xml:space="preserve">, </w:t>
      </w:r>
      <w:r>
        <w:rPr>
          <w:i/>
          <w:iCs/>
        </w:rPr>
        <w:t>6</w:t>
      </w:r>
      <w:r>
        <w:t>. https://doi.org/10.3389/fpsyg.2015.00328</w:t>
      </w:r>
    </w:p>
    <w:p w14:paraId="79DC8D43" w14:textId="77777777" w:rsidR="00F144A2" w:rsidRDefault="00F144A2" w:rsidP="00F144A2">
      <w:pPr>
        <w:pStyle w:val="Bibliography"/>
      </w:pPr>
      <w:r>
        <w:t xml:space="preserve">Stets, A., Smith, S. L., &amp; Helton, W. S. (2019). Dual-Task Interference Between Swimming and Verbal Memory. </w:t>
      </w:r>
      <w:r>
        <w:rPr>
          <w:i/>
          <w:iCs/>
        </w:rPr>
        <w:t>Human Factors</w:t>
      </w:r>
      <w:r>
        <w:t xml:space="preserve">, </w:t>
      </w:r>
      <w:r>
        <w:rPr>
          <w:i/>
          <w:iCs/>
        </w:rPr>
        <w:t>62</w:t>
      </w:r>
      <w:r>
        <w:t>(7), 1132–1140. https://doi.org/10.1177/0018720819871743</w:t>
      </w:r>
    </w:p>
    <w:p w14:paraId="1D243F33" w14:textId="77777777" w:rsidR="00F144A2" w:rsidRDefault="00F144A2" w:rsidP="00F144A2">
      <w:pPr>
        <w:pStyle w:val="Bibliography"/>
      </w:pPr>
      <w:r>
        <w:t xml:space="preserve">Stoliker, D., Preller, K. H., Novelli, L., Anticevic, A., Egan, G. F., Vollenweider, F. X., &amp; Razi, A. (2024). Neural mechanisms of psychedelic visual imagery. </w:t>
      </w:r>
      <w:r>
        <w:rPr>
          <w:i/>
          <w:iCs/>
        </w:rPr>
        <w:t>Molecular Psychiatry</w:t>
      </w:r>
      <w:r>
        <w:t>. https://doi.org/10.1038/s41380-024-02632-3</w:t>
      </w:r>
    </w:p>
    <w:p w14:paraId="129944BF" w14:textId="77777777" w:rsidR="00F144A2" w:rsidRDefault="00F144A2" w:rsidP="00F144A2">
      <w:pPr>
        <w:pStyle w:val="Bibliography"/>
      </w:pPr>
      <w:r>
        <w:lastRenderedPageBreak/>
        <w:t xml:space="preserve">Studerus, E., Gamma, A., Kometer, M., &amp; Vollenweider, F. X. (2012). Prediction of Psilocybin Response in Healthy Volunteers. </w:t>
      </w:r>
      <w:r>
        <w:rPr>
          <w:i/>
          <w:iCs/>
        </w:rPr>
        <w:t>PLOS ONE</w:t>
      </w:r>
      <w:r>
        <w:t xml:space="preserve">, </w:t>
      </w:r>
      <w:r>
        <w:rPr>
          <w:i/>
          <w:iCs/>
        </w:rPr>
        <w:t>7</w:t>
      </w:r>
      <w:r>
        <w:t>(2), e30800. https://doi.org/10.1371/journal.pone.0030800</w:t>
      </w:r>
    </w:p>
    <w:p w14:paraId="1CEF163A" w14:textId="77777777" w:rsidR="00F144A2" w:rsidRDefault="00F144A2" w:rsidP="00F144A2">
      <w:pPr>
        <w:pStyle w:val="Bibliography"/>
      </w:pPr>
      <w:r>
        <w:t xml:space="preserve">Van Den Heuvel, O. A., Groenewegen, H. J., Barkhof, F., Lazeron, R. H., Van Dyck, R., &amp; Veltman, D. J. (2003). Frontostriatal system in planning complexity: a parametric functional magnetic resonance version of tower of london task. </w:t>
      </w:r>
      <w:r>
        <w:rPr>
          <w:i/>
          <w:iCs/>
        </w:rPr>
        <w:t>NeuroImage</w:t>
      </w:r>
      <w:r>
        <w:t xml:space="preserve">, </w:t>
      </w:r>
      <w:r>
        <w:rPr>
          <w:i/>
          <w:iCs/>
        </w:rPr>
        <w:t>18</w:t>
      </w:r>
      <w:r>
        <w:t>(2), 367–374. https://doi.org/10.1016/s1053-8119(02)00010-1</w:t>
      </w:r>
    </w:p>
    <w:p w14:paraId="1B346373" w14:textId="77777777" w:rsidR="00F144A2" w:rsidRDefault="00F144A2" w:rsidP="00F144A2">
      <w:pPr>
        <w:pStyle w:val="Bibliography"/>
      </w:pPr>
      <w:r>
        <w:t xml:space="preserve">Van Elk, M., &amp; Fried, E. I. (2023). History repeating: A roadmap to address common problems in psychedelic science. </w:t>
      </w:r>
      <w:r>
        <w:rPr>
          <w:i/>
          <w:iCs/>
        </w:rPr>
        <w:t>Preprint</w:t>
      </w:r>
      <w:r>
        <w:t>. https://doi.org/10.31234/osf.io/ak6gx</w:t>
      </w:r>
    </w:p>
    <w:p w14:paraId="43D7E4FB" w14:textId="77777777" w:rsidR="00F144A2" w:rsidRDefault="00F144A2" w:rsidP="00F144A2">
      <w:pPr>
        <w:pStyle w:val="Bibliography"/>
      </w:pPr>
      <w:r>
        <w:t xml:space="preserve">VanderZwaag, J., Halvorson, N. T., Dolhan, K., Šimončičová, E., Ben-Azu, B., &amp; Tremblay, M. (2022). The Missing Piece? A Case for Microglia’s Prominent Role in the Therapeutic Action of Anesthetics, Ketamine, and Psychedelics. </w:t>
      </w:r>
      <w:r>
        <w:rPr>
          <w:i/>
          <w:iCs/>
        </w:rPr>
        <w:t>Neurochemical Research</w:t>
      </w:r>
      <w:r>
        <w:t xml:space="preserve">, </w:t>
      </w:r>
      <w:r>
        <w:rPr>
          <w:i/>
          <w:iCs/>
        </w:rPr>
        <w:t>48</w:t>
      </w:r>
      <w:r>
        <w:t>(4), 1129–1166. https://doi.org/10.1007/s11064-022-03772-0</w:t>
      </w:r>
    </w:p>
    <w:p w14:paraId="4C783F7C" w14:textId="77777777" w:rsidR="00F144A2" w:rsidRDefault="00F144A2" w:rsidP="00F144A2">
      <w:pPr>
        <w:pStyle w:val="Bibliography"/>
      </w:pPr>
      <w:r>
        <w:t xml:space="preserve">Viechtbauer, W. (2010). Conducting Meta-Analyses in R with the metafor Package. </w:t>
      </w:r>
      <w:r>
        <w:rPr>
          <w:i/>
          <w:iCs/>
        </w:rPr>
        <w:t>Journal of Statistical Software</w:t>
      </w:r>
      <w:r>
        <w:t xml:space="preserve">, </w:t>
      </w:r>
      <w:r>
        <w:rPr>
          <w:i/>
          <w:iCs/>
        </w:rPr>
        <w:t>36</w:t>
      </w:r>
      <w:r>
        <w:t>(3). https://doi.org/10.18637/jss.v036.i03</w:t>
      </w:r>
    </w:p>
    <w:p w14:paraId="3C284AC5" w14:textId="77777777" w:rsidR="00F144A2" w:rsidRDefault="00F144A2" w:rsidP="00F144A2">
      <w:pPr>
        <w:pStyle w:val="Bibliography"/>
      </w:pPr>
      <w:r>
        <w:t xml:space="preserve">Viechtbauer, W., &amp; Cheung, M. W. (2010). Outlier and influence diagnostics for meta-analysis. </w:t>
      </w:r>
      <w:r>
        <w:rPr>
          <w:i/>
          <w:iCs/>
        </w:rPr>
        <w:t>Research Synthesis Methods</w:t>
      </w:r>
      <w:r>
        <w:t xml:space="preserve">, </w:t>
      </w:r>
      <w:r>
        <w:rPr>
          <w:i/>
          <w:iCs/>
        </w:rPr>
        <w:t>1</w:t>
      </w:r>
      <w:r>
        <w:t>(2), 112–125. https://doi.org/10.1002/jrsm.11</w:t>
      </w:r>
    </w:p>
    <w:p w14:paraId="70C92F6C" w14:textId="77777777" w:rsidR="00F144A2" w:rsidRDefault="00F144A2" w:rsidP="00F144A2">
      <w:pPr>
        <w:pStyle w:val="Bibliography"/>
      </w:pPr>
      <w:r>
        <w:t xml:space="preserve">Vollenweider, F. X., Csomor, P. A., Knappe, B., Geyer, M. A., &amp; Quednow, B. B. (2007). The Effects of the Preferential 5-HT2A Agonist Psilocybin on Prepulse Inhibition of Startle in Healthy Human Volunteers Depend on Interstimulus Interval. </w:t>
      </w:r>
      <w:r>
        <w:rPr>
          <w:i/>
          <w:iCs/>
        </w:rPr>
        <w:t>Neuropsychopharmacology</w:t>
      </w:r>
      <w:r>
        <w:t xml:space="preserve">, </w:t>
      </w:r>
      <w:r>
        <w:rPr>
          <w:i/>
          <w:iCs/>
        </w:rPr>
        <w:t>32</w:t>
      </w:r>
      <w:r>
        <w:t>(9), 1876–1887. https://doi.org/10.1038/sj.npp.1301324</w:t>
      </w:r>
    </w:p>
    <w:p w14:paraId="712D237D" w14:textId="77777777" w:rsidR="00F144A2" w:rsidRDefault="00F144A2" w:rsidP="00F144A2">
      <w:pPr>
        <w:pStyle w:val="Bibliography"/>
      </w:pPr>
      <w:r>
        <w:t xml:space="preserve">Vollenweider, F. X., Vollenweider-Scherpenhuyzen, M. F. I., Bäbler, A., Vogel, H., &amp; Hell, D. (1998). Psilocybin induces schizophrenia-like psychosis in humans via a serotonin-2 </w:t>
      </w:r>
      <w:r>
        <w:lastRenderedPageBreak/>
        <w:t xml:space="preserve">agonist action. </w:t>
      </w:r>
      <w:r>
        <w:rPr>
          <w:i/>
          <w:iCs/>
        </w:rPr>
        <w:t>NeuroReport/Neuroreport</w:t>
      </w:r>
      <w:r>
        <w:t xml:space="preserve">, </w:t>
      </w:r>
      <w:r>
        <w:rPr>
          <w:i/>
          <w:iCs/>
        </w:rPr>
        <w:t>9</w:t>
      </w:r>
      <w:r>
        <w:t>(17), 3897–3902. https://doi.org/10.1097/00001756-199812010-00024</w:t>
      </w:r>
    </w:p>
    <w:p w14:paraId="6BB769EB" w14:textId="77777777" w:rsidR="00F144A2" w:rsidRDefault="00F144A2" w:rsidP="00F144A2">
      <w:pPr>
        <w:pStyle w:val="Bibliography"/>
      </w:pPr>
      <w:r>
        <w:t xml:space="preserve">Waters, K. (2021). Pharmacologic Similarities and Differences Among Hallucinogens. </w:t>
      </w:r>
      <w:r>
        <w:rPr>
          <w:i/>
          <w:iCs/>
        </w:rPr>
        <w:t>The Journal of Clinical Pharmacology</w:t>
      </w:r>
      <w:r>
        <w:t xml:space="preserve">, </w:t>
      </w:r>
      <w:r>
        <w:rPr>
          <w:i/>
          <w:iCs/>
        </w:rPr>
        <w:t>61</w:t>
      </w:r>
      <w:r>
        <w:t>(S2). https://doi.org/10.1002/jcph.1917</w:t>
      </w:r>
    </w:p>
    <w:p w14:paraId="766751C8" w14:textId="77777777" w:rsidR="00F144A2" w:rsidRDefault="00F144A2" w:rsidP="00F144A2">
      <w:pPr>
        <w:pStyle w:val="Bibliography"/>
      </w:pPr>
      <w:r>
        <w:t xml:space="preserve">Wickens, C. D. (2002). Multiple resources and performance prediction. </w:t>
      </w:r>
      <w:r>
        <w:rPr>
          <w:i/>
          <w:iCs/>
        </w:rPr>
        <w:t>Theoretical Issues in Ergonomics Science</w:t>
      </w:r>
      <w:r>
        <w:t xml:space="preserve">, </w:t>
      </w:r>
      <w:r>
        <w:rPr>
          <w:i/>
          <w:iCs/>
        </w:rPr>
        <w:t>3</w:t>
      </w:r>
      <w:r>
        <w:t>(2), 159–177. https://doi.org/10.1080/14639220210123806</w:t>
      </w:r>
    </w:p>
    <w:p w14:paraId="74B957C5" w14:textId="77777777" w:rsidR="00F144A2" w:rsidRDefault="00F144A2" w:rsidP="00F144A2">
      <w:pPr>
        <w:pStyle w:val="Bibliography"/>
      </w:pPr>
      <w:r>
        <w:t xml:space="preserve">Więckiewicz, G., Stokłosa, I., Piegza, M., Gorczyca, P., &amp; Pudlo, R. (2021). Lysergic Acid Diethylamide, Psilocybin and Dimethyltryptamine in Depression Treatment: A Systematic Review. </w:t>
      </w:r>
      <w:r>
        <w:rPr>
          <w:i/>
          <w:iCs/>
        </w:rPr>
        <w:t>Pharmaceuticals</w:t>
      </w:r>
      <w:r>
        <w:t xml:space="preserve">, </w:t>
      </w:r>
      <w:r>
        <w:rPr>
          <w:i/>
          <w:iCs/>
        </w:rPr>
        <w:t>14</w:t>
      </w:r>
      <w:r>
        <w:t>(8), 793. https://doi.org/10.3390/ph14080793</w:t>
      </w:r>
    </w:p>
    <w:p w14:paraId="056912FC" w14:textId="77777777" w:rsidR="00F144A2" w:rsidRDefault="00F144A2" w:rsidP="00F144A2">
      <w:pPr>
        <w:pStyle w:val="Bibliography"/>
      </w:pPr>
      <w:r>
        <w:t xml:space="preserve">Wittmann, M., Carter, O., Hasler, F., Cahn, B. R., Grimberg, U., Spring, P., Hell, D., Flohr, H., &amp; Vollenweider, F. X. (2006). Effects of psilocybin on time perception and temporal control of behaviour in humans. </w:t>
      </w:r>
      <w:r>
        <w:rPr>
          <w:i/>
          <w:iCs/>
        </w:rPr>
        <w:t>Journal of Psychopharmacology</w:t>
      </w:r>
      <w:r>
        <w:t xml:space="preserve">, </w:t>
      </w:r>
      <w:r>
        <w:rPr>
          <w:i/>
          <w:iCs/>
        </w:rPr>
        <w:t>21</w:t>
      </w:r>
      <w:r>
        <w:t>(1), 50–64. https://doi.org/10.1177/0269881106065859</w:t>
      </w:r>
    </w:p>
    <w:p w14:paraId="2B0A0F1C" w14:textId="77777777" w:rsidR="00F144A2" w:rsidRDefault="00F144A2" w:rsidP="00F144A2">
      <w:pPr>
        <w:pStyle w:val="Bibliography"/>
      </w:pPr>
      <w:r>
        <w:t xml:space="preserve">Yu, Z., Burback, L., Winkler, O., Xu, L., Dennett, L., Vermetten, E., Greenshaw, A., Li, X., Milne, M., Wang, F., Cao, B., Winship, I. R., Zhang, Y., &amp; Chan, A. W. (2024). Alterations in brain network connectivity and subjective experience induced by psychedelics: a scoping review. </w:t>
      </w:r>
      <w:r>
        <w:rPr>
          <w:i/>
          <w:iCs/>
        </w:rPr>
        <w:t>Frontiers in Psychiatry</w:t>
      </w:r>
      <w:r>
        <w:t xml:space="preserve">, </w:t>
      </w:r>
      <w:r>
        <w:rPr>
          <w:i/>
          <w:iCs/>
        </w:rPr>
        <w:t>15</w:t>
      </w:r>
      <w:r>
        <w:t>. https://doi.org/10.3389/fpsyt.2024.1386321</w:t>
      </w:r>
    </w:p>
    <w:p w14:paraId="0A5C1C33" w14:textId="77777777" w:rsidR="00F144A2" w:rsidRDefault="00F144A2">
      <w:pPr>
        <w:rPr>
          <w:rFonts w:ascii="Times New Roman" w:eastAsia="Times New Roman" w:hAnsi="Times New Roman" w:cs="Times New Roman"/>
          <w:color w:val="000000"/>
        </w:rPr>
      </w:pPr>
    </w:p>
    <w:sectPr w:rsidR="00F144A2" w:rsidSect="00312707">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4A671" w14:textId="77777777" w:rsidR="00F2366F" w:rsidRDefault="00F2366F">
      <w:r>
        <w:separator/>
      </w:r>
    </w:p>
  </w:endnote>
  <w:endnote w:type="continuationSeparator" w:id="0">
    <w:p w14:paraId="772CD303" w14:textId="77777777" w:rsidR="00F2366F" w:rsidRDefault="00F23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AA7A0" w14:textId="77777777" w:rsidR="00144611" w:rsidRDefault="00144611">
    <w:pPr>
      <w:widowControl w:val="0"/>
      <w:rPr>
        <w:rFonts w:ascii="Courier New" w:eastAsia="Courier New" w:hAnsi="Courier New" w:cs="Courier New"/>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02686" w14:textId="77777777" w:rsidR="00F2366F" w:rsidRDefault="00F2366F">
      <w:r>
        <w:separator/>
      </w:r>
    </w:p>
  </w:footnote>
  <w:footnote w:type="continuationSeparator" w:id="0">
    <w:p w14:paraId="6F63FC5B" w14:textId="77777777" w:rsidR="00F2366F" w:rsidRDefault="00F236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AA79F" w14:textId="71B9C36A" w:rsidR="00144611" w:rsidRDefault="003422DA">
    <w:pPr>
      <w:widowControl w:val="0"/>
      <w:tabs>
        <w:tab w:val="right" w:pos="9360"/>
      </w:tabs>
      <w:rPr>
        <w:rFonts w:ascii="Times New Roman" w:eastAsia="Times New Roman" w:hAnsi="Times New Roman" w:cs="Times New Roman"/>
      </w:rPr>
    </w:pPr>
    <w:r>
      <w:rPr>
        <w:rFonts w:ascii="Times New Roman" w:eastAsia="Times New Roman" w:hAnsi="Times New Roman" w:cs="Times New Roman"/>
      </w:rPr>
      <w:t>THE EFFECTS OF PSILOCYBIN ON ATTENTION AND EXECUTIVE FUNCTIONING</w:t>
    </w:r>
    <w:r>
      <w:rPr>
        <w:rFonts w:ascii="Times New Roman" w:eastAsia="Times New Roman" w:hAnsi="Times New Roman" w:cs="Times New Roman"/>
      </w:rPr>
      <w:tab/>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497BDC">
      <w:rPr>
        <w:rFonts w:ascii="Times New Roman" w:eastAsia="Times New Roman" w:hAnsi="Times New Roman" w:cs="Times New Roman"/>
        <w:noProof/>
      </w:rPr>
      <w:t>1</w:t>
    </w:r>
    <w:r>
      <w:rPr>
        <w:rFonts w:ascii="Times New Roman" w:eastAsia="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220B4"/>
    <w:multiLevelType w:val="multilevel"/>
    <w:tmpl w:val="C4A46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58164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611"/>
    <w:rsid w:val="0003178D"/>
    <w:rsid w:val="00036628"/>
    <w:rsid w:val="00063FE8"/>
    <w:rsid w:val="00084D0C"/>
    <w:rsid w:val="00087D8C"/>
    <w:rsid w:val="000A76A1"/>
    <w:rsid w:val="000C7032"/>
    <w:rsid w:val="000F1AE2"/>
    <w:rsid w:val="000F48F7"/>
    <w:rsid w:val="000F66D0"/>
    <w:rsid w:val="0010407A"/>
    <w:rsid w:val="0013006A"/>
    <w:rsid w:val="00144611"/>
    <w:rsid w:val="001478C8"/>
    <w:rsid w:val="0015360D"/>
    <w:rsid w:val="00161F4C"/>
    <w:rsid w:val="00163040"/>
    <w:rsid w:val="00164079"/>
    <w:rsid w:val="001703BB"/>
    <w:rsid w:val="001748B5"/>
    <w:rsid w:val="001C5A2A"/>
    <w:rsid w:val="001E29B6"/>
    <w:rsid w:val="00224874"/>
    <w:rsid w:val="002534D3"/>
    <w:rsid w:val="00253FC9"/>
    <w:rsid w:val="00255407"/>
    <w:rsid w:val="002720E9"/>
    <w:rsid w:val="00286F9E"/>
    <w:rsid w:val="002A29C4"/>
    <w:rsid w:val="002A5DDD"/>
    <w:rsid w:val="002B4198"/>
    <w:rsid w:val="002D060F"/>
    <w:rsid w:val="002D7469"/>
    <w:rsid w:val="00312707"/>
    <w:rsid w:val="003422DA"/>
    <w:rsid w:val="00343493"/>
    <w:rsid w:val="0038294C"/>
    <w:rsid w:val="003873E0"/>
    <w:rsid w:val="003A432D"/>
    <w:rsid w:val="003C7450"/>
    <w:rsid w:val="003E271B"/>
    <w:rsid w:val="003F0E6F"/>
    <w:rsid w:val="0040264C"/>
    <w:rsid w:val="00413AFF"/>
    <w:rsid w:val="00424D27"/>
    <w:rsid w:val="0043370F"/>
    <w:rsid w:val="00447E88"/>
    <w:rsid w:val="004564C6"/>
    <w:rsid w:val="004768D2"/>
    <w:rsid w:val="00496F24"/>
    <w:rsid w:val="00497BDC"/>
    <w:rsid w:val="004B02C1"/>
    <w:rsid w:val="004B70A4"/>
    <w:rsid w:val="004C5D2C"/>
    <w:rsid w:val="00510873"/>
    <w:rsid w:val="00530473"/>
    <w:rsid w:val="005342EB"/>
    <w:rsid w:val="0055730E"/>
    <w:rsid w:val="00561E68"/>
    <w:rsid w:val="00562D10"/>
    <w:rsid w:val="0057109F"/>
    <w:rsid w:val="00574A3E"/>
    <w:rsid w:val="00581A37"/>
    <w:rsid w:val="005B4711"/>
    <w:rsid w:val="005B7D98"/>
    <w:rsid w:val="005C0229"/>
    <w:rsid w:val="005E6226"/>
    <w:rsid w:val="00600333"/>
    <w:rsid w:val="0062569D"/>
    <w:rsid w:val="0063534A"/>
    <w:rsid w:val="006466D0"/>
    <w:rsid w:val="00650281"/>
    <w:rsid w:val="006540EB"/>
    <w:rsid w:val="00682B8D"/>
    <w:rsid w:val="00692324"/>
    <w:rsid w:val="006A60F8"/>
    <w:rsid w:val="006D542C"/>
    <w:rsid w:val="00701288"/>
    <w:rsid w:val="00711CEE"/>
    <w:rsid w:val="00716AAA"/>
    <w:rsid w:val="007264F5"/>
    <w:rsid w:val="007463BE"/>
    <w:rsid w:val="007468ED"/>
    <w:rsid w:val="00747A4B"/>
    <w:rsid w:val="007553F3"/>
    <w:rsid w:val="00771318"/>
    <w:rsid w:val="007802B3"/>
    <w:rsid w:val="00781923"/>
    <w:rsid w:val="00782A5C"/>
    <w:rsid w:val="007905EE"/>
    <w:rsid w:val="007A6468"/>
    <w:rsid w:val="007B3B3C"/>
    <w:rsid w:val="007D2B78"/>
    <w:rsid w:val="007D347D"/>
    <w:rsid w:val="00800125"/>
    <w:rsid w:val="008100EB"/>
    <w:rsid w:val="0082035E"/>
    <w:rsid w:val="00834592"/>
    <w:rsid w:val="00853966"/>
    <w:rsid w:val="0086193D"/>
    <w:rsid w:val="00876DB4"/>
    <w:rsid w:val="0088057E"/>
    <w:rsid w:val="00886418"/>
    <w:rsid w:val="008902A2"/>
    <w:rsid w:val="008906D7"/>
    <w:rsid w:val="00892FD6"/>
    <w:rsid w:val="008B3623"/>
    <w:rsid w:val="008B43D8"/>
    <w:rsid w:val="008D23E5"/>
    <w:rsid w:val="008E55F3"/>
    <w:rsid w:val="00907D08"/>
    <w:rsid w:val="00914EDD"/>
    <w:rsid w:val="00925774"/>
    <w:rsid w:val="00937402"/>
    <w:rsid w:val="0095426F"/>
    <w:rsid w:val="009552E5"/>
    <w:rsid w:val="009558B2"/>
    <w:rsid w:val="009A560E"/>
    <w:rsid w:val="009C78AE"/>
    <w:rsid w:val="009D0A48"/>
    <w:rsid w:val="00A16044"/>
    <w:rsid w:val="00A20482"/>
    <w:rsid w:val="00A234DA"/>
    <w:rsid w:val="00A24699"/>
    <w:rsid w:val="00A254EE"/>
    <w:rsid w:val="00A900DB"/>
    <w:rsid w:val="00AA0844"/>
    <w:rsid w:val="00AE19AC"/>
    <w:rsid w:val="00AF517B"/>
    <w:rsid w:val="00B03302"/>
    <w:rsid w:val="00B04E3B"/>
    <w:rsid w:val="00B36814"/>
    <w:rsid w:val="00B61BEC"/>
    <w:rsid w:val="00B80610"/>
    <w:rsid w:val="00B94E87"/>
    <w:rsid w:val="00BA6B95"/>
    <w:rsid w:val="00BB616F"/>
    <w:rsid w:val="00BB79C0"/>
    <w:rsid w:val="00BF41FD"/>
    <w:rsid w:val="00C10A53"/>
    <w:rsid w:val="00C752B1"/>
    <w:rsid w:val="00CA5FAC"/>
    <w:rsid w:val="00CD7764"/>
    <w:rsid w:val="00CE67D6"/>
    <w:rsid w:val="00D16195"/>
    <w:rsid w:val="00D72443"/>
    <w:rsid w:val="00D7764F"/>
    <w:rsid w:val="00D87418"/>
    <w:rsid w:val="00DA4384"/>
    <w:rsid w:val="00DA7315"/>
    <w:rsid w:val="00DB0680"/>
    <w:rsid w:val="00DB24A8"/>
    <w:rsid w:val="00DB4836"/>
    <w:rsid w:val="00DC0C0A"/>
    <w:rsid w:val="00DC7AFF"/>
    <w:rsid w:val="00DE6FD6"/>
    <w:rsid w:val="00E01FE9"/>
    <w:rsid w:val="00E179B4"/>
    <w:rsid w:val="00E22F44"/>
    <w:rsid w:val="00E26647"/>
    <w:rsid w:val="00E26C26"/>
    <w:rsid w:val="00E34E6C"/>
    <w:rsid w:val="00E402E0"/>
    <w:rsid w:val="00E466E5"/>
    <w:rsid w:val="00E51F67"/>
    <w:rsid w:val="00E5720A"/>
    <w:rsid w:val="00E917C3"/>
    <w:rsid w:val="00EA4243"/>
    <w:rsid w:val="00EE276E"/>
    <w:rsid w:val="00F144A2"/>
    <w:rsid w:val="00F156C7"/>
    <w:rsid w:val="00F2366F"/>
    <w:rsid w:val="00F37DAC"/>
    <w:rsid w:val="00F54141"/>
    <w:rsid w:val="00F7778C"/>
    <w:rsid w:val="00F94B6C"/>
    <w:rsid w:val="00FA71A9"/>
    <w:rsid w:val="00FB2956"/>
    <w:rsid w:val="00FB7B1B"/>
    <w:rsid w:val="00FC5E97"/>
    <w:rsid w:val="00FE0D67"/>
    <w:rsid w:val="00FF46F7"/>
    <w:rsid w:val="00FF6AA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1"/>
    <o:shapelayout v:ext="edit">
      <o:idmap v:ext="edit" data="1"/>
    </o:shapelayout>
  </w:shapeDefaults>
  <w:decimalSymbol w:val="."/>
  <w:listSeparator w:val=","/>
  <w14:docId w14:val="5DEAA46D"/>
  <w15:docId w15:val="{F1B919DA-0E64-42A7-87CA-C87FC19C9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8AE"/>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E477F0"/>
    <w:pPr>
      <w:spacing w:before="100" w:beforeAutospacing="1" w:after="100" w:afterAutospacing="1"/>
    </w:pPr>
    <w:rPr>
      <w:rFonts w:ascii="Times New Roman" w:hAnsi="Times New Roman"/>
      <w:lang w:val="en-DE" w:eastAsia="en-DE"/>
    </w:rPr>
  </w:style>
  <w:style w:type="table" w:styleId="TableGrid">
    <w:name w:val="Table Grid"/>
    <w:basedOn w:val="TableNormal"/>
    <w:uiPriority w:val="59"/>
    <w:rsid w:val="00D813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9457C"/>
    <w:pPr>
      <w:ind w:left="720"/>
    </w:pPr>
  </w:style>
  <w:style w:type="paragraph" w:styleId="Header">
    <w:name w:val="header"/>
    <w:basedOn w:val="Normal"/>
    <w:link w:val="HeaderChar"/>
    <w:uiPriority w:val="99"/>
    <w:unhideWhenUsed/>
    <w:rsid w:val="00CD4864"/>
    <w:pPr>
      <w:tabs>
        <w:tab w:val="center" w:pos="4513"/>
        <w:tab w:val="right" w:pos="9026"/>
      </w:tabs>
    </w:pPr>
  </w:style>
  <w:style w:type="character" w:customStyle="1" w:styleId="HeaderChar">
    <w:name w:val="Header Char"/>
    <w:link w:val="Header"/>
    <w:uiPriority w:val="99"/>
    <w:rsid w:val="00CD4864"/>
    <w:rPr>
      <w:sz w:val="24"/>
      <w:szCs w:val="24"/>
    </w:rPr>
  </w:style>
  <w:style w:type="paragraph" w:styleId="Footer">
    <w:name w:val="footer"/>
    <w:basedOn w:val="Normal"/>
    <w:link w:val="FooterChar"/>
    <w:uiPriority w:val="99"/>
    <w:unhideWhenUsed/>
    <w:rsid w:val="00CD4864"/>
    <w:pPr>
      <w:tabs>
        <w:tab w:val="center" w:pos="4513"/>
        <w:tab w:val="right" w:pos="9026"/>
      </w:tabs>
    </w:pPr>
  </w:style>
  <w:style w:type="character" w:customStyle="1" w:styleId="FooterChar">
    <w:name w:val="Footer Char"/>
    <w:link w:val="Footer"/>
    <w:uiPriority w:val="99"/>
    <w:rsid w:val="00CD4864"/>
    <w:rPr>
      <w:sz w:val="24"/>
      <w:szCs w:val="24"/>
    </w:rPr>
  </w:style>
  <w:style w:type="character" w:styleId="CommentReference">
    <w:name w:val="annotation reference"/>
    <w:uiPriority w:val="99"/>
    <w:semiHidden/>
    <w:unhideWhenUsed/>
    <w:rsid w:val="00903382"/>
    <w:rPr>
      <w:sz w:val="16"/>
      <w:szCs w:val="16"/>
    </w:rPr>
  </w:style>
  <w:style w:type="paragraph" w:styleId="CommentText">
    <w:name w:val="annotation text"/>
    <w:basedOn w:val="Normal"/>
    <w:link w:val="CommentTextChar"/>
    <w:uiPriority w:val="99"/>
    <w:unhideWhenUsed/>
    <w:rsid w:val="00903382"/>
    <w:rPr>
      <w:sz w:val="20"/>
      <w:szCs w:val="20"/>
    </w:rPr>
  </w:style>
  <w:style w:type="character" w:customStyle="1" w:styleId="CommentTextChar">
    <w:name w:val="Comment Text Char"/>
    <w:basedOn w:val="DefaultParagraphFont"/>
    <w:link w:val="CommentText"/>
    <w:uiPriority w:val="99"/>
    <w:rsid w:val="00903382"/>
  </w:style>
  <w:style w:type="paragraph" w:styleId="CommentSubject">
    <w:name w:val="annotation subject"/>
    <w:basedOn w:val="CommentText"/>
    <w:next w:val="CommentText"/>
    <w:link w:val="CommentSubjectChar"/>
    <w:uiPriority w:val="99"/>
    <w:semiHidden/>
    <w:unhideWhenUsed/>
    <w:rsid w:val="00903382"/>
    <w:rPr>
      <w:b/>
      <w:bCs/>
    </w:rPr>
  </w:style>
  <w:style w:type="character" w:customStyle="1" w:styleId="CommentSubjectChar">
    <w:name w:val="Comment Subject Char"/>
    <w:link w:val="CommentSubject"/>
    <w:uiPriority w:val="99"/>
    <w:semiHidden/>
    <w:rsid w:val="00903382"/>
    <w:rPr>
      <w:b/>
      <w:bCs/>
    </w:rPr>
  </w:style>
  <w:style w:type="character" w:customStyle="1" w:styleId="url">
    <w:name w:val="url"/>
    <w:basedOn w:val="DefaultParagraphFont"/>
    <w:rsid w:val="009F1DB8"/>
  </w:style>
  <w:style w:type="character" w:styleId="Hyperlink">
    <w:name w:val="Hyperlink"/>
    <w:uiPriority w:val="99"/>
    <w:unhideWhenUsed/>
    <w:rsid w:val="000D237B"/>
    <w:rPr>
      <w:color w:val="0000FF"/>
      <w:u w:val="single"/>
    </w:rPr>
  </w:style>
  <w:style w:type="character" w:styleId="UnresolvedMention">
    <w:name w:val="Unresolved Mention"/>
    <w:uiPriority w:val="99"/>
    <w:semiHidden/>
    <w:unhideWhenUsed/>
    <w:rsid w:val="000D237B"/>
    <w:rPr>
      <w:color w:val="605E5C"/>
      <w:shd w:val="clear" w:color="auto" w:fill="E1DFDD"/>
    </w:rPr>
  </w:style>
  <w:style w:type="character" w:styleId="LineNumber">
    <w:name w:val="line number"/>
    <w:basedOn w:val="DefaultParagraphFont"/>
    <w:uiPriority w:val="99"/>
    <w:semiHidden/>
    <w:unhideWhenUsed/>
    <w:rsid w:val="003433D4"/>
  </w:style>
  <w:style w:type="character" w:styleId="Strong">
    <w:name w:val="Strong"/>
    <w:uiPriority w:val="22"/>
    <w:qFormat/>
    <w:rsid w:val="00C1412F"/>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4" w:type="dxa"/>
        <w:left w:w="0" w:type="dxa"/>
        <w:bottom w:w="29" w:type="dxa"/>
        <w:right w:w="0" w:type="dxa"/>
      </w:tblCellMar>
    </w:tblPr>
  </w:style>
  <w:style w:type="character" w:customStyle="1" w:styleId="apple-tab-span">
    <w:name w:val="apple-tab-span"/>
    <w:basedOn w:val="DefaultParagraphFont"/>
    <w:rsid w:val="00834592"/>
  </w:style>
  <w:style w:type="paragraph" w:styleId="Bibliography">
    <w:name w:val="Bibliography"/>
    <w:basedOn w:val="Normal"/>
    <w:next w:val="Normal"/>
    <w:uiPriority w:val="37"/>
    <w:semiHidden/>
    <w:unhideWhenUsed/>
    <w:rsid w:val="00F144A2"/>
    <w:pPr>
      <w:spacing w:line="480" w:lineRule="auto"/>
      <w:ind w:firstLine="720"/>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0592">
      <w:bodyDiv w:val="1"/>
      <w:marLeft w:val="0"/>
      <w:marRight w:val="0"/>
      <w:marTop w:val="0"/>
      <w:marBottom w:val="0"/>
      <w:divBdr>
        <w:top w:val="none" w:sz="0" w:space="0" w:color="auto"/>
        <w:left w:val="none" w:sz="0" w:space="0" w:color="auto"/>
        <w:bottom w:val="none" w:sz="0" w:space="0" w:color="auto"/>
        <w:right w:val="none" w:sz="0" w:space="0" w:color="auto"/>
      </w:divBdr>
    </w:div>
    <w:div w:id="13193914">
      <w:bodyDiv w:val="1"/>
      <w:marLeft w:val="0"/>
      <w:marRight w:val="0"/>
      <w:marTop w:val="0"/>
      <w:marBottom w:val="0"/>
      <w:divBdr>
        <w:top w:val="none" w:sz="0" w:space="0" w:color="auto"/>
        <w:left w:val="none" w:sz="0" w:space="0" w:color="auto"/>
        <w:bottom w:val="none" w:sz="0" w:space="0" w:color="auto"/>
        <w:right w:val="none" w:sz="0" w:space="0" w:color="auto"/>
      </w:divBdr>
    </w:div>
    <w:div w:id="135266942">
      <w:bodyDiv w:val="1"/>
      <w:marLeft w:val="0"/>
      <w:marRight w:val="0"/>
      <w:marTop w:val="0"/>
      <w:marBottom w:val="0"/>
      <w:divBdr>
        <w:top w:val="none" w:sz="0" w:space="0" w:color="auto"/>
        <w:left w:val="none" w:sz="0" w:space="0" w:color="auto"/>
        <w:bottom w:val="none" w:sz="0" w:space="0" w:color="auto"/>
        <w:right w:val="none" w:sz="0" w:space="0" w:color="auto"/>
      </w:divBdr>
    </w:div>
    <w:div w:id="158009541">
      <w:bodyDiv w:val="1"/>
      <w:marLeft w:val="0"/>
      <w:marRight w:val="0"/>
      <w:marTop w:val="0"/>
      <w:marBottom w:val="0"/>
      <w:divBdr>
        <w:top w:val="none" w:sz="0" w:space="0" w:color="auto"/>
        <w:left w:val="none" w:sz="0" w:space="0" w:color="auto"/>
        <w:bottom w:val="none" w:sz="0" w:space="0" w:color="auto"/>
        <w:right w:val="none" w:sz="0" w:space="0" w:color="auto"/>
      </w:divBdr>
    </w:div>
    <w:div w:id="216363120">
      <w:bodyDiv w:val="1"/>
      <w:marLeft w:val="0"/>
      <w:marRight w:val="0"/>
      <w:marTop w:val="0"/>
      <w:marBottom w:val="0"/>
      <w:divBdr>
        <w:top w:val="none" w:sz="0" w:space="0" w:color="auto"/>
        <w:left w:val="none" w:sz="0" w:space="0" w:color="auto"/>
        <w:bottom w:val="none" w:sz="0" w:space="0" w:color="auto"/>
        <w:right w:val="none" w:sz="0" w:space="0" w:color="auto"/>
      </w:divBdr>
    </w:div>
    <w:div w:id="252125033">
      <w:bodyDiv w:val="1"/>
      <w:marLeft w:val="0"/>
      <w:marRight w:val="0"/>
      <w:marTop w:val="0"/>
      <w:marBottom w:val="0"/>
      <w:divBdr>
        <w:top w:val="none" w:sz="0" w:space="0" w:color="auto"/>
        <w:left w:val="none" w:sz="0" w:space="0" w:color="auto"/>
        <w:bottom w:val="none" w:sz="0" w:space="0" w:color="auto"/>
        <w:right w:val="none" w:sz="0" w:space="0" w:color="auto"/>
      </w:divBdr>
      <w:divsChild>
        <w:div w:id="224220033">
          <w:marLeft w:val="-720"/>
          <w:marRight w:val="0"/>
          <w:marTop w:val="0"/>
          <w:marBottom w:val="0"/>
          <w:divBdr>
            <w:top w:val="none" w:sz="0" w:space="0" w:color="auto"/>
            <w:left w:val="none" w:sz="0" w:space="0" w:color="auto"/>
            <w:bottom w:val="none" w:sz="0" w:space="0" w:color="auto"/>
            <w:right w:val="none" w:sz="0" w:space="0" w:color="auto"/>
          </w:divBdr>
        </w:div>
      </w:divsChild>
    </w:div>
    <w:div w:id="272133089">
      <w:bodyDiv w:val="1"/>
      <w:marLeft w:val="0"/>
      <w:marRight w:val="0"/>
      <w:marTop w:val="0"/>
      <w:marBottom w:val="0"/>
      <w:divBdr>
        <w:top w:val="none" w:sz="0" w:space="0" w:color="auto"/>
        <w:left w:val="none" w:sz="0" w:space="0" w:color="auto"/>
        <w:bottom w:val="none" w:sz="0" w:space="0" w:color="auto"/>
        <w:right w:val="none" w:sz="0" w:space="0" w:color="auto"/>
      </w:divBdr>
    </w:div>
    <w:div w:id="387609925">
      <w:bodyDiv w:val="1"/>
      <w:marLeft w:val="0"/>
      <w:marRight w:val="0"/>
      <w:marTop w:val="0"/>
      <w:marBottom w:val="0"/>
      <w:divBdr>
        <w:top w:val="none" w:sz="0" w:space="0" w:color="auto"/>
        <w:left w:val="none" w:sz="0" w:space="0" w:color="auto"/>
        <w:bottom w:val="none" w:sz="0" w:space="0" w:color="auto"/>
        <w:right w:val="none" w:sz="0" w:space="0" w:color="auto"/>
      </w:divBdr>
    </w:div>
    <w:div w:id="587619470">
      <w:bodyDiv w:val="1"/>
      <w:marLeft w:val="0"/>
      <w:marRight w:val="0"/>
      <w:marTop w:val="0"/>
      <w:marBottom w:val="0"/>
      <w:divBdr>
        <w:top w:val="none" w:sz="0" w:space="0" w:color="auto"/>
        <w:left w:val="none" w:sz="0" w:space="0" w:color="auto"/>
        <w:bottom w:val="none" w:sz="0" w:space="0" w:color="auto"/>
        <w:right w:val="none" w:sz="0" w:space="0" w:color="auto"/>
      </w:divBdr>
    </w:div>
    <w:div w:id="598566777">
      <w:bodyDiv w:val="1"/>
      <w:marLeft w:val="0"/>
      <w:marRight w:val="0"/>
      <w:marTop w:val="0"/>
      <w:marBottom w:val="0"/>
      <w:divBdr>
        <w:top w:val="none" w:sz="0" w:space="0" w:color="auto"/>
        <w:left w:val="none" w:sz="0" w:space="0" w:color="auto"/>
        <w:bottom w:val="none" w:sz="0" w:space="0" w:color="auto"/>
        <w:right w:val="none" w:sz="0" w:space="0" w:color="auto"/>
      </w:divBdr>
    </w:div>
    <w:div w:id="1281380321">
      <w:bodyDiv w:val="1"/>
      <w:marLeft w:val="0"/>
      <w:marRight w:val="0"/>
      <w:marTop w:val="0"/>
      <w:marBottom w:val="0"/>
      <w:divBdr>
        <w:top w:val="none" w:sz="0" w:space="0" w:color="auto"/>
        <w:left w:val="none" w:sz="0" w:space="0" w:color="auto"/>
        <w:bottom w:val="none" w:sz="0" w:space="0" w:color="auto"/>
        <w:right w:val="none" w:sz="0" w:space="0" w:color="auto"/>
      </w:divBdr>
    </w:div>
    <w:div w:id="1365060715">
      <w:bodyDiv w:val="1"/>
      <w:marLeft w:val="0"/>
      <w:marRight w:val="0"/>
      <w:marTop w:val="0"/>
      <w:marBottom w:val="0"/>
      <w:divBdr>
        <w:top w:val="none" w:sz="0" w:space="0" w:color="auto"/>
        <w:left w:val="none" w:sz="0" w:space="0" w:color="auto"/>
        <w:bottom w:val="none" w:sz="0" w:space="0" w:color="auto"/>
        <w:right w:val="none" w:sz="0" w:space="0" w:color="auto"/>
      </w:divBdr>
    </w:div>
    <w:div w:id="1366058344">
      <w:bodyDiv w:val="1"/>
      <w:marLeft w:val="0"/>
      <w:marRight w:val="0"/>
      <w:marTop w:val="0"/>
      <w:marBottom w:val="0"/>
      <w:divBdr>
        <w:top w:val="none" w:sz="0" w:space="0" w:color="auto"/>
        <w:left w:val="none" w:sz="0" w:space="0" w:color="auto"/>
        <w:bottom w:val="none" w:sz="0" w:space="0" w:color="auto"/>
        <w:right w:val="none" w:sz="0" w:space="0" w:color="auto"/>
      </w:divBdr>
    </w:div>
    <w:div w:id="1382359623">
      <w:bodyDiv w:val="1"/>
      <w:marLeft w:val="0"/>
      <w:marRight w:val="0"/>
      <w:marTop w:val="0"/>
      <w:marBottom w:val="0"/>
      <w:divBdr>
        <w:top w:val="none" w:sz="0" w:space="0" w:color="auto"/>
        <w:left w:val="none" w:sz="0" w:space="0" w:color="auto"/>
        <w:bottom w:val="none" w:sz="0" w:space="0" w:color="auto"/>
        <w:right w:val="none" w:sz="0" w:space="0" w:color="auto"/>
      </w:divBdr>
      <w:divsChild>
        <w:div w:id="1140072866">
          <w:marLeft w:val="-720"/>
          <w:marRight w:val="0"/>
          <w:marTop w:val="0"/>
          <w:marBottom w:val="0"/>
          <w:divBdr>
            <w:top w:val="none" w:sz="0" w:space="0" w:color="auto"/>
            <w:left w:val="none" w:sz="0" w:space="0" w:color="auto"/>
            <w:bottom w:val="none" w:sz="0" w:space="0" w:color="auto"/>
            <w:right w:val="none" w:sz="0" w:space="0" w:color="auto"/>
          </w:divBdr>
        </w:div>
      </w:divsChild>
    </w:div>
    <w:div w:id="1387606371">
      <w:bodyDiv w:val="1"/>
      <w:marLeft w:val="0"/>
      <w:marRight w:val="0"/>
      <w:marTop w:val="0"/>
      <w:marBottom w:val="0"/>
      <w:divBdr>
        <w:top w:val="none" w:sz="0" w:space="0" w:color="auto"/>
        <w:left w:val="none" w:sz="0" w:space="0" w:color="auto"/>
        <w:bottom w:val="none" w:sz="0" w:space="0" w:color="auto"/>
        <w:right w:val="none" w:sz="0" w:space="0" w:color="auto"/>
      </w:divBdr>
    </w:div>
    <w:div w:id="1847281590">
      <w:bodyDiv w:val="1"/>
      <w:marLeft w:val="0"/>
      <w:marRight w:val="0"/>
      <w:marTop w:val="0"/>
      <w:marBottom w:val="0"/>
      <w:divBdr>
        <w:top w:val="none" w:sz="0" w:space="0" w:color="auto"/>
        <w:left w:val="none" w:sz="0" w:space="0" w:color="auto"/>
        <w:bottom w:val="none" w:sz="0" w:space="0" w:color="auto"/>
        <w:right w:val="none" w:sz="0" w:space="0" w:color="auto"/>
      </w:divBdr>
    </w:div>
    <w:div w:id="19647746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orten.lietz@unifr.ch" TargetMode="Externa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hyperlink" Target="https://github.com/Parssayousefi/MetaAnalysis-Psilo-Cogni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rzff9t3QXkqvmnGX9wGzbZevA==">CgMxLjAaJwoBMBIiCiAIBCocCgtBQUFCT3JhakZPQRAIGgtBQUFCT3JhakZPQRonCgExEiIKIAgEKhwKC0FBQUJPWWgtTTA0EAgaC0FBQUJPWWgtTTA0Gh8KATISGgoYCAlSFAoSdGFibGUuOGozZG1uczIzNWo0Gh8KATMSGgoYCAlSFAoSdGFibGUub2txYzF0Y291ejVoGicKATQSIgogCAQqHAoLQUFBQlJvd0RfencQCBoLQUFBQlJvd0RfencaJwoBNRIiCiAIBCocCgtBQUFCUm93RF8wWRAIGgtBQUFCUm93RF8wWRonCgE2EiIKIAgEKhwKC0FBQUJSb3dEXzBZEAgaC0FBQUJPWWw2blhRGicKATcSIgogCAQqHAoLQUFBQlJvd0RfMGsQCBoLQUFBQlJvd0RfMGsaJwoBOBIiCiAIBCocCgtBQUFCUm93RF8wcxAIGgtBQUFCUm93RF8wcxonCgE5EiIKIAgEKhwKC0FBQUJSQkxsZ21ZEAgaC0FBQUJSQkxsZ21ZGigKAjEwEiIKIAgEKhwKC0FBQUJSQkxsZ25FEAgaC0FBQUJSQkxsZ25FGigKAjExEiIKIAgEKhwKC0FBQUJPWWw2bmQ4EAgaC0FBQUJPWWw2bmQ4GigKAjEyEiIKIAgEKhwKC0FBQUJPWWw2bmVVEAgaC0FBQUJPWWw2bmVVGigKAjEzEiIKIAgEKhwKC0FBQUJPVkFrbFNJEAgaC0FBQUJPVkFrbFNJGigKAjE0EiIKIAgEKhwKC0FBQUJPVkFrbFM0EAgaC0FBQUJPVkFrbFM0GigKAjE1EiIKIAgEKhwKC0FBQUJPVkFrbFRVEAgaC0FBQUJPVkFrbFRVGhsKAjE2EhUKEwgEKg8KC0FBQUJPVkFrbFRzEAQaKAoCMTcSIgogCAQqHAoLQUFBQk9WQWtsVHcQCBoLQUFBQk9WQWtsVHcaGwoCMTgSFQoTCAQqDwoLQUFBQk9WQWtsVG8QBBobCgIxORIVChMIBCoPCgtBQUFCT1ZBa2xUbxAEGigKAjIwEiIKIAgEKhwKC0FBQUJPVkFrbFQ0EAgaC0FBQUJPVkFrbFQ0GigKAjIxEiIKIAgEKhwKC0FBQUJPVkFrbFQ4EAgaC0FBQUJPVkFrbFQ4GigKAjIyEiIKIAgEKhwKC0FBQUJPVkFrbFVBEAgaC0FBQUJPVkFrbFVBGigKAjIzEiIKIAgEKhwKC0FBQUJPVkFrbFVREAgaC0FBQUJPVkFrbFVRGigKAjI0EiIKIAgEKhwKC0FBQUJPVkFrbFVVEAgaC0FBQUJPVkFrbFVVGigKAjI1EiIKIAgEKhwKC0FBQUJPVkFrbFVjEAgaC0FBQUJPVkFrbFVjGigKAjI2EiIKIAgEKhwKC0FBQUJPWWw2bmU4EAgaC0FBQUJPWWw2bmU4GigKAjI3EiIKIAgEKhwKC0FBQUJPWWw2bmZBEAgaC0FBQUJPWWw2bmZBGigKAjI4EiIKIAgEKhwKC0FBQUJRc2xEalhFEAgaC0FBQUJRc2xEalhFGigKAjI5EiIKIAgEKhwKC0FBQUJRMmJOZ1NrEAgaC0FBQUJRMmJOZ1NrGigKAjMwEiIKIAgEKhwKC0FBQUJRMmJOZ1NjEAgaC0FBQUJRMmJOZ1NjGigKAjMxEiIKIAgEKhwKC0FBQUJRMmJOZ1NvEAgaC0FBQUJRMmJOZ1NvGigKAjMyEiIKIAgEKhwKC0FBQUJSOEEzZjZnEAgaC0FBQUJSOEEzZjZnGigKAjMzEiIKIAgEKhwKC0FBQUJSOEEzZjZrEAgaC0FBQUJSOEEzZjZrIpECCgtBQUFCT1lsNm5YNBLbAQoLQUFBQk9ZbDZuWDQSC0FBQUJPWWw2blg0Gg0KCXRleHQvaHRtbBIAIg4KCnRleHQvcGxhaW4SACobIhUxMDUxNjc0MTg2MDA1NjM0NTI0MTYoADgAMOL2g66MMjiLgISujDJKOwokYXBwbGljYXRpb24vdm5kLmdvb2dsZS1hcHBzLmRvY3MubWRzGhPC19rkAQ0aCwoHCgFzEAEYABABWgwyZnljMXNkMzQ2NmxyAiAAeACCARRzdWdnZXN0LnM4cHhhZXdyMnd1dJoBBggAEAAYALABALgBABji9oOujDIgi4CErowyMABCFHN1Z2dlc3QuczhweGFld3Iyd3V0IpECCgtBQUFCUkJMbGdZZxLbAQoLQUFBQlJCTGxnWWcSC0FBQUJSQkxsZ1lnGg0KCXRleHQvaHRtbBIAIg4KCnRleHQvcGxhaW4SACobIhUxMTY3NzE4NjMyMTE2OTE1MTA3NTcoADgAMMWUrYqKMjiQma2KijJKOwokYXBwbGljYXRpb24vdm5kLmdvb2dsZS1hcHBzLmRvY3MubWRzGhPC19rkAQ0aCwoHCgEiEAEYABABWgx3d2ZtYzFxMmd5cjVyAiAAeACCARRzdWdnZXN0LjJjY3J0Y2s1NnFxdpoBBggAEAAYALABALgBABjFlK2KijIgkJmtiooyMABCFHN1Z2dlc3QuMmNjcnRjazU2cXF2IqYCCgtBQUFCUkJMbGdaQRLwAQoLQUFBQlJCTGxnWkESC0FBQUJSQkxsZ1pBGg0KCXRleHQvaHRtbBIAIg4KCnRleHQvcGxhaW4SACobIhUxMTY3NzE4NjMyMTE2OTE1MTA3NTcoADgAMOvCr4qKMjju0a+KijJKUQokYXBwbGljYXRpb24vdm5kLmdvb2dsZS1hcHBzLmRvY3MubWRzGinC19rkASMKIQoMCgZyZXZlaXcQARgAEg8KCWFwcHJhaXNhbBABGAAYAVoLcGdmaHpkZzA2N3lyAiAAeACCARRzdWdnZXN0LnJlazJsdDFmM21leZoBBggAEAAYALABALgBABjrwq+KijIg7tGviooyMABCFHN1Z2dlc3QucmVrMmx0MWYzbWV5IpACCgtBQUFCT1lsNm5ZRRLaAQoLQUFBQk9ZbDZuWUUSC0FBQUJPWWw2bllFGg0KCXRleHQvaHRtbBIAIg4KCnRleHQvcGxhaW4SACobIhUxMDUxNjc0MTg2MDA1NjM0NTI0MTYoADgAMIf7hq6MMjiAhIeujDJKOgokYXBwbGljYXRpb24vdm5kLmdvb2dsZS1hcHBzLmRvY3MubWRzGhLC19rkAQwaCgoGCgAQExgAEAJaDHpiaHAzcTcyMzZqa3ICIAB4AIIBFHN1Z2dlc3QuZGJxOWZ3dzlkYzEzmgEGCAAQABgAsAEAuAEAGIf7hq6MMiCAhIeujDIwAEIUc3VnZ2VzdC5kYnE5Znd3OWRjMTMilAIKC0FBQUJSQkxsZ1VNEt4BCgtBQUFCUkJMbGdVTRILQUFBQlJCTGxnVU0aDQoJdGV4dC9odG1sEgAiDgoKdGV4dC9wbGFpbhIAKhsiFTExNjc3MTg2MzIxMTY5MTUxMDc1NygAOAAwpIbJiYoyOLSLyYmKMko/CiRhcHBsaWNhdGlvbi92bmQuZ29vZ2xlLWFwcHMuZG9jcy5tZHMaF8LX2uQBERoPCgsKBWUuZy4sEAEYABABWgtwMWI2M3B0bTdjenICIAB4AIIBFHN1Z2dlc3Qub3I3dWtiNDhmdTB6mgEGCAAQABgAsAEAuAEAGKSGyYmKMiC0i8mJijIwAEIUc3VnZ2VzdC5vcjd1a2I0OGZ1MHoikwIKC0FBQUJSQkxsZ1VVEt0BCgtBQUFCUkJMbGdVVRILQUFBQlJCTGxnVVUaDQoJdGV4dC9odG1sEgAiDgoKdGV4dC9wbGFpbhIAKhsiFTExNjc3MTg2MzIxMTY5MTUxMDc1NygAOAAw28TJiYoyOIPJyYmKMko9CiRhcHBsaWNhdGlvbi92bmQuZ29vZ2xlLWFwcHMuZG9jcy5tZHMaFcLX2uQBDxoNCgkKA2NhbhABGAAQAVoMcGhxd2I3ZzhjNWx4cgIgAHgAggEUc3VnZ2VzdC42cTlvcWFpNzVqbXeaAQYIABAAGACwAQC4AQAY28TJiYoyIIPJyYmKMjAAQhRzdWdnZXN0LjZxOW9xYWk3NWptdyKVAgoLQUFBQlJCTGxnVVES3wEKC0FBQUJSQkxsZ1VREgtBQUFCUkJMbGdVURoNCgl0ZXh0L2h0bWwSACIOCgp0ZXh0L3BsYWluEgAqGyIVMTE2NzcxODYzMjExNjkxNTEwNzU3KAA4ADDCosmJijI4/6bJiYoySj8KJGFwcGxpY2F0aW9uL3ZuZC5nb29nbGUtYXBwcy5kb2NzLm1kcxoXwtfa5AERGg8KCwoFZS5nLiwQARgAEAFaDGRvbWdmb2l5ODRuOXICIAB4AIIBFHN1Z2dlc3QuOGRhcnVyYzNpaWIzmgEGCAAQABgAsAEAuAEAGMKiyYmKMiD/psmJijIwAEIUc3VnZ2VzdC44ZGFydXJjM2lpYjMigQMKC0FBQUJPcmFqRk9BEs8CCgtBQUFCT3JhakZPQRILQUFBQk9yYWpGT0EaRAoJdGV4dC9odG1sEjdUaGUgbGV0dGVyIG5lZWRzIHRvIGJlIHVwbG9hZGVkIGFzIGEgc2VwYXJhdGUgZG9jdW1lbnQuIkUKCnRleHQvcGxhaW4SN1RoZSBsZXR0ZXIgbmVlZHMgdG8gYmUgdXBsb2FkZWQgYXMgYSBzZXBhcmF0ZSBkb2N1bWVudC4qGyIVMTA1MTY3NDE4NjAwNTYzNDUyNDE2KAA4ADDetKHXjDI43rSh14wyShwKCnRleHQvcGxhaW4SDsKuRGVhciBFZGl0b3IsWgw2enI4MGx2bzFrcDVyAiAAeACaAQYIABAAGACqATkSN1RoZSBsZXR0ZXIgbmVlZHMgdG8gYmUgdXBsb2FkZWQgYXMgYSBzZXBhcmF0ZSBkb2N1bWVudC6wAQC4AQAY3rSh14wyIN60odeMMjAAQhBraXgudTlvbWlxejNrd3dkIosGCgtBQUFCT1ZBa2xVYxLZBQoLQUFBQk9WQWtsVWMSC0FBQUJPVkFrbFVjGqkBCgl0ZXh0L2h0bWwSmwFUaGlzIHlvdSBzYWlkIGFscmVhZHkgaW4gdGhlIHNlY3Rpb24gYmVmb3JlLCBpdCBjYW4gZ28gb3V0IGhlcmUsIHVubGVzcyBJIG1pc3NlZCB3aGF0IHlvdSB3YW50ZWQgdG8gc2F5IHdpdGggdGhlIG1lZGljYXRpb24gaW4gY2xpbmljYWwgcG9wdWxhdGlvbnMgYmVmb3JlLiKqAQoKdGV4dC9wbGFpbhKbAVRoaXMgeW91IHNhaWQgYWxyZWFkeSBpbiB0aGUgc2VjdGlvbiBiZWZvcmUsIGl0IGNhbiBnbyBvdXQgaGVyZSwgdW5sZXNzIEkgbWlzc2VkIHdoYXQgeW91IHdhbnRlZCB0byBzYXkgd2l0aCB0aGUgbWVkaWNhdGlvbiBpbiBjbGluaWNhbCBwb3B1bGF0aW9ucyBiZWZvcmUuKhsiFTExNjc3MTg2MzIxMTY5MTUxMDc1NygAOAAw/paYkIoyOP6WmJCKMkp0Cgp0ZXh0L3BsYWluEmZIZW5jZSwgbW9yZSBjbGluaWNhbCBzdHVkaWVzIGxvb2tpbmcgaW50byB0aGUgbG9uZy10ZXJtIGVmZmVjdHMgb2YgcHNpbG9jeWJpbiBvbiBjb2duaXRpb24gYXJlIG5lZWRlZC5aDGQ4Nmk2ZWhqaTM4ZnICIAB4AJoBBggAEAAYAKoBngESmwFUaGlzIHlvdSBzYWlkIGFscmVhZHkgaW4gdGhlIHNlY3Rpb24gYmVmb3JlLCBpdCBjYW4gZ28gb3V0IGhlcmUsIHVubGVzcyBJIG1pc3NlZCB3aGF0IHlvdSB3YW50ZWQgdG8gc2F5IHdpdGggdGhlIG1lZGljYXRpb24gaW4gY2xpbmljYWwgcG9wdWxhdGlvbnMgYmVmb3JlLrABALgBABj+lpiQijIg/paYkIoyMABCEGtpeC5kaTI1djM2dHNtcXUiigIKC0FBQUJPVkFrbFRzEtQBCgtBQUFCT1ZBa2xUcxILQUFBQk9WQWtsVHMaDQoJdGV4dC9odG1sEgAiDgoKdGV4dC9wbGFpbhIAKhsiFTExNjc3MTg2MzIxMTY5MTUxMDc1NygAOAAwn4CAkIoyOKGHgJCKMko0CiRhcHBsaWNhdGlvbi92bmQuZ29vZ2xlLWFwcHMuZG9jcy5tZHMaDMLX2uQBBiIECAEQAVoMZGl0YnVmbTF3ZzZycgIgAHgAggEUc3VnZ2VzdC5rODd6NW9oM3dpcWuaAQYIABAAGACwAQC4AQAYn4CAkIoyIKGHgJCKMjAAQhRzdWdnZXN0Lms4N3o1b2gzd2lxayKcAwoLQUFBQk9WQWtsVVUS6gIKC0FBQUJPVkFrbFVVEgtBQUFCT1ZBa2xVVRpPCgl0ZXh0L2h0bWwSQlRoZXkgY2FuIG1pdGlnYXRlLCBidXQgaXQgY2FuIGFsc28gZ28gaW50byB0aGUgb3Bwb3NpdGUgZGlyZWN0aW9uLiJQCgp0ZXh0L3BsYWluEkJUaGV5IGNhbiBtaXRpZ2F0ZSwgYnV0IGl0IGNhbiBhbHNvIGdvIGludG8gdGhlIG9wcG9zaXRlIGRpcmVjdGlvbi4qGyIVMTE2NzcxODYzMjExNjkxNTEwNzU3KAA4ADDq9pSQijI46vaUkIoyShYKCnRleHQvcGxhaW4SCG1pdGlnYXRlWgxxOTY0cTN6M2c1NXlyAiAAeACaAQYIABAAGACqAUQSQlRoZXkgY2FuIG1pdGlnYXRlLCBidXQgaXQgY2FuIGFsc28gZ28gaW50byB0aGUgb3Bwb3NpdGUgZGlyZWN0aW9uLrABALgBABjq9pSQijIg6vaUkIoyMABCEGtpeC42djVyMTBqa2Q4NWkimQIKC0FBQUJSQkxsZ2Q0EuMBCgtBQUFCUkJMbGdkNBILQUFBQlJCTGxnZDQaDQoJdGV4dC9odG1sEgAiDgoKdGV4dC9wbGFpbhIAKhsiFTExNjc3MTg2MzIxMTY5MTUxMDc1NygAOAAw65Khi4oyOIaYoYuKMkpDCiRhcHBsaWNhdGlvbi92bmQuZ29vZ2xlLWFwcHMuZG9jcy5tZHMaG8LX2uQBFRITCg8KCXdpbGwgYWxzbxABGAAQAVoMYzhkeHR1Y3h5cWozcgIgAHgAggEUc3VnZ2VzdC5xMm1kb3V1bXNnZW2aAQYIABAAGACwAQC4AQAY65Khi4oyIIaYoYuKMjAAQhRzdWdnZXN0LnEybWRvdXVtc2dlbSL4AwoLQUFBQk9WQWtsVHcSxgMKC0FBQUJPVkFrbFR3EgtBQUFCT1ZBa2xUdxpFCgl0ZXh0L2h0bWwSOFRoaXMgc291bmRzIHJlcGV0aXRpdmXCoGFzIHRoZSBzZW50ZW5jZSBiZWZvcmUgdGhpcyBvbmUuIkYKCnRleHQvcGxhaW4SOFRoaXMgc291bmRzIHJlcGV0aXRpdmXCoGFzIHRoZSBzZW50ZW5jZSBiZWZvcmUgdGhpcyBvbmUuKhsiFTExNjc3MTg2MzIxMTY5MTUxMDc1NygAOAAwj/+AkIoyOI//gJCKMkqPAQoKdGV4dC9wbGFpbhKAAWQgcmVkdWNlZCBhY2N1cmFjeSB1bmRlciB0aGUgaW5mbHVlbmNlIG9mIHBzeWNoZWRlbGljcywgbW9yZSByZXNlYXJjaCBpcyBwb2ludGluZyB0b3dhcmRzIHBvdGVudGlhbCBsb25nLXRlcm0gY29nbml0aXZlIGJlbmVmaXRzWgwyb3N0d3Bkd2V4eHlyAiAAeACaAQYIABAAGACqAToSOFRoaXMgc291bmRzIHJlcGV0aXRpdmXCoGFzIHRoZSBzZW50ZW5jZSBiZWZvcmUgdGhpcyBvbmUusAEAuAEAGI//gJCKMiCP/4CQijIwAEIQa2l4LjNyMThnOHBhcTVseCKKAgoLQUFBQk9WQWtsVG8S1AEKC0FBQUJPVkFrbFRvEgtBQUFCT1ZBa2xUbxoNCgl0ZXh0L2h0bWwSACIOCgp0ZXh0L3BsYWluEgAqGyIVMTE2NzcxODYzMjExNjkxNTEwNzU3KAA4ADDI5P+PijI4+ev/j4oySjQKJGFwcGxpY2F0aW9uL3ZuZC5nb29nbGUtYXBwcy5kb2NzLm1kcxoMwtfa5AEGIgQIARABWgxscXN4dDkyMG1kMjdyAiAAeACCARRzdWdnZXN0LmIweWJhNDk3dmw2eZoBBggAEAAYALABALgBABjI5P+PijIg+ev/j4oyMABCFHN1Z2dlc3QuYjB5YmE0OTd2bDZ5IpMFCgtBQUFCT1ZBa2xVURLhBAoLQUFBQk9WQWtsVVESC0FBQUJPVkFrbFVRGlEKCXRleHQvaHRtbBJEV2h5IGlzIHRoaXMgcGFydCBvZiB0aGUgc2FmZXR5IHJlc3VsdHM/IEkgZG8gbm90IHNlZSB0aGUgY29ubmVjdGlvbj8iUgoKdGV4dC9wbGFpbhJEV2h5IGlzIHRoaXMgcGFydCBvZiB0aGUgc2FmZXR5IHJlc3VsdHM/IEkgZG8gbm90IHNlZSB0aGUgY29ubmVjdGlvbj8qGyIVMTE2NzcxODYzMjExNjkxNTEwNzU3KAA4ADCx7ZOQijI4se2TkIoySocCCgp0ZXh0L3BsYWluEvgBQXMgbWVkaWNhdGlvbnMgaW4gY2xpbmljYWwgcG9wdWxhdGlvbnMgbWl0aWdhdGUgdGhlIGltcGFjdCBvZiBzeW1wdG9tcyBvbiBjb2duaXRpdmUgZG9tYWlucywgdGhleSBoYXZlIHRoZSBwb3RlbnRpYWwgdG8gZW5oYW5jZSBjb2duaXRpdmUgcGVyZm9ybWFuY2UsIGFzIG9ic2VydmVkIHdpdGggYW50aXBzeWNob3RpY3MgYW5kIGFudGllcGlsZXB0aWMgZHJ1Z3MgKFJlaHNlIGV0IGFsLiwgMjAxNjsgUmFqamkgZXQgYWwuLCAyMDE3KS5aC2c5bWRuYmFtemZ1cgIgAHgAmgEGCAAQABgAqgFGEkRXaHkgaXMgdGhpcyBwYXJ0IG9mIHRoZSBzYWZldHkgcmVzdWx0cz8gSSBkbyBub3Qgc2VlIHRoZSBjb25uZWN0aW9uP7ABALgBABix7ZOQijIgse2TkIoyMABCEGtpeC5qbzI2dHM5M2Q2MHQirgIKC0FBQUJPVkFrbFVBEvwBCgtBQUFCT1ZBa2xVQRILQUFBQk9WQWtsVUEaKAoJdGV4dC9odG1sEhtidXQgbm9uLXNpZ25pZmljYW50wqByaWdodD8iKQoKdGV4dC9wbGFpbhIbYnV0IG5vbi1zaWduaWZpY2FudMKgcmlnaHQ/KhsiFTExNjc3MTg2MzIxMTY5MTUxMDc1NygAOAAwk66NkIoyOJOujZCKMkodCgp0ZXh0L3BsYWluEg9lZHVjZWQgYWNjdXJhY3laDHR3NGN3N25ybDF5ZnICIAB4AJoBBggAEAAYAKoBHRIbYnV0IG5vbi1zaWduaWZpY2FudMKgcmlnaHQ/sAEAuAEAGJOujZCKMiCTro2QijIwAEIQa2l4Lm45Z3doYzRtbTRmaCKuAwoLQUFBQlFzbERqWEUS/AIKC0FBQUJRc2xEalhFEgtBQUFCUXNsRGpYRRpUCgl0ZXh0L2h0bWwSR2kgZGlkIG5vdCBtYW5hZ2UgdG8gZnVsbHkgaW1wbGVtZW50wqBhbGwgY29tZW50cyBmcm9tIGxhc3QgdmVyc2lvbiB5ZXQuIlUKCnRleHQvcGxhaW4SR2kgZGlkIG5vdCBtYW5hZ2UgdG8gZnVsbHkgaW1wbGVtZW50wqBhbGwgY29tZW50cyBmcm9tIGxhc3QgdmVyc2lvbiB5ZXQuKhsiFTEwMDQzNDUxODU5NjMzMzA2MTQyNCgAOAAwybWmu4gyOMm1pruIMkoZCgp0ZXh0L3BsYWluEgtMaW1pdGF0aW9uc1oMcXY1bXN2bW44cHBtcgIgAHgAmgEGCAAQABgAqgFJEkdpIGRpZCBub3QgbWFuYWdlIHRvIGZ1bGx5IGltcGxlbWVudMKgYWxsIGNvbWVudHMgZnJvbSBsYXN0IHZlcnNpb24geWV0LrABALgBABjJtaa7iDIgybWmu4gyMABCEGtpeC54Z3dkd212bG10emwioAYKC0FBQUJRMmJOZ1NrEvYFCgtBQUFCUTJiTmdTaxILQUFBQlEyYk5nU2sauAEKCXRleHQvaHRtbBKqAVNFRzogWWVzLCB0aGF0IG1pZ2h0IGJlIGJlY2F1c2Ugb2YgdGhlIHRhc2tzLCBidXQgYWxzbyBiZWNhdXNlIHRoZXNlIG1pZ2h0IHRvdWNoIGRpZmZlcmVudCBmdW5jdGlvbnMsIG9uIHRoZSBvbmUgaGFuZCB3b3JraW5nIG1lbW9yeSBvbiB0aGUgb3RoZXIgd29ya2luZyBtZW1vcnkgdXBkYXRpbmcuIrkBCgp0ZXh0L3BsYWluEqoBU0VHOiBZZXMsIHRoYXQgbWlnaHQgYmUgYmVjYXVzZSBvZiB0aGUgdGFza3MsIGJ1dCBhbHNvIGJlY2F1c2UgdGhlc2UgbWlnaHQgdG91Y2ggZGlmZmVyZW50IGZ1bmN0aW9ucywgb24gdGhlIG9uZSBoYW5kIHdvcmtpbmcgbWVtb3J5IG9uIHRoZSBvdGhlciB3b3JraW5nIG1lbW9yeSB1cGRhdGluZy4qRgoNUGFyc2EgWW91c2VmaRo1Ly9zc2wuZ3N0YXRpYy5jb20vZG9jcy9jb21tb24vYmx1ZV9zaWxob3VldHRlOTYtMC5wbmcw4baoqYgyOOG2qKmIMnJICg1QYXJzYSBZb3VzZWZpGjcKNS8vc3NsLmdzdGF0aWMuY29tL2RvY3MvY29tbW9uL2JsdWVfc2lsaG91ZXR0ZTk2LTAucG5neACIAQGaAQYIABAAGACqAa0BEqoBU0VHOiBZZXMsIHRoYXQgbWlnaHQgYmUgYmVjYXVzZSBvZiB0aGUgdGFza3MsIGJ1dCBhbHNvIGJlY2F1c2UgdGhlc2UgbWlnaHQgdG91Y2ggZGlmZmVyZW50IGZ1bmN0aW9ucywgb24gdGhlIG9uZSBoYW5kIHdvcmtpbmcgbWVtb3J5IG9uIHRoZSBvdGhlciB3b3JraW5nIG1lbW9yeSB1cGRhdGluZy6wAQC4AQEY4baoqYgyIOG2qKmIMjAAQghraXguY210MSLNCQoLQUFBQlEyYk5nU28SowkKC0FBQUJRMmJOZ1NvEgtBQUFCUTJiTmdTbxrHAgoJdGV4dC9odG1sErkCTXZFOiB0aGlzIGlzIHNvbWV0aGluZyB0aGF0IHNob3VsZCBiZSBoaWdobGlnaHRlZCBhbmQgZGlzY3Vzc2VkIGVhcmxpZXIgaW4gdGhlIGRpc2N1c3Npb24gc2VjdGlvbi4gVGhpcyBpcyBhbiBpbXBvcnRhbnQgbGltaXRhdGlvbiBvZiBvdXIgc3R1ZHkgYW5kIHBvaW50cyBpbmRlZWQgdG8gdGhlIGhpZ2ggdmFyaWFiaWxpdHkgb2YgZmluZGluZ3PCoGFjcm9zcyBzdHVkaWVzLsKgC1dlIGFsc28gbmVlZCB0byBzYXkgc29tZXRoaW5nIGFib3V0IHRoZSBmdW5uZWwtcGxvdCBhc3ltbWV0cnkgLSBhcyBkaXNjdXNzZWQgZHVyaW5nIG91ciBtZWV0aW5nLiLIAgoKdGV4dC9wbGFpbhK5Ak12RTogdGhpcyBpcyBzb21ldGhpbmcgdGhhdCBzaG91bGQgYmUgaGlnaGxpZ2h0ZWQgYW5kIGRpc2N1c3NlZCBlYXJsaWVyIGluIHRoZSBkaXNjdXNzaW9uIHNlY3Rpb24uIFRoaXMgaXMgYW4gaW1wb3J0YW50IGxpbWl0YXRpb24gb2Ygb3VyIHN0dWR5IGFuZCBwb2ludHMgaW5kZWVkIHRvIHRoZSBoaWdoIHZhcmlhYmlsaXR5IG9mIGZpbmRpbmdzwqBhY3Jvc3Mgc3R1ZGllcy7CoAtXZSBhbHNvIG5lZWQgdG8gc2F5IHNvbWV0aGluZyBhYm91dCB0aGUgZnVubmVsLXBsb3QgYXN5bW1ldHJ5IC0gYXMgZGlzY3Vzc2VkIGR1cmluZyBvdXIgbWVldGluZy4qRgoNUGFyc2EgWW91c2VmaRo1Ly9zc2wuZ3N0YXRpYy5jb20vZG9jcy9jb21tb24vYmx1ZV9zaWxob3VldHRlOTYtMC5wbmcw4raoqYgyOOK2qKmIMnJICg1QYXJzYSBZb3VzZWZpGjcKNS8vc3NsLmdzdGF0aWMuY29tL2RvY3MvY29tbW9uL2JsdWVfc2lsaG91ZXR0ZTk2LTAucG5neACIAQGaAQYIABAAGACqAbwCErkCTXZFOiB0aGlzIGlzIHNvbWV0aGluZyB0aGF0IHNob3VsZCBiZSBoaWdobGlnaHRlZCBhbmQgZGlzY3Vzc2VkIGVhcmxpZXIgaW4gdGhlIGRpc2N1c3Npb24gc2VjdGlvbi4gVGhpcyBpcyBhbiBpbXBvcnRhbnQgbGltaXRhdGlvbiBvZiBvdXIgc3R1ZHkgYW5kIHBvaW50cyBpbmRlZWQgdG8gdGhlIGhpZ2ggdmFyaWFiaWxpdHkgb2YgZmluZGluZ3PCoGFjcm9zcyBzdHVkaWVzLsKgC1dlIGFsc28gbmVlZCB0byBzYXkgc29tZXRoaW5nIGFib3V0IHRoZSBmdW5uZWwtcGxvdCBhc3ltbWV0cnkgLSBhcyBkaXNjdXNzZWQgZHVyaW5nIG91ciBtZWV0aW5nLrABALgBARjitqipiDIg4raoqYgyMABCCGtpeC5jbXQzIroFCgtBQUFCUTJiTmdTYxKQBQoLQUFBQlEyYk5nU2MSC0FBQUJRMmJOZ1NjGpYBCgl0ZXh0L2h0bWwSiAFTRUc6IEkgd291bGQgcGhyYXNlIGl0IGRpZmZlcmVudGx5LCBqdXN0IHNheWluZywgdGhhdCBzdHVkaWVzIHVzZWQgYSB2YXJpZXR5wqBvZiB0YXNrcywgc3RpbGwgd2UgZG8gbm90IGhhdmUgdG9vIG1hbnkgc3R1ZGllcyBhdmFpbGFibGUuIpcBCgp0ZXh0L3BsYWluEogBU0VHOiBJIHdvdWxkIHBocmFzZSBpdCBkaWZmZXJlbnRseSwganVzdCBzYXlpbmcsIHRoYXQgc3R1ZGllcyB1c2VkIGEgdmFyaWV0ecKgb2YgdGFza3MsIHN0aWxsIHdlIGRvIG5vdCBoYXZlIHRvbyBtYW55IHN0dWRpZXMgYXZhaWxhYmxlLipGCg1QYXJzYSBZb3VzZWZpGjUvL3NzbC5nc3RhdGljLmNvbS9kb2NzL2NvbW1vbi9ibHVlX3NpbGhvdWV0dGU5Ni0wLnBuZzDgtqipiDI44LaoqYgyckgKDVBhcnNhIFlvdXNlZmkaNwo1Ly9zc2wuZ3N0YXRpYy5jb20vZG9jcy9jb21tb24vYmx1ZV9zaWxob3VldHRlOTYtMC5wbmd4AIgBAZoBBggAEAAYAKoBiwESiAFTRUc6IEkgd291bGQgcGhyYXNlIGl0IGRpZmZlcmVudGx5LCBqdXN0IHNheWluZywgdGhhdCBzdHVkaWVzIHVzZWQgYSB2YXJpZXR5wqBvZiB0YXNrcywgc3RpbGwgd2UgZG8gbm90IGhhdmUgdG9vIG1hbnkgc3R1ZGllcyBhdmFpbGFibGUusAEAuAEBGOC2qKmIMiDgtqipiDIwAEIIa2l4LmNtdDIirgkKC0FBQUJPVkFrbFM0EvwICgtBQUFCT1ZBa2xTNBILQUFBQk9WQWtsUzQayQEKCXRleHQvaHRtbBK7AVdlIGRpc2N1c3NlZCB0aGlzIHBhcGVyIGluIHRoZSBuYXJyYXRpdmUgcGFydCBhYm92ZS4gQ2FuIHlvdSBhZGQgYWJvdmUgc29tZSBpbmZvcywgdGhhdCB5b3UgbmV3bHkgaW50cm9kdWNlZCBoZXJlLCBhbmQgdGhlbiByZWZlciBhdCB0aGlzIHBvaW50IHRvIHRoZSBzdHVkeT8gT3RoZXJ3aXNlIGl0IGlzIGEgcmVwZXRpdGlvbi4iygEKCnRleHQvcGxhaW4SuwFXZSBkaXNjdXNzZWQgdGhpcyBwYXBlciBpbiB0aGUgbmFycmF0aXZlIHBhcnQgYWJvdmUuIENhbiB5b3UgYWRkIGFib3ZlIHNvbWUgaW5mb3MsIHRoYXQgeW91IG5ld2x5IGludHJvZHVjZWQgaGVyZSwgYW5kIHRoZW4gcmVmZXIgYXQgdGhpcyBwb2ludCB0byB0aGUgc3R1ZHk/IE90aGVyd2lzZSBpdCBpcyBhIHJlcGV0aXRpb24uKhsiFTExNjc3MTg2MzIxMTY5MTUxMDc1NygAOAAwk8j7j4oyOJPI+4+KMkq2AwoKdGV4dC9wbGFpbhKnA3kgRG9zcyBldCBhbC4gKDIwMjEpIHJlcG9ydGVkIHRoZSBlbmR1cmluZyBpbXBhY3Qgb2YgcHNpbG9jeWJpbiBvbiBleGVjdXRpdmUgZnVuY3Rpb25zIHVzaW5nIHRoZSBQZW5uIENvbmRpdGlvbmFsIEV4Y2x1c2lvbiBUZXN0IHRvIGFzc2VzcyBjb2duaXRpdmUgZmxleGliaWxpdHkgaW4gTUREIHBhdGllbnRzICgyMDIxKS4gVGhleSBmb3VuZCB0aGF0IHBzaWxvY3liaW4gc2lnbmlmaWNhbnRseSBkZWNyZWFzZWQgZGVwcmVzc2l2ZSBzeW1wdG9tcyBpbiBuZWFybHkgYWxsIHN1YmplY3RzIHdpdGhpbiBhIHdlZWsgYWZ0ZXIgdHJlYXRtZW50LCB3aXRoIHRoZXNlIGJlbmVmaXRzIGxhc3RpbmcgdXAgdG8gYSB5ZWFyIGZvciB0aGUgbWFqb3JpdHkgb2YgdGhlIHBhcnRpY2lwYW50cyAoZm9sbG93LXVwIHBhcGVyIGJ5IEd1a2FzeWFuLCAyMDIyKVoMNjZnYzAxN3JrMmVucgIgAHgAmgEGCAAQABgAqgG+ARK7AVdlIGRpc2N1c3NlZCB0aGlzIHBhcGVyIGluIHRoZSBuYXJyYXRpdmUgcGFydCBhYm92ZS4gQ2FuIHlvdSBhZGQgYWJvdmUgc29tZSBpbmZvcywgdGhhdCB5b3UgbmV3bHkgaW50cm9kdWNlZCBoZXJlLCBhbmQgdGhlbiByZWZlciBhdCB0aGlzIHBvaW50IHRvIHRoZSBzdHVkeT8gT3RoZXJ3aXNlIGl0IGlzIGEgcmVwZXRpdGlvbi6wAQC4AQAYk8j7j4oyIJPI+4+KMjAAQhBraXgubDBiZ2J2YXI3cnFiIqEECgtBQUFCUm93RF96dxLvAwoLQUFBQlJvd0RfencSC0FBQUJSb3dEX3p3GnIKCXRleHQvaHRtbBJlR0g6wqBJIGRvbuKAmXQgdGhpbmsgd2UgY2FsbCB0aGlzIGEgbG93IGRvc2UuIFdoYXQga2luZCBvZiBndWlkZWxpbmVzIGRvIHlvdSB1c2UgdG8gY2F0ZWdvcml6ZSBkb3Nlcz8icwoKdGV4dC9wbGFpbhJlR0g6wqBJIGRvbuKAmXQgdGhpbmsgd2UgY2FsbCB0aGlzIGEgbG93IGRvc2UuIFdoYXQga2luZCBvZiBndWlkZWxpbmVzIGRvIHlvdSB1c2UgdG8gY2F0ZWdvcml6ZSBkb3Nlcz8qGyIVMTE2NDA2MzQyMjU4Nzk5MzM0MjQ1KAA4ADCY0KDYizI4mNCg2IsySjMKCnRleHQvcGxhaW4SJWxvdyBkb3NlIG9mIHBzaWxvY3liaW4gKDE4LjUgbWcvNzBrZylaC2RoZzZvMXphNDFmcgIgAHgAmgEGCAAQABgAqgFnEmVHSDrCoEkgZG9u4oCZdCB0aGluayB3ZSBjYWxsIHRoaXMgYSBsb3cgZG9zZS4gV2hhdCBraW5kIG9mIGd1aWRlbGluZXMgZG8geW91IHVzZSB0byBjYXRlZ29yaXplIGRvc2VzP7ABALgBABiY0KDYizIgmNCg2IsyMABCEGtpeC45eDRhcjhsaGkxNHoikwIKC0FBQUJSQkxsZ2FBEt0BCgtBQUFCUkJMbGdhQRILQUFBQlJCTGxnYUEaDQoJdGV4dC9odG1sEgAiDgoKdGV4dC9wbGFpbhIAKhsiFTExNjc3MTg2MzIxMTY5MTUxMDc1NygAOAAwiKPAiooyOI+owIqKMko9CiRhcHBsaWNhdGlvbi92bmQuZ29vZ2xlLWFwcHMuZG9jcy5tZHMaFcLX2uQBDxoNCgkKA0pOZRABGAAQAVoMcDJieWpub2J1OHJjcgIgAHgAggEUc3VnZ2VzdC5peDdtMzQ0cWl2ejCaAQYIABAAGACwAQC4AQAYiKPAiooyII+owIqKMjAAQhRzdWdnZXN0Lml4N20zNDRxaXZ6MCLhAwoLQUFBQlI4QTNmNmcSrwMKC0FBQUJSOEEzZjZnEgtBQUFCUjhBM2Y2ZxpuCgl0ZXh0L2h0bWwSYUkgc3VnZ2VzdCB0byBpbmNyZWFzZSB0aGUgZm9udCBzaXplIGluIHRoaXMgZmlndXJlIC0gdGhlIGxhYmVscyBhcmUgaW1wb3NzaWJsZSB0byByZWFkIHJpZ2h0IG5vdy4ibwoKdGV4dC9wbGFpbhJhSSBzdWdnZXN0IHRvIGluY3JlYXNlIHRoZSBmb250IHNpemUgaW4gdGhpcyBmaWd1cmUgLSB0aGUgbGFiZWxzIGFyZSBpbXBvc3NpYmxlIHRvIHJlYWQgcmlnaHQgbm93LiobIhUxMDUxNjc0MTg2MDA1NjM0NTI0MTYoADgAMJHVgLqMMjiR1YC6jDJaDGp0MmZ6MmpsZTYza3ICIAB4AJoBBggAEAAYAKoBYxJhSSBzdWdnZXN0IHRvIGluY3JlYXNlIHRoZSBmb250IHNpemUgaW4gdGhpcyBmaWd1cmUgLSB0aGUgbGFiZWxzIGFyZSBpbXBvc3NpYmxlIHRvIHJlYWQgcmlnaHQgbm93LrABALgBABiR1YC6jDIgkdWAuowyMABCEGtpeC4xd2FvamZkMm5zd20iwQMKC0FBQUJPVkFrbFRVEo8DCgtBQUFCT1ZBa2xUVRILQUFBQk9WQWtsVFUaWAoJdGV4dC9odG1sEktXaGF0IGRvIHlvdSBtZWFuIHdpdGggZmF2b3JhYmxlIGNoYW5nZXM/IFJUcywgYWNjdXJhY3ksIHdhcyBpdCBzaWduaWZpY2FudD8iWQoKdGV4dC9wbGFpbhJLV2hhdCBkbyB5b3UgbWVhbiB3aXRoIGZhdm9yYWJsZSBjaGFuZ2VzPyBSVHMsIGFjY3VyYWN5LCB3YXMgaXQgc2lnbmlmaWNhbnQ/KhsiFTExNjc3MTg2MzIxMTY5MTUxMDc1NygAOAAwiYn+j4oyOImJ/o+KMkogCgp0ZXh0L3BsYWluEhJmYXZvdXJhYmxlIGNoYW5nZXNaDGYzeGptZXpmcHB2cXICIAB4AJoBBggAEAAYAKoBTRJLV2hhdCBkbyB5b3UgbWVhbiB3aXRoIGZhdm9yYWJsZSBjaGFuZ2VzPyBSVHMsIGFjY3VyYWN5LCB3YXMgaXQgc2lnbmlmaWNhbnQ/sAEAuAEAGImJ/o+KMiCJif6PijIwAEIQa2l4LjUzaDBhODMxcGtvbyLiAgoLQUFBQlI4QTNmNmsSsAIKC0FBQUJSOEEzZjZrEgtBQUFCUjhBM2Y2axo9Cgl0ZXh0L2h0bWwSMGFsc28gaGVyZSB0aGUgcmVhZGFiaWxpdHnCoG5lZWRzIHRvIGJlIGltcHJvdmVkLiI+Cgp0ZXh0L3BsYWluEjBhbHNvIGhlcmUgdGhlIHJlYWRhYmlsaXR5wqBuZWVkcyB0byBiZSBpbXByb3ZlZC4qGyIVMTA1MTY3NDE4NjAwNTYzNDUyNDE2KAA4ADDcgYi6jDI43IGIuowyShIKCnRleHQvcGxhaW4SBE5vdGVaDGFndHBzMWNyeHZoOXICIAB4AJoBBggAEAAYAKoBMhIwYWxzbyBoZXJlIHRoZSByZWFkYWJpbGl0ecKgbmVlZHMgdG8gYmUgaW1wcm92ZWQusAEAuAEAGNyBiLqMMiDcgYi6jDIwAEIQa2l4LnVva205aDZ4MDlkbiLNCQoLQUFBQk9WQWtsVDQSmwkKC0FBQUJPVkFrbFQ0EgtBQUFCT1ZBa2xUNBqzAQoJdGV4dC9odG1sEqUBSSB3b3VsZCBkcmFzdGljYWxseSBzaG9ydGVuIGl0LiBUaGVyZSBtaWdodCBiZSBjaGFuZ2VzLCBidXQgbWF5YmUgbm90LCBhbmQgZXZlbiBpZiB0aGVyZSBpcyBuZXVyb3BsYXN0aWNpdHkgZ29pbmcgb24sIHRoaXMgZG9lcyBub3QgbWVhbiB0aGF0IGNvZ25pdGlvbiB3aWxsIGltcHJvdmUuIrQBCgp0ZXh0L3BsYWluEqUBSSB3b3VsZCBkcmFzdGljYWxseSBzaG9ydGVuIGl0LiBUaGVyZSBtaWdodCBiZSBjaGFuZ2VzLCBidXQgbWF5YmUgbm90LCBhbmQgZXZlbiBpZiB0aGVyZSBpcyBuZXVyb3BsYXN0aWNpdHkgZ29pbmcgb24sIHRoaXMgZG9lcyBub3QgbWVhbiB0aGF0IGNvZ25pdGlvbiB3aWxsIGltcHJvdmUuKhsiFTExNjc3MTg2MzIxMTY5MTUxMDc1NygAOAAw8qKEkIoyOPKihJCKMkqXBAoKdGV4dC9wbGFpbhKIBFNvbWUgc3RkdWllc3BhcGVycyBzdWdnZXN0IHRoYXQgdGhlc2UgbG9uZyB0ZXJtIGNoYW5nZXMgbWlnaHQgYmUgbWVkaWF0ZWQgYW5kIGZhY2lsaXRhdGVkIGJ5IGFuIGluY3JlYXNlIGluIG5ldXJvbmFsIHBsYXN0aWNpdHkgYWZ0ZXIgcHN5Y2hlZGVsaWNzIHVzZSAoZm9yIHJldmlldyBzZWUgQ2FsZGVyIGFuZCBIYXNsZXIsIDIwMjMpLiBQc2lsb2N5YmluIGFkbWluaXN0cmF0aW9uIGluIHBhcnRpY3VsYXIgaGFzIGJlZW4gbGlua2VkIHRvIGluY3JlYXNlZCBnbG9iYWwgcmVzdGluZy1zdGF0ZSBjb25uZWN0aXZpdHksIHBhcnRpY3VsYXJseSBpbiB0aGUgZnJvbnRvcGFyaWV0YWwgbmV0d29yaywgYSByZWdpb24gYXNzb2NpYXRlZCB3aXRoIGNvZ25pdGl2ZSBjb250cm9sLCBmb3IgdXAgdG8gb25lIG1vbnRoIHBvc3QtdHJlYXRtZW50LCBhbG9uZyB3aXRoIHJlZHVjZWQgc2lnbnMgb2YgbmVnYXRpdmUgYWZmZWN0LCBpbmRpY2F0aW5nIG5ldXJvcGxhc3RpYyBjaGFuZ2VzIChCYXJyZXR0IGV0IGFsLiwgMjAyMClaDHY1ZDdlZTRtNnRzcnICIAB4AJoBBggAEAAYAKoBqAESpQFJIHdvdWxkIGRyYXN0aWNhbGx5IHNob3J0ZW4gaXQuIFRoZXJlIG1pZ2h0IGJlIGNoYW5nZXMsIGJ1dCBtYXliZSBub3QsIGFuZCBldmVuIGlmIHRoZXJlIGlzIG5ldXJvcGxhc3RpY2l0eSBnb2luZyBvbiwgdGhpcyBkb2VzIG5vdCBtZWFuIHRoYXQgY29nbml0aW9uIHdpbGwgaW1wcm92ZS6wAQC4AQAY8qKEkIoyIPKihJCKMjAAQhBraXgucGZqdjJhMXdjeWV1ItgICgtBQUFCT1ZBa2xUOBKmCAoLQUFBQk9WQWtsVDgSC0FBQUJPVkFrbFQ4GsIBCgl0ZXh0L2h0bWwStAFJIHRoaW5rIHRoaXMgY291bGQgYmUgc2hvcnRlbmVkIGFzIHdlbGwgKGFuZCB0YWtlIG91dCB0aGUgbG9uZyB0ZXJtIGltcHJvdmVtZW50IHN0YXRlbXRuKSwgbW9zdGx5IGl0IHN1Z2dlc3RzIHRoYXQgdGhlcmUgYXJlIGxvbmcgdGVybSBpbXByb3ZlbWVudHMsIHdoaWxlIHdlIHNpbXBseSBkb24mIzM5O3Qga25vdy4ivwEKCnRleHQvcGxhaW4SsAFJIHRoaW5rIHRoaXMgY291bGQgYmUgc2hvcnRlbmVkIGFzIHdlbGwgKGFuZCB0YWtlIG91dCB0aGUgbG9uZyB0ZXJtIGltcHJvdmVtZW50IHN0YXRlbXRuKSwgbW9zdGx5IGl0IHN1Z2dlc3RzIHRoYXQgdGhlcmUgYXJlIGxvbmcgdGVybSBpbXByb3ZlbWVudHMsIHdoaWxlIHdlIHNpbXBseSBkb24ndCBrbm93LiobIhUxMTY3NzE4NjMyMTE2OTE1MTA3NTcoADgAMICDjJCKMjiAg4yQijJK+QIKCnRleHQvcGxhaW4S6gJIb3dldmVyLCBmdXJ0aGVyIHJlc2VhcmNoIGlzIG5lZWRlZCB0byBlc3RhYmxpc2ggYSBjbGVhcmVyIHBpY3R1cmUgb24gdGhlIG1lY2hhbmlzbXMgdGhhdCBndWlkZSB0aGUgYWN1dGUgZnVuY3Rpb25hbCBkaXN0dXJiYW5jZXMgYW5kIGxvbmcgdGVybSBpbXByb3ZlbWVudHMgb2YgY29nbml0aXZlIHRhc2sgcGVyZm9ybWFuY2UuIFN1Y2ggc3R1ZGllcyBjb3VsZCBjbGFyaWZ5IHdoZXRoZXIgYW5kIGhvdyBwc2lsb2N5YmluIGFuZCBzaW1pbGFyIHN1YnN0YW5jZXMgb2ZmZXIgbGFzdGluZyBjb2duaXRpdmUgYmVuZWZpdHMgYW5kIGlkZW50aWZ5IHRoZSBjb25kaXRpb25zIHVuZGVyIHdoaWNoIHRoZXkgYXJlIG1vc3QgZWZmZWN0aXZlLloMYTZydWJ5emU5NGg4cgIgAHgAmgEGCAAQABgAqgG3ARK0AUkgdGhpbmsgdGhpcyBjb3VsZCBiZSBzaG9ydGVuZWQgYXMgd2VsbCAoYW5kIHRha2Ugb3V0IHRoZSBsb25nIHRlcm0gaW1wcm92ZW1lbnQgc3RhdGVtdG4pLCBtb3N0bHkgaXQgc3VnZ2VzdHMgdGhhdCB0aGVyZSBhcmUgbG9uZyB0ZXJtIGltcHJvdmVtZW50cywgd2hpbGUgd2Ugc2ltcGx5IGRvbiYjMzk7dCBrbm93LrABALgBABiAg4yQijIggIOMkIoyMABCEGtpeC40YmZlY2x5aHpwN3UilQMKC0FBQUJPVkFrbFNJEuMCCgtBQUFCT1ZBa2xTSRILQUFBQk9WQWtsU0kaNAoJdGV4dC9odG1sEidOaWNlLCBhcmUgdGhlcmUgc29tZSBjb25jcmV0ZSBleGFtcGxlcz8iNQoKdGV4dC9wbGFpbhInTmljZSwgYXJlIHRoZXJlIHNvbWUgY29uY3JldGUgZXhhbXBsZXM/KhsiFTExNjc3MTg2MzIxMTY5MTUxMDc1NygAOAAw7NTxj4oyOOzU8Y+KMkpgCgp0ZXh0L3BsYWluElJPbmUgcHJvbWlzaW5nIGRpcmVjdGlvbiBpcyB0aGUgaW5jb3Jwb3JhdGlvbiBvZiBuby1yZXNwb25zZSBvciB0YXNrLWZyZWUgcGFyYWRpZ21zWgw3cmUxbG11ZThvbm1yAiAAeACaAQYIABAAGACqASkSJ05pY2UsIGFyZSB0aGVyZSBzb21lIGNvbmNyZXRlIGV4YW1wbGVzP7ABALgBABjs1PGPijIg7NTxj4oyMABCEGtpeC55OGRnb3ZocmVybTcikQIKC0FBQUJSQkxsZ2s0EtsBCgtBQUFCUkJMbGdrNBILQUFBQlJCTGxnazQaDQoJdGV4dC9odG1sEgAiDgoKdGV4dC9wbGFpbhIAKhsiFTExNjc3MTg2MzIxMTY5MTUxMDc1NygAOAAww/SIjIoyOIX5iIyKMko7CiRhcHBsaWNhdGlvbi92bmQuZ29vZ2xlLWFwcHMuZG9jcy5tZHMaE8LX2uQBDRoLCgcKAVwQARgAEAFaDHFnMGhtcTQzaGx3Z3ICIAB4AIIBFHN1Z2dlc3Qub3F0Z2tieG84ZzJ2mgEGCAAQABgAsAEAuAEAGMP0iIyKMiCF+YiMijIwAEIUc3VnZ2VzdC5vcXRna2J4bzhnMnYiuQ8KC0FBQUJSb3dEXzBzEocPCgtBQUFCUm93RF8wcxILQUFBQlJvd0RfMHMalQQKCXRleHQvaHRtbBKHBEdIOsKgSGVyZSBhZ2FpbjogaXMgaXQgYWJvdXQgYWN1dGUgb3IgY2hvbmljIGVmZmVjdHMuIEFsbCB0aGUgdHJpYWxzIGNvbWluZyBvdXQgbm93IGFyZSBvbiBsb25nLXRlcm0gZWZmZWN0LiBNb29kIGlzIGJ5IGRlZmluaXRpb24gcmF0aGVyIGxvbmcgdGVybS4gSSBkb27igJl0IHRoaW5rIHRoZSBtb29kIC8gcGVyY2VwdGlvbiBoYXMgYmVlbiBleHRlbnNpdmVseSBzdHVkaWVkLiBXaHkgdGhpcyBjb21wYXJpc29uPyBJIGRvbuKAmXQgdGhpbmsgdGhhdOKAmXMgdGhlIHJlYWwgcmVhc29uIHdoeSB3ZSBkb2luZyB0aGlzLiBJdOKAmXMgdmVyeSByYXJlIHRoYXQgcmVzZWFyY2hlcnMgYXJlIGludGVyZXN0ZWQgaW4gQSBiZWNhdXNlIHRoZXJlIGFyZSB0b28gbWFueSBzdHVkaWVzIGluIELigKYuIFRoZXJlIG11c3QgYmUgbW9yZSBpbXBvcnRhbnQgcmVhc29ucywgZm9yIGV4YW1wbGUgc2FmZXR5LCBwaGFybWFjb2xvZ3ksIGluc2lnaHQgaW50byB0aGUgbmVydW8tcGh5c2lvbG9neSBvZiBjb2duaXRpb24gZXRjLiKWBAoKdGV4dC9wbGFpbhKHBEdIOsKgSGVyZSBhZ2FpbjogaXMgaXQgYWJvdXQgYWN1dGUgb3IgY2hvbmljIGVmZmVjdHMuIEFsbCB0aGUgdHJpYWxzIGNvbWluZyBvdXQgbm93IGFyZSBvbiBsb25nLXRlcm0gZWZmZWN0LiBNb29kIGlzIGJ5IGRlZmluaXRpb24gcmF0aGVyIGxvbmcgdGVybS4gSSBkb27igJl0IHRoaW5rIHRoZSBtb29kIC8gcGVyY2VwdGlvbiBoYXMgYmVlbiBleHRlbnNpdmVseSBzdHVkaWVkLiBXaHkgdGhpcyBjb21wYXJpc29uPyBJIGRvbuKAmXQgdGhpbmsgdGhhdOKAmXMgdGhlIHJlYWwgcmVhc29uIHdoeSB3ZSBkb2luZyB0aGlzLiBJdOKAmXMgdmVyeSByYXJlIHRoYXQgcmVzZWFyY2hlcnMgYXJlIGludGVyZXN0ZWQgaW4gQSBiZWNhdXNlIHRoZXJlIGFyZSB0b28gbWFueSBzdHVkaWVzIGluIELigKYuIFRoZXJlIG11c3QgYmUgbW9yZSBpbXBvcnRhbnQgcmVhc29ucywgZm9yIGV4YW1wbGUgc2FmZXR5LCBwaGFybWFjb2xvZ3ksIGluc2lnaHQgaW50byB0aGUgbmVydW8tcGh5c2lvbG9neSBvZiBjb2duaXRpb24gZXRjLiobIhUxMTY0MDYzNDIyNTg3OTkzMzQyNDUoADgAMOmkvdiLMjjppL3YizJK3QEKCnRleHQvcGxhaW4SzgFXaGlsZSBwcmV2aW91cyByZXNlYXJjaCBoYXMgZXh0ZW5zaXZlbHkgZXhwbG9yZWQgdGhlIGVmZmVjdHMgb2YgcHNpbG9jeWJpbiBvbiBtb29kIGFuZCBwZXJjZXB0aW9uLCB0aGlzIG1ldGEtYW5hbHlzaXMgdW5pcXVlbHkgZm9jdXNlcyBvbiBpdHMgaW1wYWN0IG9uIGNvZ25pdGlvbiBhc3BlY3RzIHBhcnRpY3VsYXJseSBvbiBjb2duaXRpdmUgZnVuY3Rpb25zLloMcDhmeWp0M2p3bm8zcgIgAHgAmgEGCAAQABgAqgGKBBKHBEdIOsKgSGVyZSBhZ2FpbjogaXMgaXQgYWJvdXQgYWN1dGUgb3IgY2hvbmljIGVmZmVjdHMuIEFsbCB0aGUgdHJpYWxzIGNvbWluZyBvdXQgbm93IGFyZSBvbiBsb25nLXRlcm0gZWZmZWN0LiBNb29kIGlzIGJ5IGRlZmluaXRpb24gcmF0aGVyIGxvbmcgdGVybS4gSSBkb27igJl0IHRoaW5rIHRoZSBtb29kIC8gcGVyY2VwdGlvbiBoYXMgYmVlbiBleHRlbnNpdmVseSBzdHVkaWVkLiBXaHkgdGhpcyBjb21wYXJpc29uPyBJIGRvbuKAmXQgdGhpbmsgdGhhdOKAmXMgdGhlIHJlYWwgcmVhc29uIHdoeSB3ZSBkb2luZyB0aGlzLiBJdOKAmXMgdmVyeSByYXJlIHRoYXQgcmVzZWFyY2hlcnMgYXJlIGludGVyZXN0ZWQgaW4gQSBiZWNhdXNlIHRoZXJlIGFyZSB0b28gbWFueSBzdHVkaWVzIGluIELigKYuIFRoZXJlIG11c3QgYmUgbW9yZSBpbXBvcnRhbnQgcmVhc29ucywgZm9yIGV4YW1wbGUgc2FmZXR5LCBwaGFybWFjb2xvZ3ksIGluc2lnaHQgaW50byB0aGUgbmVydW8tcGh5c2lvbG9neSBvZiBjb2duaXRpb24gZXRjLrABALgBABjppL3YizIg6aS92IsyMABCEGtpeC5naDVhM2duYmc1d2si2gQKC0FBQUJSb3dEXzBrEqgECgtBQUFCUm93RF8waxILQUFBQlJvd0RfMGsahwEKCXRleHQvaHRtbBJ6R0g6wqBDcnlwdGljIHRpdGxl4oCmIHdoYXQgaXMgdGhlIGdyYW1tYXRpY2FsIHN0cnVjdHVyZSBvZiBpdD8gSXMgaXQgcmVhbGx5IGFib3V0IHRoZSBhY2N1cmFjeSBvZiB0aGUgbW9kZXJhdGlvbiBhbmFseXNpcz8iiAEKCnRleHQvcGxhaW4SekdIOsKgQ3J5cHRpYyB0aXRsZeKApiB3aGF0IGlzIHRoZSBncmFtbWF0aWNhbCBzdHJ1Y3R1cmUgb2YgaXQ/IElzIGl0IHJlYWxseSBhYm91dCB0aGUgYWNjdXJhY3kgb2YgdGhlIG1vZGVyYXRpb24gYW5hbHlzaXM/KhsiFTExNjQwNjM0MjI1ODc5OTMzNDI0NSgAOAAw9Nu72IsyOPTbu9iLMkoqCgp0ZXh0L3BsYWluEhxNb2RlcmF0aW9uIEFuYWx5c2lzIEFjY3VyYWN5Wgw0MzljazV0YzU3cDJyAiAAeACaAQYIABAAGACqAXwSekdIOsKgQ3J5cHRpYyB0aXRsZeKApiB3aGF0IGlzIHRoZSBncmFtbWF0aWNhbCBzdHJ1Y3R1cmUgb2YgaXQ/IElzIGl0IHJlYWxseSBhYm91dCB0aGUgYWNjdXJhY3kgb2YgdGhlIG1vZGVyYXRpb24gYW5hbHlzaXM/sAEAuAEAGPTbu9iLMiD027vYizIwAEIQa2l4Ljc1MnlyemhkNGh5ZiLSAQoLQUFBQlE3MzAwczASnQEKC0FBQUJRNzMwMHMwEgtBQUFCUTczMDBzMBoNCgl0ZXh0L2h0bWwSACIOCgp0ZXh0L3BsYWluEgAqGyIVMTE2NzcxODYzMjExNjkxNTEwNzU3KAA4ADD4n4yziTI4+J+Ms4kyWgxzbWV0ZGM1a3FhaHVyAiAAeACCARNzdWdnZXN0LjZlcXEyNjVsZmlrmgEGCAAQABgAsAEAuAEAGPifjLOJMiD4n4yziTIwAEITc3VnZ2VzdC42ZXFxMjY1bGZpayKqBgoLQUFBQlJvd0RfMFkS+AUKC0FBQUJSb3dEXzBZEgtBQUFCUm93RF8wWRqPAQoJdGV4dC9odG1sEoEBR0g6wqBUaGUgdGl0bGUgaXMgdmVyeSB0ZWNobmljYWwgYW5kIGRvZXMgbm90IHNheSBhIGxvdC4gSSBzdWdnZXN0IHRvIG1ha2UgdGhlIHRpdGxlcyBtb3JlIGNvbnNpc3RlbnQgYWNyb3NzIHRoZSB3aG9sZSBtYW51c2NyaXB0IpABCgp0ZXh0L3BsYWluEoEBR0g6wqBUaGUgdGl0bGUgaXMgdmVyeSB0ZWNobmljYWwgYW5kIGRvZXMgbm90IHNheSBhIGxvdC4gSSBzdWdnZXN0IHRvIG1ha2UgdGhlIHRpdGxlcyBtb3JlIGNvbnNpc3RlbnQgYWNyb3NzIHRoZSB3aG9sZSBtYW51c2NyaXB0KhsiFTExNjQwNjM0MjI1ODc5OTMzNDI0NSgAOAAwoq+52IsyOIn65K2MMkK5AQoLQUFBQk9ZbDZuWFESC0FBQUJSb3dEXzBZGhwKCXRleHQvaHRtbBIPeWVzIGZhaXIgcG9pbnQhIh0KCnRleHQvcGxhaW4SD3llcyBmYWlyIHBvaW50ISobIhUxMDUxNjc0MTg2MDA1NjM0NTI0MTYoADgAMIn65K2MMjiJ+uStjDJaDHJrNnprbmJhaDZtcHICIAB4AJoBBggAEAAYAKoBERIPeWVzIGZhaXIgcG9pbnQhsAEAuAEASiUKCnRleHQvcGxhaW4SF01ldGEgQW5hbHlzaXM6IEFjY3VyYWN5WgwyMzcxd3BseXJxMmlyAiAAeACaAQYIABAAGACqAYQBEoEBR0g6wqBUaGUgdGl0bGUgaXMgdmVyeSB0ZWNobmljYWwgYW5kIGRvZXMgbm90IHNheSBhIGxvdC4gSSBzdWdnZXN0IHRvIG1ha2UgdGhlIHRpdGxlcyBtb3JlIGNvbnNpc3RlbnQgYWNyb3NzIHRoZSB3aG9sZSBtYW51c2NyaXB0sAEAuAEAGKKvudiLMiCJ+uStjDIwAEIQa2l4LjdyOTI0NW94YzB6NCKkAgoLQUFBQlJCTGxnZ2sS7gEKC0FBQUJSQkxsZ2drEgtBQUFCUkJMbGdnaxoNCgl0ZXh0L2h0bWwSACIOCgp0ZXh0L3BsYWluEgAqGyIVMTE2NzcxODYzMjExNjkxNTEwNzU3KAA4ADCkjsSLijI465bEi4oySk4KJGFwcGxpY2F0aW9uL3ZuZC5nb29nbGUtYXBwcy5kb2NzLm1kcxomwtfa5AEgCh4KDwoJcG90ZW50aWFsEAEYABIJCgNpdHMQARgAGAFaDHV2N291MDd4NzgzMnICIAB4AIIBFHN1Z2dlc3QuNXBjN25lNnpjMTNsmgEGCAAQABgAsAEAuAEAGKSOxIuKMiDrlsSLijIwAEIUc3VnZ2VzdC41cGM3bmU2emMxM2wilAIKC0FBQUJSQkxsZ2R3Et4BCgtBQUFCUkJMbGdkdxILQUFBQlJCTGxnZHcaDQoJdGV4dC9odG1sEgAiDgoKdGV4dC9wbGFpbhIAKhsiFTExNjc3MTg2MzIxMTY5MTUxMDc1NygAOAAwufyfi4oyOMmBoIuKMko+CiRhcHBsaWNhdGlvbi92bmQuZ29vZ2xlLWFwcHMuZG9jcy5tZHMaFsLX2uQBEBIOCgoKBHdpbGwQARgAEAFaDDd3MWZ4aGZwbng0bHICIAB4AIIBFHN1Z2dlc3QuOGQzZWltY3YzeTNzmgEGCAAQABgAsAEAuAEAGLn8n4uKMiDJgaCLijIwAEIUc3VnZ2VzdC44ZDNlaW1jdjN5M3MilQIKC0FBQUJSc2FCX3hZEt8BCgtBQUFCUnNhQl94WRILQUFBQlJzYUJfeFkaDQoJdGV4dC9odG1sEgAiDgoKdGV4dC9wbGFpbhIAKhsiFTEwNTE2NzQxODYwMDU2MzQ1MjQxNigAOAAwzfra+4syOPWD2/uLMko/CiRhcHBsaWNhdGlvbi92bmQuZ29vZ2xlLWFwcHMuZG9jcy5tZHMaF8LX2uQBERoPCgsKBVdlIGhpEAEYABABWgxrZzV6dHVocDJkcGxyAiAAeACCARRzdWdnZXN0LmpqcnFuNnI0YjAzNZoBBggAEAAYALABALgBABjN+tr7izIg9YPb+4syMABCFHN1Z2dlc3QuampycW42cjRiMDM1IpkCCgtBQUFCUnNhQl95URLkAQoLQUFBQlJzYUJfeVESC0FBQUJSc2FCX3lRGg0KCXRleHQvaHRtbBIAIg4KCnRleHQvcGxhaW4SACobIhUxMDUxNjc0MTg2MDA1NjM0NTI0MTYoADgAMI308PuLMjiN9PD7izJKRQokYXBwbGljYXRpb24vdm5kLmdvb2dsZS1hcHBzLmRvY3MubWRzGh3C19rkARcKFQoICgJIbxABGAASBwoBaBABGAAYAVoMN3F4a3QydmNicTEzcgIgAHgAggETc3VnZ2VzdC52b2psa2hyejlsdZoBBggAEAAYALABALgBABiN9PD7izIgjfTw+4syMABCE3N1Z2dlc3Qudm9qbGtocno5bHUi1AEKC0FBQUJSc2FCX3lvEp4BCgtBQUFCUnNhQl95bxILQUFBQlJzYUJfeW8aDQoJdGV4dC9odG1sEgAiDgoKdGV4dC9wbGFpbhIAKhsiFTEwNTE2NzQxODYwMDU2MzQ1MjQxNigAOAAw7Jr0+4syOOya9PuLMloMNDIzbDFtNzV5bDl5cgIgAHgAggEUc3VnZ2VzdC5xNnJsdjdmMG1hMmOaAQYIABAAGACwAQC4AQAY7Jr0+4syIOya9PuLMjAAQhRzdWdnZXN0LnE2cmx2N2YwbWEyYyKvBwoLQUFBQk9ZbDZuZDgS/QYKC0FBQUJPWWw2bmQ4EgtBQUFCT1lsNm5kOBq4AQoJdGV4dC9odG1sEqoBdGhlcmUgaXMgYSBsb3Qgb2Ygb3ZlcmxhcCBiZXR3ZWVuIHRoaXMgZXhwbGFuYXRpb24gYW5kIHRoZSBwcmVjZWRpbmcgc2VjdGlvbiBvbiBtb3RpdmF0aW9uLiBNeSBzdWdnZXN0aW9uIHdvdWxkIGJlIHRvIGludGVncmF0ZSBib3RoIGFuZCB0byBzbGlnaHRseSBzaG9ydGVuIHRoaXMgYWNjb3VudC4iuQEKCnRleHQvcGxhaW4SqgF0aGVyZSBpcyBhIGxvdCBvZiBvdmVybGFwIGJldHdlZW4gdGhpcyBleHBsYW5hdGlvbiBhbmQgdGhlIHByZWNlZGluZyBzZWN0aW9uIG9uIG1vdGl2YXRpb24uIE15IHN1Z2dlc3Rpb24gd291bGQgYmUgdG8gaW50ZWdyYXRlIGJvdGggYW5kIHRvIHNsaWdodGx5IHNob3J0ZW4gdGhpcyBhY2NvdW50LiobIhUxMDUxNjc0MTg2MDA1NjM0NTI0MTYoADgAMJyn/q6MMjicp/6ujDJK6gEKCnRleHQvcGxhaW4S2wFJbiB0aGUgY2FzZSBvZiBjb2duaXRpdmUgcmVzZWFyY2ggZHVyaW5nIHRoZSBhY3V0ZSBwaGFzZSBvZiBwc2lsb2N5YmluLCBtYW5hZ2luZyB0aGUgaW50ZW5zZSBzdWJqZWN0aXZlIGV4cGVyaWVuY2VzIG9mIHRoZSBwc3ljaGVkZWxpYyB0cmlwIGl0c2VsZiBjb3VsZCBhY3QgYXMgYSBzZWNvbmRhcnkgdGFzaywgZGVtYW5kaW5nIHNpZ25pZmljYW50IGNvZ25pdGl2ZSByZXNvdXJjZXNaDG9oeGsxamFwcGZncHICIAB4AJoBBggAEAAYAKoBrQESqgF0aGVyZSBpcyBhIGxvdCBvZiBvdmVybGFwIGJldHdlZW4gdGhpcyBleHBsYW5hdGlvbiBhbmQgdGhlIHByZWNlZGluZyBzZWN0aW9uIG9uIG1vdGl2YXRpb24uIE15IHN1Z2dlc3Rpb24gd291bGQgYmUgdG8gaW50ZWdyYXRlIGJvdGggYW5kIHRvIHNsaWdodGx5IHNob3J0ZW4gdGhpcyBhY2NvdW50LrABALgBABicp/6ujDIgnKf+rowyMABCEGtpeC55OGdjNndzeTJ0cDYikQIKC0FBQUJPWWw2bkM0EtsBCgtBQUFCT1lsNm5DNBILQUFBQk9ZbDZuQzQaDQoJdGV4dC9odG1sEgAiDgoKdGV4dC9wbGFpbhIAKhsiFTEwNTE2NzQxODYwMDU2MzQ1MjQxNigAOAAw7d6prIwyOO3eqayMMko7CiRhcHBsaWNhdGlvbi92bmQuZ29vZ2xlLWFwcHMuZG9jcy5tZHMaE8LX2uQBDRoLCgcKAScQARgAEAFaDHQ5Mm15dGwwa3p4OXICIAB4AIIBFHN1Z2dlc3QuYnJmcmt6NnI2ZWp4mgEGCAAQABgAsAEAuAEAGO3eqayMMiDt3qmsjDIwAEIUc3VnZ2VzdC5icmZya3o2cjZlangiqgIKC0FBQUJPWWw2bmRnEvUBCgtBQUFCT1lsNm5kZxILQUFBQk9ZbDZuZGcaDQoJdGV4dC9odG1sEgAiDgoKdGV4dC9wbGFpbhIAKhsiFTEwNTE2NzQxODYwMDU2MzQ1MjQxNigAOAAwi6PprowyOPyp6a6MMkpWCiRhcHBsaWNhdGlvbi92bmQuZ29vZ2xlLWFwcHMuZG9jcy5tZHMaLsLX2uQBKAomCg8KCWF0dGVudGlvbhABGAASEQoLZm9jdXNlbmVyZ3kQARgAGAFaDDJidmdjdjZubTd2dXICIAB4AIIBE3N1Z2dlc3QudDl4eTl2ZW94Y2KaAQYIABAAGACwAQC4AQAYi6PprowyIPyp6a6MMjAAQhNzdWdnZXN0LnQ5eHk5dmVveGNiIqMCCgtBQUFCT1lsNm5kYxLtAQoLQUFBQk9ZbDZuZGMSC0FBQUJPWWw2bmRjGg0KCXRleHQvaHRtbBIAIg4KCnRleHQvcGxhaW4SACobIhUxMDUxNjc0MTg2MDA1NjM0NTI0MTYoADgAMPWA6a6MMjjdiemujDJKTQokYXBwbGljYXRpb24vdm5kLmdvb2dsZS1hcHBzLmRvY3MubWRzGiXC19rkAR8KHQoLCgVmb2N1cxABGAASDAoGZW5lcmd5EAEYABgBWgx2NHE4NGJsZGZpbHhyAiAAeACCARRzdWdnZXN0LmF1ejhpYmFuM3Jmd5oBBggAEAAYALABALgBABj1gOmujDIg3YnprowyMABCFHN1Z2dlc3QuYXV6OGliYW4zcmZ3IsoKCgtBQUFCT1lsNm5lOBKYCgoLQUFBQk9ZbDZuZTgSC0FBQUJPWWw2bmU4GooDCgl0ZXh0L2h0bWwS/AJJIHN1Z2dlc3QgdG8gaGVyZSBhbHNvIGNvbWUgYmFjayB0byB0aGUgc3RhcnRpbmcgcG9pbnQgaW4gdGhlIGludHJvZHVjdGlvbiwgd2hlcmUgaXQgd2FzIGh5cG90aGVzaXplZCB0aGF0IHRoZSB0cmFucy1kaWFnbm9zdGljIGVmZmVjdHMgb2YgcHNpbG9jeWJpbiBjb3VsZCBiZSByZWxhdGVkIHRvIGl0cyBlZmZlY3Qgb24gY29nbml0aW9uOyB0aGUgY3VycmVudCBkYXRhIGNsZWFybHkgZG8gbm90IHByb3ZpZGUgZXZpZGVuY2UgZm9yIHRoaXMsIGFuZCBpZiBhbnl0aGluZyB0aGV5IHNob3cgdGhhdCBjb2duaXRpb24gZXZlbiB3b3JzZW5zOyBzbyB0aGlzIGNhbm5vdCBsaWtlbHkgYmUgdGhlIG1lY2hhbmlzbXMgdW5kZXJseWluZyBQQVAmIzM5O3MgcG90ZW50aWFsLiKHAwoKdGV4dC9wbGFpbhL4Akkgc3VnZ2VzdCB0byBoZXJlIGFsc28gY29tZSBiYWNrIHRvIHRoZSBzdGFydGluZyBwb2ludCBpbiB0aGUgaW50cm9kdWN0aW9uLCB3aGVyZSBpdCB3YXMgaHlwb3RoZXNpemVkIHRoYXQgdGhlIHRyYW5zLWRpYWdub3N0aWMgZWZmZWN0cyBvZiBwc2lsb2N5YmluIGNvdWxkIGJlIHJlbGF0ZWQgdG8gaXRzIGVmZmVjdCBvbiBjb2duaXRpb247IHRoZSBjdXJyZW50IGRhdGEgY2xlYXJseSBkbyBub3QgcHJvdmlkZSBldmlkZW5jZSBmb3IgdGhpcywgYW5kIGlmIGFueXRoaW5nIHRoZXkgc2hvdyB0aGF0IGNvZ25pdGlvbiBldmVuIHdvcnNlbnM7IHNvIHRoaXMgY2Fubm90IGxpa2VseSBiZSB0aGUgbWVjaGFuaXNtcyB1bmRlcmx5aW5nIFBBUCdzIHBvdGVudGlhbC4qGyIVMTA1MTY3NDE4NjAwNTYzNDUyNDE2KAA4ADDEwp2vjDI4xMKdr4wyShQKCnRleHQvcGxhaW4SBm5lZWRlZFoMMTl5NjEzcHoyeXl3cgIgAHgAmgEGCAAQABgAqgH/AhL8Akkgc3VnZ2VzdCB0byBoZXJlIGFsc28gY29tZSBiYWNrIHRvIHRoZSBzdGFydGluZyBwb2ludCBpbiB0aGUgaW50cm9kdWN0aW9uLCB3aGVyZSBpdCB3YXMgaHlwb3RoZXNpemVkIHRoYXQgdGhlIHRyYW5zLWRpYWdub3N0aWMgZWZmZWN0cyBvZiBwc2lsb2N5YmluIGNvdWxkIGJlIHJlbGF0ZWQgdG8gaXRzIGVmZmVjdCBvbiBjb2duaXRpb247IHRoZSBjdXJyZW50IGRhdGEgY2xlYXJseSBkbyBub3QgcHJvdmlkZSBldmlkZW5jZSBmb3IgdGhpcywgYW5kIGlmIGFueXRoaW5nIHRoZXkgc2hvdyB0aGF0IGNvZ25pdGlvbiBldmVuIHdvcnNlbnM7IHNvIHRoaXMgY2Fubm90IGxpa2VseSBiZSB0aGUgbWVjaGFuaXNtcyB1bmRlcmx5aW5nIFBBUCYjMzk7cyBwb3RlbnRpYWwusAEAuAEAGMTCna+MMiDEwp2vjDIwAEIQa2l4LjdmbTNzbTRlcXVtNSKRAgoLQUFBQk9ZbDZuZTQS2wEKC0FBQUJPWWw2bmU0EgtBQUFCT1lsNm5lNBoNCgl0ZXh0L2h0bWwSACIOCgp0ZXh0L3BsYWluEgAqGyIVMTA1MTY3NDE4NjAwNTYzNDUyNDE2KAA4ADDYhJmvjDI4xJWZr4wySjsKJGFwcGxpY2F0aW9uL3ZuZC5nb29nbGUtYXBwcy5kb2NzLm1kcxoTwtfa5AENGgsKBwoBSRABGAAQAVoMejl2eHVmdWM5b3d1cgIgAHgAggEUc3VnZ2VzdC5paXNjOGhtb3VxNW+aAQYIABAAGACwAQC4AQAY2ISZr4wyIMSVma+MMjAAQhRzdWdnZXN0Lmlpc2M4aG1vdXE1byK5AgoLQUFBQlJCTGxnbVkShwIKC0FBQUJSQkxsZ21ZEgtBQUFCUkJMbGdtWRotCgl0ZXh0L2h0bWwSIG1lbnRpb24gdGhlIGV4YW1wbGVzIGhlcmUgYWdhaW4uIi4KCnRleHQvcGxhaW4SIG1lbnRpb24gdGhlIGV4YW1wbGVzIGhlcmUgYWdhaW4uKhsiFTExNjc3MTg2MzIxMTY5MTUxMDc1NygAOAAwqraojIoyOKq2qIyKMkoZCgp0ZXh0L3BsYWluEgt0aW9uZWQgYWJvdloMaWRsNzQwY2d3MGF4cgIgAHgAmgEGCAAQABgAqgEiEiBtZW50aW9uIHRoZSBleGFtcGxlcyBoZXJlIGFnYWluLrABALgBABiqtqiMijIgqraojIoyMABCEGtpeC5xbTV5am1xbzRxcnoi6gIKC0FBQUJSQkxsZ25FErgCCgtBQUFCUkJMbGduRRILQUFBQlJCTGxnbkUaQAoJdGV4dC9odG1sEjNJIHNlbnQgeW91IHNvbWUgYWxyZWFkeSwgY2FuIHlvdSBpbmNsdWRlIHRoZW0gaGVyZT8iQQoKdGV4dC9wbGFpbhIzSSBzZW50IHlvdSBzb21lIGFscmVhZHksIGNhbiB5b3UgaW5jbHVkZSB0aGVtIGhlcmU/KhsiFTExNjc3MTg2MzIxMTY5MTUxMDc1NygAOAAwz460jIoyOM+OtIyKMkoRCgp0ZXh0L3BsYWluEgNlZilaDDJzZHg2ajRpaTJwcnICIAB4AJoBBggAEAAYAKoBNRIzSSBzZW50IHlvdSBzb21lIGFscmVhZHksIGNhbiB5b3UgaW5jbHVkZSB0aGVtIGhlcmU/sAEAuAEAGM+OtIyKMiDPjrSMijIwAEIQa2l4LmYxajdmc3l5eWRxOCKlFQoLQUFBQk9ZbDZuZkES8xQKC0FBQUJPWWw2bmZBEgtBQUFCT1lsNm5mQRqFBAoJdGV4dC9odG1sEvcDSSB0aGluayB0aGVzZSBsaW1pdGF0aW9ucyBzaG91bGQgYmUgZGlzY3Vzc2VkIGVhcmxpZXIgYWxyZWFkeTsgYXQgdGhlIHBvaW50IHdoZXJlIHlvdSBzaW1wbHkgcHJlc2VudCB0aGUgbWFpbiByZXN1bHRzLiBUaGUgcGFwZXIgbm93IGVuZHMgaW4gYSB3ZWlyZCB3YXkuIEkgdGhpbmsgYSBnZW5lcmFsIHN0YXRlbWVudCBpcyBpbiBwbGFjZTsgc2VlIGFib3ZlIHJlZ2FyZGluZyB0aGUgdHJhbnNkaWFnbm9zdGljIHBvdGVudGlhbCBvZiBwc2lsb2N5YmluOyBidXQgYWxzbyBzaW1wbHkgdGhlIG9ic2VydmF0aW9uIHRoYXQgaWYgYW55dGhpbmcgcHNpbG9jeWJpbiBpbXBhaXJzIHlvdXIgRUYgaW4gdGhlIGFjdXRlwqBwaGFzZSBpbiBhIGRvc2UtZGVwZW5kZW50IG1hbm5lci4gSGVuY2UsIHBlb3BsZSBzaG91bGTCoGJlIGNhdXRpb3VzIHVzaW5nIHRoZXNlIHN1YnN0YW5jZXMgd2hlbiB3b3JraW5nIHdpdGggaGVhdnkgbWFjaGluZXMsIG9yIHBhcnRpY2lwYXRpbmcgaW4gdHJhZmZpYy4ihgQKCnRleHQvcGxhaW4S9wNJIHRoaW5rIHRoZXNlIGxpbWl0YXRpb25zIHNob3VsZCBiZSBkaXNjdXNzZWQgZWFybGllciBhbHJlYWR5OyBhdCB0aGUgcG9pbnQgd2hlcmUgeW91IHNpbXBseSBwcmVzZW50IHRoZSBtYWluIHJlc3VsdHMuIFRoZSBwYXBlciBub3cgZW5kcyBpbiBhIHdlaXJkIHdheS4gSSB0aGluayBhIGdlbmVyYWwgc3RhdGVtZW50IGlzIGluIHBsYWNlOyBzZWUgYWJvdmUgcmVnYXJkaW5nIHRoZSB0cmFuc2RpYWdub3N0aWMgcG90ZW50aWFsIG9mIHBzaWxvY3liaW47IGJ1dCBhbHNvIHNpbXBseSB0aGUgb2JzZXJ2YXRpb24gdGhhdCBpZiBhbnl0aGluZyBwc2lsb2N5YmluIGltcGFpcnMgeW91ciBFRiBpbiB0aGUgYWN1dGXCoHBoYXNlIGluIGEgZG9zZS1kZXBlbmRlbnQgbWFubmVyLiBIZW5jZSwgcGVvcGxlIHNob3VsZMKgYmUgY2F1dGlvdXMgdXNpbmcgdGhlc2Ugc3Vic3RhbmNlcyB3aGVuIHdvcmtpbmcgd2l0aCBoZWF2eSBtYWNoaW5lcywgb3IgcGFydGljaXBhdGluZyBpbiB0cmFmZmljLiobIhUxMDUxNjc0MTg2MDA1NjM0NTI0MTYoADgAMIPkpa+MMjiD5KWvjDJK+gcKCnRleHQvcGxhaW4S6wdMaW1pdGF0aW9ucwpSZXNlYXJjaCBleHBsb3JpbmcgdGhlIGFjdXRlIGVmZmVjdHMgb2YgcHN5Y2hlZGVsaWNzIG9uIGNvZ25pdGlvbiBoYXMgZW1wbG95ZWQgYSB2YXJpZXR5IG9mIHRlc3RpbmcgcGFyYWRpZ21zLCBsZWFkaW5nIHRvIHZhcmllZCByZXN1bHRzLiBGb3IgaW5zdGFuY2UsIHRoZSBzdHVkeSBieSBDYXJ0ZXIgZXQgYWwuICgyMDA1KSB1c2luZyB0aGUgU3BhdGlhbCBTcGFuIHRhc2sgZnJvbSB0aGUgQ0FOVEFCIGJhdHRlcnkgZm91bmQgdGhhdCBwc2lsb2N5YmluIGhhZCBubyBpbXBhY3Qgb24gd29ya2luZyBtZW1vcnkgaW4gZWlnaHQgaHVtYW4gdm9sdW50ZWVycy4gSW4gY29udHJhc3QsIEJhcnJldHQgZXQgYWwuICgyMDE4KSByZXBvcnRlZCB0aGF0IHBzaWxvY3liaW4gZGlkIGFmZmVjdCB3b3JraW5nIG1lbW9yeSBpbiAyMCBoZWFsdGh5IHZvbHVudGVlcnMsIGFzIGV2aWRlbmNlZCBieSBpbmNyZWFzZWQgcmVzcG9uc2UgdGltZXMgaW4gdGhlIExldHRlciBOLWJhY2sgdGFzay4gT25lIGRpZmZpY3VsdHkgaW4gY29uZHVjdGluZyB0aGlzIG1ldGEtYW5hbHlzaXMgd2FzIHRoYXQgZHVlIHRoZSBtdWx0aWZhY2V0ZWQgbmF0dXJlIG9mIGV4ZWN1dGl2ZSBmdW5jdGlvbnMsIGEgdmFyaWV0eSBvZiB0YXNrcyB3ZXJlLCB3aGljaCBpcyByZWZsZWN0ZWQgaW4gdGhlIGhldGVyb2dlbmVpdHkuwqAgVGhlIGxhY2sgb2YgY29uc2lzdGVudCB1c2Ugb2YgdGVzdGluZyBwYXJhZGlnbXMgYWNyb3NzIHN0dWRpZXMgaGFzIGltcGVkZWQgZWZmb3J0cyB0byByZXBsaWNhdGUgZmluZGluZ3MgYW5kIGhhcyBsZWQgdG8gYSBzdGFnZSB3aGVyZSBjb25jbHVzaXZlIGludGVycHJldGF0aW9ucyBvZiB0aGUgZGF0YSBhcmUgY2hhbGxlbmdpbmcuIFRoaXMgaW5jb25zaXN0ZW5jeSBpcyBmdXJ0aGVyIHJlZmxlY3RlZCBpbiB0aGUgaGV0ZXJvZ2VuZWl0eSB0ZXN0cywgaW5kaWNhdGluZyBzaWduaWZpY2FudCB2YXJpYXRpb24gaW4gc3R1ZHkgb3V0Y29tZXMuCkFz4oCmWgtmeHZ6ZDE2YXJtZnICIAB4AJoBBggAEAAYAKoB+gMS9wNJIHRoaW5rIHRoZXNlIGxpbWl0YXRpb25zIHNob3VsZCBiZSBkaXNjdXNzZWQgZWFybGllciBhbHJlYWR5OyBhdCB0aGUgcG9pbnQgd2hlcmUgeW91IHNpbXBseSBwcmVzZW50IHRoZSBtYWluIHJlc3VsdHMuIFRoZSBwYXBlciBub3cgZW5kcyBpbiBhIHdlaXJkIHdheS4gSSB0aGluayBhIGdlbmVyYWwgc3RhdGVtZW50IGlzIGluIHBsYWNlOyBzZWUgYWJvdmUgcmVnYXJkaW5nIHRoZSB0cmFuc2RpYWdub3N0aWMgcG90ZW50aWFsIG9mIHBzaWxvY3liaW47IGJ1dCBhbHNvIHNpbXBseSB0aGUgb2JzZXJ2YXRpb24gdGhhdCBpZiBhbnl0aGluZyBwc2lsb2N5YmluIGltcGFpcnMgeW91ciBFRiBpbiB0aGUgYWN1dGXCoHBoYXNlIGluIGEgZG9zZS1kZXBlbmRlbnQgbWFubmVyLiBIZW5jZSwgcGVvcGxlIHNob3VsZMKgYmUgY2F1dGlvdXMgdXNpbmcgdGhlc2Ugc3Vic3RhbmNlcyB3aGVuIHdvcmtpbmcgd2l0aCBoZWF2eSBtYWNoaW5lcywgb3IgcGFydGljaXBhdGluZyBpbiB0cmFmZmljLrABALgBABiD5KWvjDIgg+Slr4wyMABCEGtpeC5idTc3dHA0ZzNycHcikAIKC0FBQUJPWWw2bkN3EtoBCgtBQUFCT1lsNm5DdxILQUFBQk9ZbDZuQ3caDQoJdGV4dC9odG1sEgAiDgoKdGV4dC9wbGFpbhIAKhsiFTEwNTE2NzQxODYwMDU2MzQ1MjQxNigAOAAwkceprIwyOMvQqayMMko7CiRhcHBsaWNhdGlvbi92bmQuZ29vZ2xlLWFwcHMuZG9jcy5tZHMaE8LX2uQBDRoLCgcKAScQARgAEAFaC2toMGNvdGlhNDJxcgIgAHgAggEUc3VnZ2VzdC5zc2QwcjY0dHkyNneaAQYIABAAGACwAQC4AQAYkceprIwyIMvQqayMMjAAQhRzdWdnZXN0LnNzZDByNjR0eTI2dyKzDQoLQUFBQk9ZbDZuZVUSgQ0KC0FBQUJPWWw2bmVVEgtBQUFCT1lsNm5lVRrGAwoJdGV4dC9odG1sErgDYmFzZWQgb24gdGhlIGR1YWwgdGFzayBhY2NvdW50IGFib3ZlLCBpdCB3b3VsZCBiZSB2ZXJ5IHN0cmFpZ2h0Zm9yd2FyZCB0byB0ZXN0IGlmIHBhcnRpY2lwYW50cyBhcmUgaW5kZWVkIG1vcmUgcmVhZGlseSBkaXN0cmFjdGVkIGJ5IHRoZWlyIHBzeWNoZWRlbGljIGV4cGVyaWVuY2VzLCBieSB1c2luZyBhIHRob3VnaHQtcHJvYmUgbWluZC13YW5kZXJpbmcgcGFyYWRpZ20gKFNjaG9vbGVyIGV0IGFsLik7IHRoZSBwcmVkaWN0aW9uIHdvdWxkIHRoZW4gYmUgdGhhdCBpbmRlZWQgcHNpbG9jeWJpbiBtb3JlIG9mdGVuIHJlc3VsdHMgaW4gb2ZmLXRhc2sgcmVsYXRlZMKgdGhvdWdodHMgYW5kIGV4cGVyaWVuY2VzLCBhbmQgdGhhdCB0aGUgbW9yZcKgb2Z0ZW4gdGhpcyBvY2N1cnMsIHRlaCBncmVhdGVyIHRoZSBpbXBhaXJtZW50IGluIGNvZ25pdGl2ZSBwZXJmb3JtYW5jZS4ixwMKCnRleHQvcGxhaW4SuANiYXNlZCBvbiB0aGUgZHVhbCB0YXNrIGFjY291bnQgYWJvdmUsIGl0IHdvdWxkIGJlIHZlcnkgc3RyYWlnaHRmb3J3YXJkIHRvIHRlc3QgaWYgcGFydGljaXBhbnRzIGFyZSBpbmRlZWQgbW9yZSByZWFkaWx5IGRpc3RyYWN0ZWQgYnkgdGhlaXIgcHN5Y2hlZGVsaWMgZXhwZXJpZW5jZXMsIGJ5IHVzaW5nIGEgdGhvdWdodC1wcm9iZSBtaW5kLXdhbmRlcmluZyBwYXJhZGlnbSAoU2Nob29sZXIgZXQgYWwuKTsgdGhlIHByZWRpY3Rpb24gd291bGQgdGhlbiBiZSB0aGF0IGluZGVlZCBwc2lsb2N5YmluIG1vcmUgb2Z0ZW4gcmVzdWx0cyBpbiBvZmYtdGFzayByZWxhdGVkwqB0aG91Z2h0cyBhbmQgZXhwZXJpZW5jZXMsIGFuZCB0aGF0IHRoZSBtb3JlwqBvZnRlbiB0aGlzIG9jY3VycywgdGVoIGdyZWF0ZXIgdGhlIGltcGFpcm1lbnQgaW4gY29nbml0aXZlIHBlcmZvcm1hbmNlLiobIhUxMDUxNjc0MTg2MDA1NjM0NTI0MTYoADgAMJznjK+MMjic54yvjDJKxAEKCnRleHQvcGxhaW4StQFUcmFkaXRpb25hbCBjb2duaXRpdmUgdGVzdHMgbWF5IG5vdCBmdWxseSBjYXB0dXJlIHRoZSBicm9hZCBhbmQgb3ZlcmxhcHBpbmcgZWZmZWN0cyBvZiBwc2lsb2N5YmluLCBsZWFkaW5nIHRvIHBvdGVudGlhbCBtaXNpbnRlcnByZXRhdGlvbnMgb2YgaXRzIGltcGFjdC4gUmVzZWFyY2hlcnMgc2hvdWxkIGNvbnNpZGVyWgw3dzk1amQ2YjhncDlyAiAAeACaAQYIABAAGACqAbsDErgDYmFzZWQgb24gdGhlIGR1YWwgdGFzayBhY2NvdW50IGFib3ZlLCBpdCB3b3VsZCBiZSB2ZXJ5IHN0cmFpZ2h0Zm9yd2FyZCB0byB0ZXN0IGlmIHBhcnRpY2lwYW50cyBhcmUgaW5kZWVkIG1vcmUgcmVhZGlseSBkaXN0cmFjdGVkIGJ5IHRoZWlyIHBzeWNoZWRlbGljIGV4cGVyaWVuY2VzLCBieSB1c2luZyBhIHRob3VnaHQtcHJvYmUgbWluZC13YW5kZXJpbmcgcGFyYWRpZ20gKFNjaG9vbGVyIGV0IGFsLik7IHRoZSBwcmVkaWN0aW9uIHdvdWxkIHRoZW4gYmUgdGhhdCBpbmRlZWQgcHNpbG9jeWJpbiBtb3JlIG9mdGVuIHJlc3VsdHMgaW4gb2ZmLXRhc2sgcmVsYXRlZMKgdGhvdWdodHMgYW5kIGV4cGVyaWVuY2VzLCBhbmQgdGhhdCB0aGUgbW9yZcKgb2Z0ZW4gdGhpcyBvY2N1cnMsIHRlaCBncmVhdGVyIHRoZSBpbXBhaXJtZW50IGluIGNvZ25pdGl2ZSBwZXJmb3JtYW5jZS6wAQC4AQAYnOeMr4wyIJznjK+MMjAAQhBraXgud2JvdXp0bmw4NzFnIvwJCgtBQUFCT1loLU0wNBLKCQoLQUFBQk9ZaC1NMDQSC0FBQUJPWWgtTTA0GvwBCgl0ZXh0L2h0bWwS7gFHSDogSW4gdGhpcyB3aG9sZSBwYXJhZ3JhcGgsIHRoZSBhc3BlY3Qgb2YgdGltZSBpcyBub3QgbWVudGlvbmVkIOKAkyBidXQgSSB0aGluayB0aGlzIGlzIHRoZSBjcnVjaWFsIGFzcGVjdC4gSXMgaXQgYW4gYWN1dGUgc2lkZSBlZmZlY3QsIGFuZCBhY3V0ZSBvcGVuaW5nIGZvciB0aGVyYXBldXRpYyBpbnRlcnZlbnRpb24sIGEgbGFzdGluZyBkeXNmdW5jdGlvbiwgb3IgYSBsYXN0aW5nIG5ldXJvZW5oYW5jZW1lbnQuIv0BCgp0ZXh0L3BsYWluEu4BR0g6IEluIHRoaXMgd2hvbGUgcGFyYWdyYXBoLCB0aGUgYXNwZWN0IG9mIHRpbWUgaXMgbm90IG1lbnRpb25lZCDigJMgYnV0IEkgdGhpbmsgdGhpcyBpcyB0aGUgY3J1Y2lhbCBhc3BlY3QuIElzIGl0IGFuIGFjdXRlIHNpZGUgZWZmZWN0LCBhbmQgYWN1dGUgb3BlbmluZyBmb3IgdGhlcmFwZXV0aWMgaW50ZXJ2ZW50aW9uLCBhIGxhc3RpbmcgZHlzZnVuY3Rpb24sIG9yIGEgbGFzdGluZyBuZXVyb2VuaGFuY2VtZW50LiobIhUxMTY0MDYzNDIyNTg3OTkzMzQyNDUoADgAMOrLy5eMMjjqy8uXjDJK6wIKCnRleHQvcGxhaW4S3AJUaGVyZWZvcmUsIHdoZW4gaW50ZXJwcmV0aW5nIHRoZSByZXN1bHRzIG9mIGV4ZWN1dGl2ZSBmdW5jdGlvbiB0YXNrcyB1bmRlciB0aGUgaW5mbHVlbmNlIG9mIHBzaWxvY3liaW4sIGl0J3MgY3J1Y2lhbCB0byBjb25zaWRlciB0aGF0IG9ic2VydmVkIGNoYW5nZXMgaW4gcGVyZm9ybWFuY2UgbWlnaHQgcmVmbGVjdCBhbHRlcmF0aW9ucyBpbiBhdHRlbnRpb24sIG1vdG9yIGZ1bmN0aW9uLCBvciBvdGhlciBiYXNpYyBjb2duaXRpdmUgcHJvY2Vzc2VzLCByYXRoZXIgdGhhbiwgb3IgaW4gYWRkaXRpb24gdG8sIGNoYW5nZXMgaW4gdGhlIHNwZWNpZmljIGV4ZWN1dGl2ZSBmdW5jdGlvbiBiZWluZyB0YXJnZXRlZC5aDDdlcnE1d2EzMW9jaXICIAB4AJoBBggAEAAYAKoB8QES7gFHSDogSW4gdGhpcyB3aG9sZSBwYXJhZ3JhcGgsIHRoZSBhc3BlY3Qgb2YgdGltZSBpcyBub3QgbWVudGlvbmVkIOKAkyBidXQgSSB0aGluayB0aGlzIGlzIHRoZSBjcnVjaWFsIGFzcGVjdC4gSXMgaXQgYW4gYWN1dGUgc2lkZSBlZmZlY3QsIGFuZCBhY3V0ZSBvcGVuaW5nIGZvciB0aGVyYXBldXRpYyBpbnRlcnZlbnRpb24sIGEgbGFzdGluZyBkeXNmdW5jdGlvbiwgb3IgYSBsYXN0aW5nIG5ldXJvZW5oYW5jZW1lbnQusAEAuAEAGOrLy5eMMiDqy8uXjDIwAEIQa2l4LmxqMnB2N3BiaHpkcjIJaWQuZ2pkZ3hzMgppZC4zMGowemxsMgppZC4xZm9iOXRlMgppZC4zem55c2g3MgppZC4xdDNoNXNmMgppZC4xN2RwOHZ1MglpZC5sbnhiejkyCmlkLjQ0c2luaW8yCmlkLjNqMnFxbTMyCmlkLjJibjZ3c3gyCmlkLjNhczRwb2oyCmlkLjFweGV6d2M4AGonChRzdWdnZXN0LjMxMmRpbzlieDh2dxIPTWljaGllbCB2YW4gRWxraisKFHN1Z2dlc3Qucjcyd3piYXRmejV2EhNTLiBFbnJpcXVleiBHZXBwZXJ0aicKFHN1Z2dlc3QueDc0dWo2NDlkZTBvEg9NaWNoaWVsIHZhbiBFbGtqKwoUc3VnZ2VzdC51OTZrZGhrNjF5NDESE1MuIEVucmlxdWV6IEdlcHBlcnRqJwoUc3VnZ2VzdC5iaDdzZzR0d2d4aTASD01pY2hpZWwgdmFuIEVsa2onChRzdWdnZXN0LnM4cHhhZXdyMnd1dBIPTWljaGllbCB2YW4gRWxraicKFHN1Z2dlc3QuMmY4azdxOXlyeXlyEg9NaWNoaWVsIHZhbiBFbGtqJwoUc3VnZ2VzdC51eGRzeGRwcTM1MW8SD01pY2hpZWwgdmFuIEVsa2orChRzdWdnZXN0Lmg3eG8wOHFhczZ2MxITUy4gRW5yaXF1ZXogR2VwcGVydGonChRzdWdnZXN0Lm50MWRmaWp5OWg4NBIPTWljaGllbCB2YW4gRWxraisKFHN1Z2dlc3QuM25uYXI1MmhocW9iEhNTLiBFbnJpcXVleiBHZXBwZXJ0aisKFHN1Z2dlc3QudTkzb3dycmluN3VnEhNTLiBFbnJpcXVleiBHZXBwZXJ0aisKFHN1Z2dlc3QuMmNjcnRjazU2cXF2EhNTLiBFbnJpcXVleiBHZXBwZXJ0aisKFHN1Z2dlc3QuZWp1Njd5NGRwN2IxEhNTLiBFbnJpcXVleiBHZXBwZXJ0aisKFHN1Z2dlc3QuNjBqcTRsMWZtcnZlEhNTLiBFbnJpcXVleiBHZXBwZXJ0aicKFHN1Z2dlc3Qud3VpZWw2czJ4NTVkEg9NaWNoaWVsIHZhbiBFbGtqJwoUc3VnZ2VzdC54YmQ0OWY1Ynd6NTMSD01pY2hpZWwgdmFuIEVsa2orChRzdWdnZXN0LmQ0bWxkZTV1NXQ5ZBITUy4gRW5yaXF1ZXogR2VwcGVydGonChRzdWdnZXN0LmVpdTB4dWJidnJpcRIPTWljaGllbCB2YW4gRWxraisKFHN1Z2dlc3QudDlneW1zaDV2ZXpwEhNTLiBFbnJpcXVleiBHZXBwZXJ0aisKFHN1Z2dlc3QucTMwbGhxNnYyMWFyEhNTLiBFbnJpcXVleiBHZXBwZXJ0aisKFHN1Z2dlc3QuY21ydGdseXVyaDgzEhNTLiBFbnJpcXVleiBHZXBwZXJ0aicKFHN1Z2dlc3QuYTM3ajY2MXBoZjdqEg9NaWNoaWVsIHZhbiBFbGtqJwoUc3VnZ2VzdC5icjNmMWt2cmlxdmwSD01pY2hpZWwgdmFuIEVsa2orChRzdWdnZXN0LnlhNW1pb215dDlzNxITUy4gRW5yaXF1ZXogR2VwcGVydGorChRzdWdnZXN0LmNrbmJwYzZzOHFpMRITUy4gRW5yaXF1ZXogR2VwcGVydGonChRzdWdnZXN0Lmc3OTN4c283NjZwcxIPTWljaGllbCB2YW4gRWxraiUKEnN1Z2dlc3QucWRrdHZ0eWg0eRIPTWljaGllbCB2YW4gRWxraisKFHN1Z2dlc3Quc2F2ZW42YWk4Z2EwEhNTLiBFbnJpcXVleiBHZXBwZXJ0aisKFHN1Z2dlc3QuZXNzMTg2YTVtaHZ4EhNTLiBFbnJpcXVleiBHZXBwZXJ0aisKFHN1Z2dlc3QuMTJsZXFsdGl4NzBrEhNTLiBFbnJpcXVleiBHZXBwZXJ0aisKFHN1Z2dlc3QuOGxuZ3p0ejA3OW1yEhNTLiBFbnJpcXVleiBHZXBwZXJ0aicKFHN1Z2dlc3Qua2MxNmoyb2N1ejI2Eg9NaWNoaWVsIHZhbiBFbGtqKwoUc3VnZ2VzdC41dzI4b290bzgxb28SE1MuIEVucmlxdWV6IEdlcHBlcnRqKwoUc3VnZ2VzdC5nYXdqejRqNG56Z20SE1MuIEVucmlxdWV6IEdlcHBlcnRqKwoUc3VnZ2VzdC45eWQwb2FsbHBkcTkSE1MuIEVucmlxdWV6IEdlcHBlcnRqJwoUc3VnZ2VzdC4xejdnNjY4Y3VyZnkSD01pY2hpZWwgdmFuIEVsa2orChRzdWdnZXN0LmlwMmo1N3BjNzJrNhITUy4gRW5yaXF1ZXogR2VwcGVydGonChRzdWdnZXN0Lms1c3lpZmg0ZGJhcRIPTWljaGllbCB2YW4gRWxraisKFHN1Z2dlc3Qud2VrMDJlYXppMTQzEhNTLiBFbnJpcXVleiBHZXBwZXJ0aisKFHN1Z2dlc3QueDMxNDNxODJmOGhkEhNTLiBFbnJpcXVleiBHZXBwZXJ0aicKFHN1Z2dlc3QuNXp4bTllNzM1ZnFnEg9NaWNoaWVsIHZhbiBFbGtqKwoUc3VnZ2VzdC5tamdvanc4ZG9kcWMSE1MuIEVucmlxdWV6IEdlcHBlcnRqKwoUc3VnZ2VzdC5yZWsybHQxZjNtZXkSE1MuIEVucmlxdWV6IEdlcHBlcnRqJwoUc3VnZ2VzdC5kYnE5Znd3OWRjMTMSD01pY2hpZWwgdmFuIEVsa2onChRzdWdnZXN0LmdtYjhtcnRmdW9xdhIPTWljaGllbCB2YW4gRWxraisKFHN1Z2dlc3QuZ2ZvZWdidXVpMGw4EhNTLiBFbnJpcXVleiBHZXBwZXJ0aisKFHN1Z2dlc3QuZXpmbXU3aW9lYzBrEhNTLiBFbnJpcXVleiBHZXBwZXJ0aisKFHN1Z2dlc3QuYjM5dzRmOHdnNmFqEhNTLiBFbnJpcXVleiBHZXBwZXJ0aisKFHN1Z2dlc3QubnpzamZ5ZnlsMGM2EhNTLiBFbnJpcXVleiBHZXBwZXJ0aisKFHN1Z2dlc3QuOHRwcnE5dzJ0ZGk0EhNTLiBFbnJpcXVleiBHZXBwZXJ0aisKFHN1Z2dlc3QudGM1YXNkbXkwZm5vEhNTLiBFbnJpcXVleiBHZXBwZXJ0aisKFHN1Z2dlc3QuN2JnYnFpYXducThyEhNTLiBFbnJpcXVleiBHZXBwZXJ0aisKFHN1Z2dlc3Qub2gxNjF1NmVkajVxEhNTLiBFbnJpcXVleiBHZXBwZXJ0aicKFHN1Z2dlc3QuZzI0b25heGN2dW55Eg9NaWNoaWVsIHZhbiBFbGtqJwoUc3VnZ2VzdC5nbDcwM3Q4aWtmeWkSD01pY2hpZWwgdmFuIEVsa2onChRzdWdnZXN0LmUyZm9idzlleGU5MBIPTWljaGllbCB2YW4gRWxraicKFHN1Z2dlc3QuemRuYzVlNWVwbWIxEg9NaWNoaWVsIHZhbiBFbGtqJwoUc3VnZ2VzdC4ybnlkZnh0bWFiMzcSD01pY2hpZWwgdmFuIEVsa2orChRzdWdnZXN0LmhhbzFzOHV4cmZjORITUy4gRW5yaXF1ZXogR2VwcGVydGorChRzdWdnZXN0LnF1OHVjb2UxejYxeBITUy4gRW5yaXF1ZXogR2VwcGVydGorChRzdWdnZXN0LnNkMXg1NHZkdHZheBITUy4gRW5yaXF1ZXogR2VwcGVydGorChRzdWdnZXN0LmxzY3B5ZTh5Zjk1YRITUy4gRW5yaXF1ZXogR2VwcGVydGorChRzdWdnZXN0LjRqZDQwNDZreDhzYxITUy4gRW5yaXF1ZXogR2VwcGVydGorChRzdWdnZXN0Lm9yN3VrYjQ4ZnUwehITUy4gRW5yaXF1ZXogR2VwcGVydGorChRzdWdnZXN0LjlwdXhnNHoybmp4ZRITUy4gRW5yaXF1ZXogR2VwcGVydGorChRzdWdnZXN0LjZxOW9xYWk3NWptdxITUy4gRW5yaXF1ZXogR2VwcGVydGorChRzdWdnZXN0LjhkYXJ1cmMzaWliMxITUy4gRW5yaXF1ZXogR2VwcGVydGorChRzdWdnZXN0LndueTYycXYzcHVkbRITUy4gRW5yaXF1ZXogR2VwcGVydGorChRzdWdnZXN0Lmo2b2cxYno4eDdhMxITUy4gRW5yaXF1ZXogR2VwcGVydGorChRzdWdnZXN0LjR5YWh4MzRmOXN3dRITUy4gRW5yaXF1ZXogR2VwcGVydGoqChNzdWdnZXN0LnVjaDA2ajkyOWJ0EhNTLiBFbnJpcXVleiBHZXBwZXJ0aisKFHN1Z2dlc3QubHhrOTBtZ2dkNTgwEhNTLiBFbnJpcXVleiBHZXBwZXJ0aisKFHN1Z2dlc3QubTI3bWJleGVoYWx4EhNTLiBFbnJpcXVleiBHZXBwZXJ0aisKFHN1Z2dlc3QuY3g5ZDhub3RjZXZ2EhNTLiBFbnJpcXVleiBHZXBwZXJ0aisKFHN1Z2dlc3QuejlyMzVzbW9xN3diEhNTLiBFbnJpcXVleiBHZXBwZXJ0aisKFHN1Z2dlc3QuMThyODFzOHZhYng2EhNTLiBFbnJpcXVleiBHZXBwZXJ0aisKFHN1Z2dlc3QueWFpczJoZzZsMnkyEhNTLiBFbnJpcXVleiBHZXBwZXJ0aisKFHN1Z2dlc3QucjE1aGdvNGh6NWV0EhNTLiBFbnJpcXVleiBHZXBwZXJ0aisKFHN1Z2dlc3QuYnhoM25sbmZsbGF4EhNTLiBFbnJpcXVleiBHZXBwZXJ0aisKFHN1Z2dlc3QuYnJmNnhpMTBsY2tvEhNTLiBFbnJpcXVleiBHZXBwZXJ0aisKFHN1Z2dlc3Quazg3ejVvaDN3aXFrEhNTLiBFbnJpcXVleiBHZXBwZXJ0aisKFHN1Z2dlc3QuM2ppNHE2b2NsazVsEhNTLiBFbnJpcXVleiBHZXBwZXJ0aisKFHN1Z2dlc3QucTJtZG91dW1zZ2VtEhNTLiBFbnJpcXVleiBHZXBwZXJ0aisKFHN1Z2dlc3QuNTgzOHUyN2xibmcxEhNTLiBFbnJpcXVleiBHZXBwZXJ0aisKFHN1Z2dlc3QuNnV6bXA0ODRveTgyEhNTLiBFbnJpcXVleiBHZXBwZXJ0aisKFHN1Z2dlc3QuYjB5YmE0OTd2bDZ5EhNTLiBFbnJpcXVleiBHZXBwZXJ0aisKFHN1Z2dlc3QuNjhtYm50czJ6cXZqEhNTLiBFbnJpcXVleiBHZXBwZXJ0aisKFHN1Z2dlc3QuZTkwcHNrZnBiMnp3EhNTLiBFbnJpcXVleiBHZXBwZXJ0aisKFHN1Z2dlc3QudTEzN2p0MzFwaGM3EhNTLiBFbnJpcXVleiBHZXBwZXJ0aisKFHN1Z2dlc3QuYjg1b2MzZXhyMWYyEhNTLiBFbnJpcXVleiBHZXBwZXJ0aisKFHN1Z2dlc3QuNHU5MWZ0bHVjajdkEhNTLiBFbnJpcXVleiBHZXBwZXJ0aioKE3N1Z2dlc3QucWcydHhhcGM5ZHUSE1MuIEVucmlxdWV6IEdlcHBlcnRqKwoUc3VnZ2VzdC56MHlpeTA4YTVjOHQSE1MuIEVucmlxdWV6IEdlcHBlcnRqKwoUc3VnZ2VzdC51b2RhcWVwcG83dDMSE1MuIEVucmlxdWV6IEdlcHBlcnRqKwoUc3VnZ2VzdC5ndno2aWU1emt6cjcSE1MuIEVucmlxdWV6IEdlcHBlcnRqKwoUc3VnZ2VzdC5veTFqNDlwOXZqbngSE1MuIEVucmlxdWV6IEdlcHBlcnRqKgoTc3VnZ2VzdC5rejM1ZzlzenE3NhITUy4gRW5yaXF1ZXogR2VwcGVydGorChRzdWdnZXN0LnU5cm5hM3V0amIwaBITUy4gRW5yaXF1ZXogR2VwcGVydGorChRzdWdnZXN0LmFwdGN6NWZhc202YxITUy4gRW5yaXF1ZXogR2VwcGVydGorChRzdWdnZXN0LmRseWltdTd4N29sbhITUy4gRW5yaXF1ZXogR2VwcGVydGorChRzdWdnZXN0LnA2OHljeTNsYndmZhITUy4gRW5yaXF1ZXogR2VwcGVydGorChRzdWdnZXN0Lmhsbnl1MGRtNzl2OBITUy4gRW5yaXF1ZXogR2VwcGVydGorChRzdWdnZXN0LnF1N2xtbDQ3ZnAzbxITUy4gRW5yaXF1ZXogR2VwcGVydGorChRzdWdnZXN0Lm84ZWc3ZXlycGJ3NRITUy4gRW5yaXF1ZXogR2VwcGVydGorChRzdWdnZXN0LnN6NXg1bTNzZjY2dhITUy4gRW5yaXF1ZXogR2VwcGVydGomChNzdWdnZXN0LmQ1amZ1eTF4NmptEg9NaWNoaWVsIHZhbiBFbGtqKwoUc3VnZ2VzdC5rcmF0MDBxbnJxZGISE1MuIEVucmlxdWV6IEdlcHBlcnRqJwoUc3VnZ2VzdC5ycXBqdTdxZW94bGQSD01pY2hpZWwgdmFuIEVsa2onChRzdWdnZXN0LnM3cXRqaWNybm51ehIPTWljaGllbCB2YW4gRWxraisKFHN1Z2dlc3QuZDM2Y3k1cmNxeWduEhNTLiBFbnJpcXVleiBHZXBwZXJ0aisKFHN1Z2dlc3QuN3JtM2ZpZXhtbXh0EhNTLiBFbnJpcXVleiBHZXBwZXJ0aisKFHN1Z2dlc3QucWF5M3BjdDM3eXBuEhNTLiBFbnJpcXVleiBHZXBwZXJ0aisKFHN1Z2dlc3QuOHV5OWd0Y2E2dGR4EhNTLiBFbnJpcXVleiBHZXBwZXJ0aisKFHN1Z2dlc3Quc20wcXJ1dmVoamNxEhNTLiBFbnJpcXVleiBHZXBwZXJ0aioKE3N1Z2dlc3Quc244YzNyeHYzeTcSE1MuIEVucmlxdWV6IEdlcHBlcnRqKwoUc3VnZ2VzdC52MXI1NnluNHA0Z3USE1MuIEVucmlxdWV6IEdlcHBlcnRqKgoTc3VnZ2VzdC53bXJzZGxyNHBkcxITUy4gRW5yaXF1ZXogR2VwcGVydGonChRzdWdnZXN0LjlqYWE5M2ZjeDljMhIPTWljaGllbCB2YW4gRWxraicKFHN1Z2dlc3QuM2hweXJvdDVrZmlwEg9NaWNoaWVsIHZhbiBFbGtqKwoUc3VnZ2VzdC5peDdtMzQ0cWl2ejASE1MuIEVucmlxdWV6IEdlcHBlcnRqKwoUc3VnZ2VzdC5zMmE2OWZxZnJpaHgSE1MuIEVucmlxdWV6IEdlcHBlcnRqKgoTc3VnZ2VzdC55czNyeXI3MGUxMhITUy4gRW5yaXF1ZXogR2VwcGVydGorChRzdWdnZXN0LjQ0c2I1cDg4OWw2bRITUy4gRW5yaXF1ZXogR2VwcGVydGoqChNzdWdnZXN0LjZrdmE3YmlzeTlnEhNTLiBFbnJpcXVleiBHZXBwZXJ0aicKFHN1Z2dlc3QueWVweDEwdXE4ZWJiEg9NaWNoaWVsIHZhbiBFbGtqJwoUc3VnZ2VzdC5meThwd2ZnM3Q5dW0SD01pY2hpZWwgdmFuIEVsa2orChRzdWdnZXN0LnhlbmxrMm55OG5uOBITUy4gRW5yaXF1ZXogR2VwcGVydGorChRzdWdnZXN0LjM0ZnE3OXNtaHlzdRITUy4gRW5yaXF1ZXogR2VwcGVydGorChRzdWdnZXN0LmFtazNjZjVlN2t1cBITUy4gRW5yaXF1ZXogR2VwcGVydGorChRzdWdnZXN0LjFmaHdmN21mNTR4dxITUy4gRW5yaXF1ZXogR2VwcGVydGorChRzdWdnZXN0LjI1MXp0dTd6MWh6ZBITUy4gRW5yaXF1ZXogR2VwcGVydGorChRzdWdnZXN0LjJqcW9mYmk0ems5bBITUy4gRW5yaXF1ZXogR2VwcGVydGorChRzdWdnZXN0LjkxYnk4aXdiczJiMxITUy4gRW5yaXF1ZXogR2VwcGVydGoqChNzdWdnZXN0LmNxanowM2o3eW82EhNTLiBFbnJpcXVleiBHZXBwZXJ0aikKEnN1Z2dlc3QuYW1pZWRrODFxNBITUy4gRW5yaXF1ZXogR2VwcGVydGoqChNzdWdnZXN0LmZucDUwMWhma2tnEhNTLiBFbnJpcXVleiBHZXBwZXJ0aisKFHN1Z2dlc3QuMmUycm1pYWM4ZzFkEhNTLiBFbnJpcXVleiBHZXBwZXJ0aiQKFHN1Z2dlc3Quejlqc2Q0aG5pYmRtEgxNb3J0ZW4gTGlldHpqKwoUc3VnZ2VzdC5vZThvZHVvM3NsYmQSE1MuIEVucmlxdWV6IEdlcHBlcnRqKwoUc3VnZ2VzdC4zamcyZzdrdXNydWkSE1MuIEVucmlxdWV6IEdlcHBlcnRqJAoUc3VnZ2VzdC45dTc3YWhucjNtOGUSDE1vcnRlbiBMaWV0emorChRzdWdnZXN0LnNoaW8zejh2OTBwchITUy4gRW5yaXF1ZXogR2VwcGVydGokChRzdWdnZXN0LmMyZHB6MmR4Zm0zcBIMTW9ydGVuIExpZXR6aisKFHN1Z2dlc3QuMWkxMmRkajdhdmx3EhNTLiBFbnJpcXVleiBHZXBwZXJ0aiQKFHN1Z2dlc3QuYWJpajZ5ZHJzbnpjEgxNb3J0ZW4gTGlldHpqKwoUc3VnZ2VzdC5lOWJlZmhvZXV0ZG8SE1MuIEVucmlxdWV6IEdlcHBlcnRqKwoUc3VnZ2VzdC50OTR6ZGY4cW9laW4SE1MuIEVucmlxdWV6IEdlcHBlcnRqKwoUc3VnZ2VzdC5kcGRrMGJreWhmdXMSE1MuIEVucmlxdWV6IEdlcHBlcnRqJAoUc3VnZ2VzdC5xaXl1aHV0dDhjYW4SDE1vcnRlbiBMaWV0emorChRzdWdnZXN0Lnd3Mmhyc3Z6cmR1YRITUy4gRW5yaXF1ZXogR2VwcGVydGorChRzdWdnZXN0Lmd1bGkzaWs0eWIzMhITUy4gRW5yaXF1ZXogR2VwcGVydGokChRzdWdnZXN0LngwcDZkZ29qanM2MhIMTW9ydGVuIExpZXR6aicKFHN1Z2dlc3QueGU2bTVkeDdqdzE4Eg9NaWNoaWVsIHZhbiBFbGtqKwoUc3VnZ2VzdC5tano5NGU3M3BwOTUSE1MuIEVucmlxdWV6IEdlcHBlcnRqJQoSc3VnZ2VzdC4yNHo2a3JxNnFwEg9NaWNoaWVsIHZhbiBFbGtqKwoUc3VnZ2VzdC5iYno1dTFzMzE4MTMSE1MuIEVucmlxdWV6IEdlcHBlcnRqJwoUc3VnZ2VzdC4ybnNqOW10Zjh3cGkSD01pY2hpZWwgdmFuIEVsa2oqChNzdWdnZXN0Ljg5dmpvMzd0NnB5EhNTLiBFbnJpcXVleiBHZXBwZXJ0aicKFHN1Z2dlc3QuMzNvNDFhZDBpOXNjEg9NaWNoaWVsIHZhbiBFbGtqKwoUc3VnZ2VzdC5xemZ2MGdnN29vOG8SE1MuIEVucmlxdWV6IEdlcHBlcnRqJwoUc3VnZ2VzdC5ybDN4c2RuZTF2Z3kSD01pY2hpZWwgdmFuIEVsa2oqChNzdWdnZXN0LjNmbTIxMmZzbnBxEhNTLiBFbnJpcXVleiBHZXBwZXJ0aisKFHN1Z2dlc3QueHZkcGh2NDc5NnJ6EhNTLiBFbnJpcXVleiBHZXBwZXJ0aiQKFHN1Z2dlc3QubG13NW92dW1yb2pvEgxNb3J0ZW4gTGlldHpqKwoUc3VnZ2VzdC5qeXBqZ2FvOWUzbXESE1MuIEVucmlxdWV6IEdlcHBlcnRqKwoUc3VnZ2VzdC50MTNlN2Rqd3I3dHUSE1MuIEVucmlxdWV6IEdlcHBlcnRqKwoUc3VnZ2VzdC54cGZhNm56YnFncTISE1MuIEVucmlxdWV6IEdlcHBlcnRqKwoUc3VnZ2VzdC45dHFyaHpwMnozNG0SE1MuIEVucmlxdWV6IEdlcHBlcnRqKwoUc3VnZ2VzdC54YzJmOWxucTVpaGgSE1MuIEVucmlxdWV6IEdlcHBlcnRqKwoUc3VnZ2VzdC53ZGlrc3VhdHc2cWESE1MuIEVucmlxdWV6IEdlcHBlcnRqKwoUc3VnZ2VzdC42bWlsaWp1Yjl1cmESE1MuIEVucmlxdWV6IEdlcHBlcnRqKwoUc3VnZ2VzdC5lcGp2ZG1iNDl5cDYSE1MuIEVucmlxdWV6IEdlcHBlcnRqKwoUc3VnZ2VzdC5iZmpldDR1eG50NW0SE1MuIEVucmlxdWV6IEdlcHBlcnRqJAoUc3VnZ2VzdC51MnhsNWl5OWozNnQSDE1vcnRlbiBMaWV0emokChRzdWdnZXN0LmM1Z2M2bGplMDM2aBIMTW9ydGVuIExpZXR6aisKFHN1Z2dlc3QudzB1eDBnbjY4cWpqEhNTLiBFbnJpcXVleiBHZXBwZXJ0aisKFHN1Z2dlc3QuY2pxbW9tcTIxYWc1EhNTLiBFbnJpcXVleiBHZXBwZXJ0aiQKFHN1Z2dlc3QubDVhNGg0ODBzbHN4EgxNb3J0ZW4gTGlldHpqKwoUc3VnZ2VzdC5rNTEzdTRzYmk2dmQSE1MuIEVucmlxdWV6IEdlcHBlcnRqKwoUc3VnZ2VzdC5tMXhmcjM3dXRwMmUSE1MuIEVucmlxdWV6IEdlcHBlcnRqKwoUc3VnZ2VzdC4zZHprc2dmdGgxdXQSE1MuIEVucmlxdWV6IEdlcHBlcnRqKwoUc3VnZ2VzdC54aHd2Y2o4cGp6ZjUSE1MuIEVucmlxdWV6IEdlcHBlcnRqKgoTc3VnZ2VzdC5yYmF5bWFrYjAzcRITUy4gRW5yaXF1ZXogR2VwcGVydGorChRzdWdnZXN0Lmt5dzhqZWxvc2FqNhITUy4gRW5yaXF1ZXogR2VwcGVydGorChRzdWdnZXN0Lm1tZ2pic21xcHpnNBITUy4gRW5yaXF1ZXogR2VwcGVydGorChRzdWdnZXN0LjV1NzR6c2oybHhpaBITUy4gRW5yaXF1ZXogR2VwcGVydGorChRzdWdnZXN0LnBrYXl1bnNyZ2JyaxITUy4gRW5yaXF1ZXogR2VwcGVydGorChRzdWdnZXN0LnAyMjVhY2tveW1pYhITUy4gRW5yaXF1ZXogR2VwcGVydGorChRzdWdnZXN0LmhoYWFqeXJ5YWQ2cxITUy4gRW5yaXF1ZXogR2VwcGVydGorChRzdWdnZXN0LnNuMmVrb3F0MXpuMxITUy4gRW5yaXF1ZXogR2VwcGVydGorChRzdWdnZXN0Lmd0NHBxdnhoZzF5bBITUy4gRW5yaXF1ZXogR2VwcGVydGorChRzdWdnZXN0LnRvdDFzbTNla2txMRITUy4gRW5yaXF1ZXogR2VwcGVydGorChRzdWdnZXN0LjcybGkzdHltNnRvahITUy4gRW5yaXF1ZXogR2VwcGVydGorChRzdWdnZXN0LmpqZjhnMXYwZGxocRITUy4gRW5yaXF1ZXogR2VwcGVydGorChRzdWdnZXN0LmR6cmhpYjM3dzlsNBITUy4gRW5yaXF1ZXogR2VwcGVydGorChRzdWdnZXN0LmV1dWNlcmNnbXcyaxITUy4gRW5yaXF1ZXogR2VwcGVydGorChRzdWdnZXN0LmJic2J0amdmOWc5eBITUy4gRW5yaXF1ZXogR2VwcGVydGorChRzdWdnZXN0LmNhdmJ4c3FsN2YzbBITUy4gRW5yaXF1ZXogR2VwcGVydGorChRzdWdnZXN0LmFyd2R2MnplYnl4NxITUy4gRW5yaXF1ZXogR2VwcGVydGorChRzdWdnZXN0LmdvMjNpZnphZnI0eBITUy4gRW5yaXF1ZXogR2VwcGVydGorChRzdWdnZXN0LjVlZDRvNnQwaWh4YhITUy4gRW5yaXF1ZXogR2VwcGVydGorChRzdWdnZXN0Lm9xdGdrYnhvOGcydhITUy4gRW5yaXF1ZXogR2VwcGVydGorChRzdWdnZXN0LmNobjRyYmR5a29neRITUy4gRW5yaXF1ZXogR2VwcGVydGorChRzdWdnZXN0LnF0ZDN5MHR3djgzMhITUy4gRW5yaXF1ZXogR2VwcGVydGorChRzdWdnZXN0Ljc1OGpydzloczlqMxITUy4gRW5yaXF1ZXogR2VwcGVydGorChRzdWdnZXN0LmM1ODQ2MTFtbTFoeRITUy4gRW5yaXF1ZXogR2VwcGVydGorChRzdWdnZXN0LjNoZnA2OHJiY2IyMRITUy4gRW5yaXF1ZXogR2VwcGVydGorChRzdWdnZXN0LnU1Y2s2dGIxZXhpeRITUy4gRW5yaXF1ZXogR2VwcGVydGorChRzdWdnZXN0Ljh4N3J0Mzh0eTJtYRITUy4gRW5yaXF1ZXogR2VwcGVydGorChRzdWdnZXN0Lmc2YXA4ODNqZHl2ZhITUy4gRW5yaXF1ZXogR2VwcGVydGokChRzdWdnZXN0LjJqNTlwaGE0aHNxNhIMTW9ydGVuIExpZXR6aisKFHN1Z2dlc3Qub3dvdXBkeXkwOGhtEhNTLiBFbnJpcXVleiBHZXBwZXJ0aioKE3N1Z2dlc3QuNmVxcTI2NWxmaWsSE1MuIEVucmlxdWV6IEdlcHBlcnRqKwoUc3VnZ2VzdC45azBwODY4OHQwMjMSE1MuIEVucmlxdWV6IEdlcHBlcnRqKwoUc3VnZ2VzdC5scDFqc2xrdXc0a3USE1MuIEVucmlxdWV6IEdlcHBlcnRqKwoUc3VnZ2VzdC5mdzN6YWhjbGYwZGESE1MuIEVucmlxdWV6IEdlcHBlcnRqKwoUc3VnZ2VzdC44OHphbW41Nmd0ZHISE1MuIEVucmlxdWV6IEdlcHBlcnRqKwoUc3VnZ2VzdC5sZmVsOWNkNTUxZ3MSE1MuIEVucmlxdWV6IEdlcHBlcnRqKwoUc3VnZ2VzdC5nbnVkNTUya2VtOWMSE1MuIEVucmlxdWV6IEdlcHBlcnRqJAoUc3VnZ2VzdC56MmpqemtmZm0yYnkSDE1vcnRlbiBMaWV0emojChNzdWdnZXN0LjMxMDdvaHlkY3RoEgxNb3J0ZW4gTGlldHpqKwoUc3VnZ2VzdC5qZm50eGkxdWhhbDISE1MuIEVucmlxdWV6IEdlcHBlcnRqKwoUc3VnZ2VzdC45Z3Fnd3pwNmF6OG0SE1MuIEVucmlxdWV6IEdlcHBlcnRqKwoUc3VnZ2VzdC5qemRjajh3aHcyNmUSE1MuIEVucmlxdWV6IEdlcHBlcnRqKgoTc3VnZ2VzdC54aTF4YzZ4eDB3bBITUy4gRW5yaXF1ZXogR2VwcGVydGorChRzdWdnZXN0Lnhtdmc4N2k5eWRwaRITUy4gRW5yaXF1ZXogR2VwcGVydGorChRzdWdnZXN0LnI4d2JmZ2Q0MDA3MhITUy4gRW5yaXF1ZXogR2VwcGVydGorChRzdWdnZXN0LnF1bmtoaWdsaGU0MxITUy4gRW5yaXF1ZXogR2VwcGVydGorChRzdWdnZXN0LnBxcGtxcnlrYWx1dhITUy4gRW5yaXF1ZXogR2VwcGVydGorChRzdWdnZXN0Lm5lcnEwbHhyMHdlYhITUy4gRW5yaXF1ZXogR2VwcGVydGoqChNzdWdnZXN0LmxsNTZuYmRma3lzEhNTLiBFbnJpcXVleiBHZXBwZXJ0aisKFHN1Z2dlc3Qub2cwZXdxbHlud29xEhNTLiBFbnJpcXVleiBHZXBwZXJ0aiQKFHN1Z2dlc3QuZHpmdGY1M3N5bmZ1EgxNb3J0ZW4gTGlldHpqKwoUc3VnZ2VzdC51b3Yxbng4NjA4dHkSE1MuIEVucmlxdWV6IEdlcHBlcnRqKwoUc3VnZ2VzdC41cGM3bmU2emMxM2wSE1MuIEVucmlxdWV6IEdlcHBlcnRqKwoUc3VnZ2VzdC54YzZzem4yd2ZsbGgSE1MuIEVucmlxdWV6IEdlcHBlcnRqKgoTc3VnZ2VzdC41ODZrY3EyemoycxITUy4gRW5yaXF1ZXogR2VwcGVydGoqChNzdWdnZXN0LjU5cmx6cHdrOG53EhNTLiBFbnJpcXVleiBHZXBwZXJ0aisKFHN1Z2dlc3QubG04Y20xdmgxYTlmEhNTLiBFbnJpcXVleiBHZXBwZXJ0aisKFHN1Z2dlc3QucWxiczZxMnBwN3VpEhNTLiBFbnJpcXVleiBHZXBwZXJ0aisKFHN1Z2dlc3QuZXV0ejFoNWtlMm44EhNTLiBFbnJpcXVleiBHZXBwZXJ0aisKFHN1Z2dlc3QudDBpNTVzaXZxZ20xEhNTLiBFbnJpcXVleiBHZXBwZXJ0aisKFHN1Z2dlc3QuZDY1M3Z4b3g4OHMyEhNTLiBFbnJpcXVleiBHZXBwZXJ0aisKFHN1Z2dlc3QuaWs1aHY2bHM4cXFlEhNTLiBFbnJpcXVleiBHZXBwZXJ0aisKFHN1Z2dlc3QuajdwaWN3NXF6bzVjEhNTLiBFbnJpcXVleiBHZXBwZXJ0aisKFHN1Z2dlc3QudG44N2liYTY5ZGlxEhNTLiBFbnJpcXVleiBHZXBwZXJ0aisKFHN1Z2dlc3QuZDhqbHVyeDZicTJuEhNTLiBFbnJpcXVleiBHZXBwZXJ0aisKFHN1Z2dlc3QuZGliYXRmNTJnanozEhNTLiBFbnJpcXVleiBHZXBwZXJ0aisKFHN1Z2dlc3QuNGJxOTNjc3ZjNG9vEhNTLiBFbnJpcXVleiBHZXBwZXJ0aisKFHN1Z2dlc3QudGszbWJjcTYxM2pjEhNTLiBFbnJpcXVleiBHZXBwZXJ0aisKFHN1Z2dlc3QuaDQxczhwb2RrZzY4EhNTLiBFbnJpcXVleiBHZXBwZXJ0aisKFHN1Z2dlc3QubzN1bGNzbGg0NzdnEhNTLiBFbnJpcXVleiBHZXBwZXJ0aisKFHN1Z2dlc3QuNDAxeXk0aHdycW1wEhNTLiBFbnJpcXVleiBHZXBwZXJ0aisKFHN1Z2dlc3QuMzBxNmF6OWRkMWU5EhNTLiBFbnJpcXVleiBHZXBwZXJ0aisKFHN1Z2dlc3Qudm54NTN6dTN1cG1mEhNTLiBFbnJpcXVleiBHZXBwZXJ0aisKFHN1Z2dlc3QuN29hZ3RoNWc5cHZyEhNTLiBFbnJpcXVleiBHZXBwZXJ0aisKFHN1Z2dlc3QuOGQzZWltY3YzeTNzEhNTLiBFbnJpcXVleiBHZXBwZXJ0aioKE3N1Z2dlc3QuOGM2aHhrMmducHoSE1MuIEVucmlxdWV6IEdlcHBlcnRqKwoUc3VnZ2VzdC5neXJ0NGNicGZuNWYSE1MuIEVucmlxdWV6IEdlcHBlcnRqKwoUc3VnZ2VzdC5kYzVnengzZ3Z6YnUSE1MuIEVucmlxdWV6IEdlcHBlcnRqKgoTc3VnZ2VzdC55OHp2MXFjM2VraBITUy4gRW5yaXF1ZXogR2VwcGVydGorChRzdWdnZXN0Lmx6cjVxeWthZDlmbBITUy4gRW5yaXF1ZXogR2VwcGVydGorChRzdWdnZXN0LmoxdGgwcjNrbnIwNxITUy4gRW5yaXF1ZXogR2VwcGVydGorChRzdWdnZXN0LjJjNnVxZWI1OGYzeRITUy4gRW5yaXF1ZXogR2VwcGVydGorChRzdWdnZXN0Ljk3Y3pzYzY5Y2NibRITUy4gRW5yaXF1ZXogR2VwcGVydGorChRzdWdnZXN0Lm80OWFweDNxMGoweBITUy4gRW5yaXF1ZXogR2VwcGVydGorChRzdWdnZXN0Lmd6bWRxdmppd2pnNBITUy4gRW5yaXF1ZXogR2VwcGVydGonChRzdWdnZXN0LnZhMnphdXBxc3JmdhIPTWljaGllbCB2YW4gRWxraicKFHN1Z2dlc3QuNHIzbmJya216YndsEg9NaWNoaWVsIHZhbiBFbGtqJwoUc3VnZ2VzdC5lY3VtMTB4azdzYWcSD01pY2hpZWwgdmFuIEVsa2orChRzdWdnZXN0LnBpZDB5NXR0eGF5NhITUy4gRW5yaXF1ZXogR2VwcGVydGonChRzdWdnZXN0LnRmNG5tbXAxeXluMRIPTWljaGllbCB2YW4gRWxraicKFHN1Z2dlc3QuampycW42cjRiMDM1Eg9NaWNoaWVsIHZhbiBFbGtqJwoUc3VnZ2VzdC44cDdidWF1OGxjNWMSD01pY2hpZWwgdmFuIEVsa2onChRzdWdnZXN0LmF0ajg3c2hidzZ1bhIPTWljaGllbCB2YW4gRWxraisKFHN1Z2dlc3QuZDFyMGRnamhhNjF1EhNTLiBFbnJpcXVleiBHZXBwZXJ0aicKFHN1Z2dlc3QueXF0NGpoZm1mZXlxEg9NaWNoaWVsIHZhbiBFbGtqJwoUc3VnZ2VzdC43aGVjY25icnRydTkSD01pY2hpZWwgdmFuIEVsa2onChRzdWdnZXN0LmVkcDdlZXVrcTJ1dBIPTWljaGllbCB2YW4gRWxraiYKE3N1Z2dlc3Qudm9qbGtocno5bHUSD01pY2hpZWwgdmFuIEVsa2onChRzdWdnZXN0LnhvNGV5ZDV5YTYybhIPTWljaGllbCB2YW4gRWxraicKFHN1Z2dlc3QuaGZqb3AwdXdzbnFyEg9NaWNoaWVsIHZhbiBFbGtqKwoUc3VnZ2VzdC43dnhsMTBjcGs5c2kSE1MuIEVucmlxdWV6IEdlcHBlcnRqJwoUc3VnZ2VzdC42bHBldjVyaGtlcjESD01pY2hpZWwgdmFuIEVsa2onChRzdWdnZXN0LmhkajAzcHB1NzhubxIPTWljaGllbCB2YW4gRWxraicKFHN1Z2dlc3QucXFycHU5d3FjczhoEg9NaWNoaWVsIHZhbiBFbGtqKwoUc3VnZ2VzdC5uM3RzdG51cGVvN2wSE1MuIEVucmlxdWV6IEdlcHBlcnRqJwoUc3VnZ2VzdC52cXRraTZjaDY3eGsSD01pY2hpZWwgdmFuIEVsa2onChRzdWdnZXN0LmNvdGU3ZTcwMHE2MRIPTWljaGllbCB2YW4gRWxraicKFHN1Z2dlc3QuMnJzYmFwZnpyM2kyEg9NaWNoaWVsIHZhbiBFbGtqJwoUc3VnZ2VzdC5tcmhjYzVxOTJ5NmwSD01pY2hpZWwgdmFuIEVsa2omChNzdWdnZXN0LjNya3lpcjN4b3BmEg9NaWNoaWVsIHZhbiBFbGtqJwoUc3VnZ2VzdC54azBrNGJsd25jcWwSD01pY2hpZWwgdmFuIEVsa2onChRzdWdnZXN0LjliaWJtcDcyd2FrZBIPTWljaGllbCB2YW4gRWxraicKFHN1Z2dlc3QubG4zYjdhNjdnN3c3Eg9NaWNoaWVsIHZhbiBFbGtqJwoUc3VnZ2VzdC5xNnJsdjdmMG1hMmMSD01pY2hpZWwgdmFuIEVsa2onChRzdWdnZXN0LjVxOWRjZ2loZGFtbBIPTWljaGllbCB2YW4gRWxraioKE3N1Z2dlc3Qucm1odThhYmw3MGgSE1MuIEVucmlxdWV6IEdlcHBlcnRqJgoTc3VnZ2VzdC5sYXdkbmtsbDR6cRIPTWljaGllbCB2YW4gRWxraicKFHN1Z2dlc3QucmEydndlbHhrZGp3Eg9NaWNoaWVsIHZhbiBFbGtqJwoUc3VnZ2VzdC44OWZuaXAydmFlcjISD01pY2hpZWwgdmFuIEVsa2onChRzdWdnZXN0LjczNHVneXc2dDl2ahIPTWljaGllbCB2YW4gRWxraicKFHN1Z2dlc3QuamVwbWVyaHgyMm4wEg9NaWNoaWVsIHZhbiBFbGtqJwoUc3VnZ2VzdC40M2tvajNsZXoyMTUSD01pY2hpZWwgdmFuIEVsa2onChRzdWdnZXN0LjgxM3dyZjZ5MjM1dRIPTWljaGllbCB2YW4gRWxraicKFHN1Z2dlc3QuMjB3ejFuOWJ6dnQwEg9NaWNoaWVsIHZhbiBFbGtqKwoUc3VnZ2VzdC43ZzFrNnpqNDB5OTISE1MuIEVucmlxdWV6IEdlcHBlcnRqJwoUc3VnZ2VzdC4xc2NweDNibzlhOG0SD01pY2hpZWwgdmFuIEVsa2omChNzdWdnZXN0LjVwaW5jMmlmYzlvEg9NaWNoaWVsIHZhbiBFbGtqKwoUc3VnZ2VzdC53NWtsYjFhcjk5amcSE1MuIEVucmlxdWV6IEdlcHBlcnRqJwoUc3VnZ2VzdC4ydDBsOG5hdWNzaXESD01pY2hpZWwgdmFuIEVsa2onChRzdWdnZXN0LnpkMG9sNTJuaGV0ORIPTWljaGllbCB2YW4gRWxraicKFHN1Z2dlc3QuZGJ4dGQwZTQ3azFnEg9NaWNoaWVsIHZhbiBFbGtqJwoUc3VnZ2VzdC5mdGo2ZWo2cjI2c3USD01pY2hpZWwgdmFuIEVsa2onChRzdWdnZXN0LndoMnFpOGU5Z3h6dhIPTWljaGllbCB2YW4gRWxraicKFHN1Z2dlc3QuMjl5bHJweWNncWh0Eg9NaWNoaWVsIHZhbiBFbGtqKwoUc3VnZ2VzdC52eGM0NGlnZWpoZnASE1MuIEVucmlxdWV6IEdlcHBlcnRqKwoUc3VnZ2VzdC5teWU5eWdvd3dmM3kSE1MuIEVucmlxdWV6IEdlcHBlcnRqJwoUc3VnZ2VzdC55OWFycGxqZjlocmwSD01pY2hpZWwgdmFuIEVsa2orChRzdWdnZXN0Lm4wOWd0NWkyYmZxbRITUy4gRW5yaXF1ZXogR2VwcGVydGonChRzdWdnZXN0Lmw4bmdrM2VueDFpNBIPTWljaGllbCB2YW4gRWxraicKFHN1Z2dlc3QubmpjdnlnOHU0bng2Eg9NaWNoaWVsIHZhbiBFbGtqJwoUc3VnZ2VzdC50a3Awajd2dWljN2ISD01pY2hpZWwgdmFuIEVsa2orChRzdWdnZXN0LmJ3YXVsZzhvNDFpbBITUy4gRW5yaXF1ZXogR2VwcGVydGorChRzdWdnZXN0LjJrZWN4cHFwbzYxNhITUy4gRW5yaXF1ZXogR2VwcGVydGonChRzdWdnZXN0Ljl4Z3Vxb2ZpNnp0cxIPTWljaGllbCB2YW4gRWxraicKFHN1Z2dlc3Qud3o2ZWF4bTE2dW11Eg9NaWNoaWVsIHZhbiBFbGtqJwoUc3VnZ2VzdC50Nnd4am9wdDQzM3ISD01pY2hpZWwgdmFuIEVsa2onChRzdWdnZXN0Ljh2NWJod2Zqb2lncBIPTWljaGllbCB2YW4gRWxraicKFHN1Z2dlc3QubGxrNWNkaGw5cjR6Eg9NaWNoaWVsIHZhbiBFbGtqJwoUc3VnZ2VzdC40aHJ1YjBxcXRtbTQSD01pY2hpZWwgdmFuIEVsa2onChRzdWdnZXN0LmY2c2hnZGt5aGE3ehIPTWljaGllbCB2YW4gRWxraicKFHN1Z2dlc3QuNjljMHhkMjVuM3p3Eg9NaWNoaWVsIHZhbiBFbGtqJwoUc3VnZ2VzdC4xdHFqcWw1czR3ZXkSD01pY2hpZWwgdmFuIEVsa2onChRzdWdnZXN0Lnoxd2FjYzJzdnBydxIPTWljaGllbCB2YW4gRWxraicKFHN1Z2dlc3QuOTUxbTU0YTV5NGpuEg9NaWNoaWVsIHZhbiBFbGtqKwoUc3VnZ2VzdC5uYXA1Z2l3Y2x2ZDYSE1MuIEVucmlxdWV6IEdlcHBlcnRqJwoUc3VnZ2VzdC41cTBuYmlxamI2ZWkSD01pY2hpZWwgdmFuIEVsa2onChRzdWdnZXN0LjdpOHR4eXBma3RnMRIPTWljaGllbCB2YW4gRWxraisKFHN1Z2dlc3QubDlob3E3dHIwd2p4EhNTLiBFbnJpcXVleiBHZXBwZXJ0aicKFHN1Z2dlc3QuNm1wYnZ5cndhYXBiEg9NaWNoaWVsIHZhbiBFbGtqJwoUc3VnZ2VzdC5icmZya3o2cjZlangSD01pY2hpZWwgdmFuIEVsa2onChRzdWdnZXN0LnA0enNudG1manZmNhIPTWljaGllbCB2YW4gRWxraicKFHN1Z2dlc3QuanY5MHpidzNuZGoxEg9NaWNoaWVsIHZhbiBFbGtqKwoUc3VnZ2VzdC5zcGN6NWJ4c3p4NzUSE1MuIEVucmlxdWV6IEdlcHBlcnRqJgoTc3VnZ2VzdC5qYjQ0b3V2MnFzeBIPTWljaGllbCB2YW4gRWxraisKFHN1Z2dlc3QuODB0c2N5M3JuNWY2EhNTLiBFbnJpcXVleiBHZXBwZXJ0aicKFHN1Z2dlc3QuZHU4bG9oanZnbjVtEg9NaWNoaWVsIHZhbiBFbGtqJwoUc3VnZ2VzdC43YTNjeThxamMxNGISD01pY2hpZWwgdmFuIEVsa2omChNzdWdnZXN0LnQ5eHk5dmVveGNiEg9NaWNoaWVsIHZhbiBFbGtqJwoUc3VnZ2VzdC41cTZhbXBrcWkzZzcSD01pY2hpZWwgdmFuIEVsa2onChRzdWdnZXN0Lm40YzdwYzdibXpndhIPTWljaGllbCB2YW4gRWxraicKFHN1Z2dlc3QuYXV6OGliYW4zcmZ3Eg9NaWNoaWVsIHZhbiBFbGtqKwoUc3VnZ2VzdC52am5wMm16NmNwc2USE1MuIEVucmlxdWV6IEdlcHBlcnRqJwoUc3VnZ2VzdC5pZXQzaXlnZmh2ejESD01pY2hpZWwgdmFuIEVsa2onChRzdWdnZXN0LmxpaG9qOW9wcW1laxIPTWljaGllbCB2YW4gRWxraicKFHN1Z2dlc3QuN3E1MG1yZzl0aGY1Eg9NaWNoaWVsIHZhbiBFbGtqJwoUc3VnZ2VzdC54bm84NGQyeG95NWgSD01pY2hpZWwgdmFuIEVsa2orChRzdWdnZXN0LmE5bThvYWkxN3lwdRITUy4gRW5yaXF1ZXogR2VwcGVydGonChRzdWdnZXN0Lno1YWN5emtjd3kybxIPTWljaGllbCB2YW4gRWxraicKFHN1Z2dlc3QuZXo4MzZ2cDVhYnIyEg9NaWNoaWVsIHZhbiBFbGtqJwoUc3VnZ2VzdC5paXNjOGhtb3VxNW8SD01pY2hpZWwgdmFuIEVsa2onChRzdWdnZXN0LjFmM20zZ2g5c3h1ZxIPTWljaGllbCB2YW4gRWxraicKFHN1Z2dlc3QucWxpZmd2dXBsZzk0Eg9NaWNoaWVsIHZhbiBFbGtqJgoTc3VnZ2VzdC5qM2Npdno5MDZsMBIPTWljaGllbCB2YW4gRWxraicKFHN1Z2dlc3QuY2RjZjgycWlkbHh1Eg9NaWNoaWVsIHZhbiBFbGtqJwoUc3VnZ2VzdC5ld284Z29sZWM4MnISD01pY2hpZWwgdmFuIEVsa2onChRzdWdnZXN0LjR2MWV3YmkyOXc5dhIPTWljaGllbCB2YW4gRWxraicKFHN1Z2dlc3QueHM4YXYxeGxlcmE1Eg9NaWNoaWVsIHZhbiBFbGtqJwoUc3VnZ2VzdC5yNWgwYmx1NzM3eW0SD01pY2hpZWwgdmFuIEVsa2onChRzdWdnZXN0LmVtMnJsb29weDh3MBIPTWljaGllbCB2YW4gRWxraicKFHN1Z2dlc3Qub2J0YnQxdjl6bzI1Eg9NaWNoaWVsIHZhbiBFbGtqKwoUc3VnZ2VzdC5qN2Ewc2JjYXNoeHYSE1MuIEVucmlxdWV6IEdlcHBlcnRqJwoUc3VnZ2VzdC42dmt1MXF2MXowdmYSD01pY2hpZWwgdmFuIEVsa2onChRzdWdnZXN0LmluMGp3YnBvcjh3bRIPTWljaGllbCB2YW4gRWxraicKFHN1Z2dlc3QuMnUzN200OHJqc3JzEg9NaWNoaWVsIHZhbiBFbGtqKwoUc3VnZ2VzdC5mM2RmNjZnbHBza24SE1MuIEVucmlxdWV6IEdlcHBlcnRqJwoUc3VnZ2VzdC43b2M5cG8ydjdmeHISD01pY2hpZWwgdmFuIEVsa2orChRzdWdnZXN0LjRhczM5ankxOGRueRITUy4gRW5yaXF1ZXogR2VwcGVydGorChRzdWdnZXN0Lmt6bjN0cGk0cGdveBITUy4gRW5yaXF1ZXogR2VwcGVydGonChRzdWdnZXN0LnJoMGRtd3AwcWh3ZRIPTWljaGllbCB2YW4gRWxraicKFHN1Z2dlc3QuaWU3djhkNHB1aWxuEg9NaWNoaWVsIHZhbiBFbGtqJwoUc3VnZ2VzdC5zc2QwcjY0dHkyNncSD01pY2hpZWwgdmFuIEVsa2onChRzdWdnZXN0LmRiZjMzaXBvemViZRIPTWljaGllbCB2YW4gRWxraicKFHN1Z2dlc3QuMzkwcHlqNGptampjEg9NaWNoaWVsIHZhbiBFbGtqJwoUc3VnZ2VzdC40MHFkeWNsc241emsSD01pY2hpZWwgdmFuIEVsa2orChRzdWdnZXN0Lmk4YjRhZjJ2OXgxNxITUy4gRW5yaXF1ZXogR2VwcGVydGonChRzdWdnZXN0Lm4wYm9vZnJsb2IzNhIPTWljaGllbCB2YW4gRWxraicKFHN1Z2dlc3QueHV4Mmg1M2d3YzVjEg9NaWNoaWVsIHZhbiBFbGtqJwoUc3VnZ2VzdC44d3h1dTc3NmxsdmESD01pY2hpZWwgdmFuIEVsa2onChRzdWdnZXN0LmlnbDI3dDM3NHViZxIPTWljaGllbCB2YW4gRWxraisKFHN1Z2dlc3QuYmptNHdpbjM5NzlzEhNTLiBFbnJpcXVleiBHZXBwZXJ0aicKFHN1Z2dlc3QuZTNhYmxmN3cwc2gzEg9NaWNoaWVsIHZhbiBFbGtqJwoUc3VnZ2VzdC4zeXY1M2l2NWRmb2ISD01pY2hpZWwgdmFuIEVsa3IhMUF1WnZTMGxGU1NzQjdhOFVYSVF2eU1hblpBaHlZTWZ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16185</Words>
  <Characters>98518</Characters>
  <Application>Microsoft Office Word</Application>
  <DocSecurity>0</DocSecurity>
  <Lines>2010</Lines>
  <Paragraphs>663</Paragraphs>
  <ScaleCrop>false</ScaleCrop>
  <Company/>
  <LinksUpToDate>false</LinksUpToDate>
  <CharactersWithSpaces>114040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Parsa Yousefi</cp:lastModifiedBy>
  <cp:revision>148</cp:revision>
  <dcterms:created xsi:type="dcterms:W3CDTF">2024-07-19T19:12:00Z</dcterms:created>
  <dcterms:modified xsi:type="dcterms:W3CDTF">2024-07-22T17:27:00Z</dcterms:modified>
</cp:coreProperties>
</file>