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C5E8F">
      <w:pPr>
        <w:jc w:val="center"/>
        <w:rPr>
          <w:b/>
          <w:bCs/>
          <w:color w:val="203864" w:themeColor="accent1" w:themeShade="80"/>
          <w:sz w:val="48"/>
          <w:szCs w:val="48"/>
        </w:rPr>
      </w:pPr>
      <w:bookmarkStart w:id="1" w:name="_GoBack"/>
      <w:bookmarkEnd w:id="1"/>
      <w:r>
        <w:pict>
          <v:shape id="_x0000_s1028" o:spid="_x0000_s1028" o:spt="75" type="#_x0000_t75" style="position:absolute;left:0pt;height:92.3pt;width:162.85pt;mso-position-horizontal:right;mso-position-horizontal-relative:margin;mso-position-vertical:top;mso-position-vertical-relative:margin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LogoMonoTon"/>
            <o:lock v:ext="edit" aspectratio="t"/>
            <w10:wrap type="square"/>
          </v:shape>
        </w:pict>
      </w:r>
      <w:r>
        <w:rPr>
          <w:b/>
          <w:bCs/>
          <w:color w:val="203864" w:themeColor="accent1" w:themeShade="80"/>
          <w:sz w:val="48"/>
          <w:szCs w:val="48"/>
        </w:rPr>
        <w:t>Мануал по эксплуатации дрона</w:t>
      </w:r>
    </w:p>
    <w:p w14:paraId="3BD0F3A7">
      <w:pPr>
        <w:jc w:val="center"/>
        <w:rPr>
          <w:b/>
          <w:bCs/>
          <w:color w:val="203864" w:themeColor="accent1" w:themeShade="80"/>
          <w:sz w:val="48"/>
          <w:szCs w:val="48"/>
        </w:rPr>
      </w:pPr>
    </w:p>
    <w:p w14:paraId="599018D5">
      <w:pPr>
        <w:rPr>
          <w:b/>
          <w:bCs/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52"/>
          <w:szCs w:val="52"/>
        </w:rPr>
        <w:t>Беспилотная роботизированная платформа</w:t>
      </w:r>
    </w:p>
    <w:p w14:paraId="07C8373B">
      <w:pPr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Версия 1.0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Разработчик:</w:t>
      </w: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8"/>
          <w:szCs w:val="28"/>
        </w:rPr>
        <w:t>МКБ "Аврора"</w:t>
      </w:r>
      <w:r>
        <w:rPr>
          <w:sz w:val="28"/>
          <w:szCs w:val="28"/>
        </w:rPr>
        <w:br w:type="textWrapping"/>
      </w: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Дата:</w:t>
      </w: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8"/>
          <w:szCs w:val="28"/>
        </w:rPr>
        <w:t>23 октября 2024 года</w:t>
      </w:r>
    </w:p>
    <w:p w14:paraId="26FB8131">
      <w:r>
        <w:pict>
          <v:rect id="_x0000_i1025" o:spt="1" style="height:1.5pt;width:467.75pt;" fillcolor="#4472C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BAA9F">
      <w:pPr>
        <w:rPr>
          <w:b/>
          <w:bCs/>
          <w:color w:val="2F5597" w:themeColor="accent1" w:themeShade="BF"/>
          <w:sz w:val="48"/>
          <w:szCs w:val="48"/>
        </w:rPr>
      </w:pPr>
    </w:p>
    <w:p w14:paraId="1997F577">
      <w:pPr>
        <w:rPr>
          <w:b/>
          <w:bCs/>
          <w:color w:val="203864" w:themeColor="accent1" w:themeShade="80"/>
          <w:sz w:val="48"/>
          <w:szCs w:val="48"/>
        </w:rPr>
      </w:pPr>
      <w:r>
        <w:rPr>
          <w:b/>
          <w:bCs/>
          <w:color w:val="203864" w:themeColor="accent1" w:themeShade="80"/>
          <w:sz w:val="48"/>
          <w:szCs w:val="48"/>
        </w:rPr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6535594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6082EA">
          <w:pPr>
            <w:pStyle w:val="22"/>
            <w:rPr>
              <w:b/>
              <w:bCs/>
              <w:color w:val="203864" w:themeColor="accent1" w:themeShade="80"/>
              <w:sz w:val="36"/>
              <w:szCs w:val="36"/>
            </w:rPr>
          </w:pPr>
        </w:p>
        <w:p w14:paraId="0E67F65B">
          <w:pPr>
            <w:pStyle w:val="8"/>
            <w:tabs>
              <w:tab w:val="right" w:pos="9345"/>
            </w:tabs>
            <w:rPr>
              <w:rFonts w:cstheme="minorBidi"/>
              <w:color w:val="2F5597" w:themeColor="accent1" w:themeShade="BF"/>
              <w:kern w:val="2"/>
              <w:sz w:val="36"/>
              <w:szCs w:val="36"/>
              <w14:ligatures w14:val="standardContextual"/>
            </w:rPr>
          </w:pPr>
          <w:r>
            <w:rPr>
              <w:b/>
              <w:bCs/>
              <w:color w:val="203864" w:themeColor="accent1" w:themeShade="80"/>
              <w:sz w:val="36"/>
              <w:szCs w:val="36"/>
            </w:rPr>
            <w:fldChar w:fldCharType="begin"/>
          </w:r>
          <w:r>
            <w:rPr>
              <w:b/>
              <w:bCs/>
              <w:color w:val="203864" w:themeColor="accent1" w:themeShade="80"/>
              <w:sz w:val="36"/>
              <w:szCs w:val="36"/>
            </w:rPr>
            <w:instrText xml:space="preserve"> TOC \o "1-3" \h \z \u </w:instrText>
          </w:r>
          <w:r>
            <w:rPr>
              <w:b/>
              <w:bCs/>
              <w:color w:val="203864" w:themeColor="accent1" w:themeShade="80"/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"_Toc180180618" </w:instrText>
          </w:r>
          <w:r>
            <w:fldChar w:fldCharType="separate"/>
          </w:r>
          <w:r>
            <w:rPr>
              <w:rStyle w:val="6"/>
              <w:rFonts w:cstheme="minorHAnsi"/>
              <w:b/>
              <w:bCs/>
              <w:color w:val="2F5597" w:themeColor="accent1" w:themeShade="BF"/>
              <w:sz w:val="36"/>
              <w:szCs w:val="36"/>
            </w:rPr>
            <w:t>1. Ограничения по эксплуатации</w:t>
          </w:r>
          <w:r>
            <w:rPr>
              <w:color w:val="2F5597" w:themeColor="accent1" w:themeShade="BF"/>
              <w:sz w:val="36"/>
              <w:szCs w:val="36"/>
            </w:rPr>
            <w:tab/>
          </w:r>
          <w:r>
            <w:rPr>
              <w:color w:val="2F5597" w:themeColor="accent1" w:themeShade="BF"/>
              <w:sz w:val="36"/>
              <w:szCs w:val="36"/>
            </w:rPr>
            <w:fldChar w:fldCharType="begin"/>
          </w:r>
          <w:r>
            <w:rPr>
              <w:color w:val="2F5597" w:themeColor="accent1" w:themeShade="BF"/>
              <w:sz w:val="36"/>
              <w:szCs w:val="36"/>
            </w:rPr>
            <w:instrText xml:space="preserve"> PAGEREF _Toc180180618 \h </w:instrText>
          </w:r>
          <w:r>
            <w:rPr>
              <w:color w:val="2F5597" w:themeColor="accent1" w:themeShade="BF"/>
              <w:sz w:val="36"/>
              <w:szCs w:val="36"/>
            </w:rPr>
            <w:fldChar w:fldCharType="separate"/>
          </w:r>
          <w:r>
            <w:rPr>
              <w:color w:val="2F5597" w:themeColor="accent1" w:themeShade="BF"/>
              <w:sz w:val="36"/>
              <w:szCs w:val="36"/>
            </w:rPr>
            <w:t>2</w:t>
          </w:r>
          <w:r>
            <w:rPr>
              <w:color w:val="2F5597" w:themeColor="accent1" w:themeShade="BF"/>
              <w:sz w:val="36"/>
              <w:szCs w:val="36"/>
            </w:rPr>
            <w:fldChar w:fldCharType="end"/>
          </w:r>
          <w:r>
            <w:rPr>
              <w:color w:val="2F5597" w:themeColor="accent1" w:themeShade="BF"/>
              <w:sz w:val="36"/>
              <w:szCs w:val="36"/>
            </w:rPr>
            <w:fldChar w:fldCharType="end"/>
          </w:r>
        </w:p>
        <w:p w14:paraId="628B0693">
          <w:r>
            <w:rPr>
              <w:b/>
              <w:bCs/>
              <w:color w:val="203864" w:themeColor="accent1" w:themeShade="80"/>
              <w:sz w:val="36"/>
              <w:szCs w:val="36"/>
            </w:rPr>
            <w:fldChar w:fldCharType="end"/>
          </w:r>
        </w:p>
      </w:sdtContent>
    </w:sdt>
    <w:p w14:paraId="4413CCC5">
      <w:pPr>
        <w:rPr>
          <w:b/>
          <w:bCs/>
        </w:rPr>
      </w:pPr>
    </w:p>
    <w:p w14:paraId="2986E70C">
      <w:pPr>
        <w:rPr>
          <w:b/>
          <w:bCs/>
        </w:rPr>
      </w:pPr>
      <w:r>
        <w:rPr>
          <w:b/>
          <w:bCs/>
        </w:rPr>
        <w:br w:type="page"/>
      </w:r>
    </w:p>
    <w:p w14:paraId="00B61B1F">
      <w:r>
        <w:pict>
          <v:rect id="_x0000_i1026" o:spt="1" style="height:1.5pt;width:467.75pt;" fillcolor="#4472C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3B1CB9">
      <w:pPr>
        <w:pStyle w:val="2"/>
        <w:rPr>
          <w:rFonts w:asciiTheme="minorHAnsi" w:hAnsiTheme="minorHAnsi" w:cstheme="minorHAnsi"/>
          <w:b/>
          <w:bCs/>
          <w:color w:val="203864" w:themeColor="accent1" w:themeShade="80"/>
          <w:sz w:val="48"/>
          <w:szCs w:val="48"/>
        </w:rPr>
      </w:pPr>
      <w:bookmarkStart w:id="0" w:name="_Toc180180618"/>
      <w:r>
        <w:rPr>
          <w:rFonts w:asciiTheme="minorHAnsi" w:hAnsiTheme="minorHAnsi" w:cstheme="minorHAnsi"/>
          <w:b/>
          <w:bCs/>
          <w:color w:val="203864" w:themeColor="accent1" w:themeShade="80"/>
          <w:sz w:val="48"/>
          <w:szCs w:val="48"/>
        </w:rPr>
        <w:t xml:space="preserve">1. </w:t>
      </w:r>
      <w:bookmarkEnd w:id="0"/>
      <w:r>
        <w:rPr>
          <w:rFonts w:asciiTheme="minorHAnsi" w:hAnsiTheme="minorHAnsi" w:cstheme="minorHAnsi"/>
          <w:b/>
          <w:bCs/>
          <w:color w:val="203864" w:themeColor="accent1" w:themeShade="80"/>
          <w:sz w:val="48"/>
          <w:szCs w:val="48"/>
        </w:rPr>
        <w:t>Ограничения по эксплуатации</w:t>
      </w:r>
    </w:p>
    <w:p w14:paraId="235F8C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Ограниченная дальность действия сигнала</w:t>
      </w:r>
      <w:r>
        <w:rPr>
          <w:rFonts w:eastAsia="Times New Roman" w:cstheme="minorHAnsi"/>
          <w:sz w:val="24"/>
          <w:szCs w:val="24"/>
          <w:lang w:eastAsia="ru-RU"/>
        </w:rPr>
        <w:t>: Дрон функционирует в пределах частоты 2,4 ГГц, что может ограничить дальность связи между оператором и дроном в зависимости от окружающих условий (препятствия, помехи).</w:t>
      </w:r>
    </w:p>
    <w:p w14:paraId="239C85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Время полета</w:t>
      </w:r>
      <w:r>
        <w:rPr>
          <w:rFonts w:eastAsia="Times New Roman" w:cstheme="minorHAnsi"/>
          <w:sz w:val="24"/>
          <w:szCs w:val="24"/>
          <w:lang w:eastAsia="ru-RU"/>
        </w:rPr>
        <w:t>: Время автономного полета ограничено емкостью аккумулятора (2200 мА·ч), и длительность работы дрона напрямую зависит от нагрузки на двигатели и активных сенсоров.</w:t>
      </w:r>
    </w:p>
    <w:p w14:paraId="46BE2C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Чувствительность к погодным условиям</w:t>
      </w:r>
      <w:r>
        <w:rPr>
          <w:rFonts w:eastAsia="Times New Roman" w:cstheme="minorHAnsi"/>
          <w:sz w:val="24"/>
          <w:szCs w:val="24"/>
          <w:lang w:eastAsia="ru-RU"/>
        </w:rPr>
        <w:t>: Дрон может испытывать сложности при работе в неблагоприятных погодных условиях (дождь, сильный ветер), так как его датчики, включая ультразвуковые, могут некорректно работать при влажности и интенсивном воздушном потоке.</w:t>
      </w:r>
    </w:p>
    <w:p w14:paraId="08C3D5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Ограничения на распознавание поверхности</w:t>
      </w:r>
      <w:r>
        <w:rPr>
          <w:rFonts w:eastAsia="Times New Roman" w:cstheme="minorHAnsi"/>
          <w:sz w:val="24"/>
          <w:szCs w:val="24"/>
          <w:lang w:eastAsia="ru-RU"/>
        </w:rPr>
        <w:t>: Хотя дрон оснащен системой распознавания ландшафта на основе нейросети, точность выбора места посадки может снижаться на неровных поверхностях или при недостаточном освещении.</w:t>
      </w:r>
    </w:p>
    <w:p w14:paraId="5BF524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Ограничения по высоте</w:t>
      </w:r>
      <w:r>
        <w:rPr>
          <w:rFonts w:eastAsia="Times New Roman" w:cstheme="minorHAnsi"/>
          <w:sz w:val="24"/>
          <w:szCs w:val="24"/>
          <w:lang w:eastAsia="ru-RU"/>
        </w:rPr>
        <w:t>: Ультразвуковые датчики имеют диапазон действия от 2 до 400 см, что ограничивает точное измерение высоты на больших высотах.</w:t>
      </w:r>
    </w:p>
    <w:p w14:paraId="6678AC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Ограничения по мощности и напряжению</w:t>
      </w:r>
      <w:r>
        <w:rPr>
          <w:rFonts w:eastAsia="Times New Roman" w:cstheme="minorHAnsi"/>
          <w:sz w:val="24"/>
          <w:szCs w:val="24"/>
          <w:lang w:eastAsia="ru-RU"/>
        </w:rPr>
        <w:t>: Для работы датчиков требуется строгое соблюдение напряжений 5 В и 3,3 В. Превышение этих значений может повредить оборудование.</w:t>
      </w:r>
    </w:p>
    <w:p w14:paraId="3E7CD8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Требования к программному обеспечению</w:t>
      </w:r>
      <w:r>
        <w:rPr>
          <w:rFonts w:eastAsia="Times New Roman" w:cstheme="minorHAnsi"/>
          <w:sz w:val="24"/>
          <w:szCs w:val="24"/>
          <w:lang w:eastAsia="ru-RU"/>
        </w:rPr>
        <w:t>: Дрон работает только с определенными версиями программного обеспечения, включая Python 2.7 и специальные библиотеки. Обновление ПО может потребовать изменения в коде и повторной калибровки системы.</w:t>
      </w:r>
    </w:p>
    <w:p w14:paraId="568A71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Зависимость от калибровки и настройки</w:t>
      </w:r>
      <w:r>
        <w:rPr>
          <w:rFonts w:eastAsia="Times New Roman" w:cstheme="minorHAnsi"/>
          <w:sz w:val="24"/>
          <w:szCs w:val="24"/>
          <w:lang w:eastAsia="ru-RU"/>
        </w:rPr>
        <w:t>: Для корректной работы системы требуется точная калибровка полетного контроллера и датчиков. Неправильная калибровка может привести к ошибкам в полете и посадке.</w:t>
      </w:r>
    </w:p>
    <w:p w14:paraId="7D99E3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 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Ограниченная память для обработки данных</w:t>
      </w:r>
      <w:r>
        <w:rPr>
          <w:rFonts w:eastAsia="Times New Roman" w:cstheme="minorHAnsi"/>
          <w:sz w:val="24"/>
          <w:szCs w:val="24"/>
          <w:lang w:eastAsia="ru-RU"/>
        </w:rPr>
        <w:t>: При длительном полете или активном использовании камеры может возникнуть перегрузка памяти, что приведет к сбоям в работе системы распознавания.</w:t>
      </w:r>
    </w:p>
    <w:p w14:paraId="3A2F4599">
      <w:pPr>
        <w:jc w:val="both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611214"/>
      <w:docPartObj>
        <w:docPartGallery w:val="AutoText"/>
      </w:docPartObj>
    </w:sdtPr>
    <w:sdtEndPr>
      <w:rPr>
        <w:color w:val="4472C4" w:themeColor="accent1"/>
        <w:sz w:val="24"/>
        <w:szCs w:val="24"/>
        <w14:textFill>
          <w14:solidFill>
            <w14:schemeClr w14:val="accent1"/>
          </w14:solidFill>
        </w14:textFill>
      </w:rPr>
    </w:sdtEndPr>
    <w:sdtContent>
      <w:p w14:paraId="01134564">
        <w:pPr>
          <w:pStyle w:val="12"/>
          <w:jc w:val="right"/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</w:pP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t xml:space="preserve">МКБ «Аврора» </w:t>
        </w:r>
        <w:r>
          <w:rPr>
            <w:color w:val="4472C4" w:themeColor="accent1"/>
            <w:sz w:val="24"/>
            <w:szCs w:val="24"/>
            <w:lang w:val="en-US"/>
            <w14:textFill>
              <w14:solidFill>
                <w14:schemeClr w14:val="accent1"/>
              </w14:solidFill>
            </w14:textFill>
          </w:rPr>
          <w:t xml:space="preserve">- </w:t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t xml:space="preserve">Мануал </w:t>
        </w:r>
        <w:r>
          <w:rPr>
            <w:color w:val="4472C4" w:themeColor="accent1"/>
            <w:sz w:val="24"/>
            <w:szCs w:val="24"/>
            <w:lang w:val="en-US"/>
            <w14:textFill>
              <w14:solidFill>
                <w14:schemeClr w14:val="accent1"/>
              </w14:solidFill>
            </w14:textFill>
          </w:rPr>
          <w:t>|</w:t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t xml:space="preserve"> </w:t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fldChar w:fldCharType="begin"/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instrText xml:space="preserve">PAGE   \* MERGEFORMAT</w:instrText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fldChar w:fldCharType="separate"/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t>2</w:t>
        </w:r>
        <w:r>
          <w:rPr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fldChar w:fldCharType="end"/>
        </w:r>
        <w:r>
          <w:rPr>
            <w:color w:val="4472C4" w:themeColor="accent1"/>
            <w:sz w:val="24"/>
            <w:szCs w:val="24"/>
            <w:lang w:val="en-US"/>
            <w14:textFill>
              <w14:solidFill>
                <w14:schemeClr w14:val="accent1"/>
              </w14:solidFill>
            </w14:textFill>
          </w:rPr>
          <w:t xml:space="preserve"> |</w:t>
        </w:r>
      </w:p>
    </w:sdtContent>
  </w:sdt>
  <w:p w14:paraId="71BFF2AB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AE"/>
    <w:rsid w:val="003513F0"/>
    <w:rsid w:val="00391515"/>
    <w:rsid w:val="003E2694"/>
    <w:rsid w:val="004D02A1"/>
    <w:rsid w:val="005C2A9C"/>
    <w:rsid w:val="00684196"/>
    <w:rsid w:val="009030C1"/>
    <w:rsid w:val="00907DF3"/>
    <w:rsid w:val="00975C41"/>
    <w:rsid w:val="009A1421"/>
    <w:rsid w:val="00B22F58"/>
    <w:rsid w:val="00B97799"/>
    <w:rsid w:val="00BA22B3"/>
    <w:rsid w:val="00BF1136"/>
    <w:rsid w:val="00BF59C8"/>
    <w:rsid w:val="00C41442"/>
    <w:rsid w:val="00CB4AF1"/>
    <w:rsid w:val="00DA3F88"/>
    <w:rsid w:val="00EB05AA"/>
    <w:rsid w:val="00EB6AAF"/>
    <w:rsid w:val="00F03F54"/>
    <w:rsid w:val="00F21969"/>
    <w:rsid w:val="00F3713E"/>
    <w:rsid w:val="00F443AE"/>
    <w:rsid w:val="00FB73A0"/>
    <w:rsid w:val="00FC3E22"/>
    <w:rsid w:val="1D8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autoRedefine/>
    <w:unhideWhenUsed/>
    <w:uiPriority w:val="39"/>
    <w:pPr>
      <w:spacing w:after="100"/>
    </w:pPr>
    <w:rPr>
      <w:rFonts w:cs="Times New Roman" w:eastAsiaTheme="minorEastAsia"/>
      <w:lang w:eastAsia="ru-RU"/>
    </w:rPr>
  </w:style>
  <w:style w:type="paragraph" w:styleId="9">
    <w:name w:val="toc 3"/>
    <w:basedOn w:val="1"/>
    <w:next w:val="1"/>
    <w:autoRedefine/>
    <w:unhideWhenUsed/>
    <w:uiPriority w:val="39"/>
    <w:pPr>
      <w:spacing w:after="100"/>
      <w:ind w:left="440"/>
    </w:pPr>
    <w:rPr>
      <w:rFonts w:cs="Times New Roman" w:eastAsiaTheme="minorEastAsia"/>
      <w:lang w:eastAsia="ru-RU"/>
    </w:rPr>
  </w:style>
  <w:style w:type="paragraph" w:styleId="10">
    <w:name w:val="toc 2"/>
    <w:basedOn w:val="1"/>
    <w:next w:val="1"/>
    <w:autoRedefine/>
    <w:unhideWhenUsed/>
    <w:uiPriority w:val="39"/>
    <w:pPr>
      <w:spacing w:after="100"/>
      <w:ind w:left="220"/>
    </w:pPr>
    <w:rPr>
      <w:rFonts w:cs="Times New Roman" w:eastAsiaTheme="minorEastAsia"/>
      <w:lang w:eastAsia="ru-RU"/>
    </w:rPr>
  </w:style>
  <w:style w:type="paragraph" w:styleId="11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Верхний колонтитул Знак"/>
    <w:basedOn w:val="4"/>
    <w:link w:val="7"/>
    <w:uiPriority w:val="99"/>
  </w:style>
  <w:style w:type="character" w:customStyle="1" w:styleId="16">
    <w:name w:val="Нижний колонтитул Знак"/>
    <w:basedOn w:val="4"/>
    <w:link w:val="12"/>
    <w:uiPriority w:val="99"/>
  </w:style>
  <w:style w:type="character" w:styleId="17">
    <w:name w:val="Placeholder Text"/>
    <w:basedOn w:val="4"/>
    <w:semiHidden/>
    <w:uiPriority w:val="99"/>
    <w:rPr>
      <w:color w:val="666666"/>
    </w:rPr>
  </w:style>
  <w:style w:type="character" w:customStyle="1" w:styleId="18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9">
    <w:name w:val="ЗаголовокКастом"/>
    <w:basedOn w:val="1"/>
    <w:link w:val="20"/>
    <w:qFormat/>
    <w:uiPriority w:val="0"/>
    <w:rPr>
      <w:b/>
      <w:bCs/>
      <w:color w:val="203864" w:themeColor="accent1" w:themeShade="80"/>
      <w:sz w:val="48"/>
      <w:szCs w:val="48"/>
    </w:rPr>
  </w:style>
  <w:style w:type="character" w:customStyle="1" w:styleId="20">
    <w:name w:val="ЗаголовокКастом Знак"/>
    <w:basedOn w:val="4"/>
    <w:link w:val="19"/>
    <w:uiPriority w:val="0"/>
    <w:rPr>
      <w:b/>
      <w:bCs/>
      <w:color w:val="203864" w:themeColor="accent1" w:themeShade="80"/>
      <w:sz w:val="48"/>
      <w:szCs w:val="48"/>
    </w:rPr>
  </w:style>
  <w:style w:type="character" w:customStyle="1" w:styleId="21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3">
    <w:name w:val="Название Знак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5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80CA1-A6C1-42B3-8BBC-DD9909E1A5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1819</Characters>
  <Lines>15</Lines>
  <Paragraphs>4</Paragraphs>
  <TotalTime>5</TotalTime>
  <ScaleCrop>false</ScaleCrop>
  <LinksUpToDate>false</LinksUpToDate>
  <CharactersWithSpaces>2134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2024-10-22T18:41:00Z</dcterms:created>
  <dc:creator>Михаил Беленький</dc:creator>
  <cp:lastModifiedBy>Кирилл Лабзин</cp:lastModifiedBy>
  <dcterms:modified xsi:type="dcterms:W3CDTF">2024-10-24T20:53:44Z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CC68A05F2A604522BB9FA5499971C665_13</vt:lpwstr>
  </property>
</Properties>
</file>