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 26262 | Three-Member Engineering Handoff</w:t>
      </w:r>
    </w:p>
    <w:p>
      <w:r>
        <w:t>SIH 2026 • Existing React/Vite/Express prototype • 23 October 2026</w:t>
      </w:r>
    </w:p>
    <w:p>
      <w:r>
        <w:t>Team roles are deliberately numbered Member 1, Member 2, Member 3. This document is the management overview; the ZIP contains full agent contexts, proposed TypeScript contracts, synthetic fixtures, test matrices, and the three original source documents.</w:t>
      </w:r>
    </w:p>
    <w:p>
      <w:pPr>
        <w:pStyle w:val="Heading1"/>
      </w:pPr>
      <w:r>
        <w:t>Executive decision</w:t>
      </w:r>
    </w:p>
    <w:p>
      <w:r>
        <w:t>Preserve the working frontend/build foundation; repair deny-by-default identity, authoritative persistence, and guarded workflow operations first. The final 23-page requirements PDF governs target behavior. Audit/runtime evidence governs what exists today. A 138-page chronological compendium (last page blank) records how those conclusions were reached; the 457-line Codex handoff is the latest proposed technical design, not committed implementation.</w:t>
      </w:r>
    </w:p>
    <w:p>
      <w:pPr>
        <w:pStyle w:val="Heading1"/>
      </w:pPr>
      <w:r>
        <w:t>Actual baseline and limits</w:t>
      </w:r>
    </w:p>
    <w:tbl>
      <w:tblPr>
        <w:tblStyle w:val="LightShading-Accent1"/>
        <w:tblW w:type="auto" w:w="0"/>
        <w:jc w:val="center"/>
        <w:tblLook w:firstColumn="1" w:firstRow="1" w:lastColumn="0" w:lastRow="0" w:noHBand="0" w:noVBand="1" w:val="04A0"/>
      </w:tblPr>
      <w:tblGrid>
        <w:gridCol w:w="5026"/>
        <w:gridCol w:w="5026"/>
      </w:tblGrid>
      <w:tr>
        <w:tc>
          <w:tcPr>
            <w:tcW w:type="dxa" w:w="5026"/>
          </w:tcPr>
          <w:p>
            <w:r>
              <w:t>Item</w:t>
            </w:r>
          </w:p>
        </w:tc>
        <w:tc>
          <w:tcPr>
            <w:tcW w:type="dxa" w:w="5026"/>
          </w:tcPr>
          <w:p>
            <w:r>
              <w:t>Evidence</w:t>
            </w:r>
          </w:p>
        </w:tc>
      </w:tr>
      <w:tr>
        <w:tc>
          <w:tcPr>
            <w:tcW w:type="dxa" w:w="5026"/>
          </w:tcPr>
          <w:p>
            <w:r>
              <w:t>Repository</w:t>
            </w:r>
          </w:p>
        </w:tc>
        <w:tc>
          <w:tcPr>
            <w:tcW w:type="dxa" w:w="5026"/>
          </w:tcPr>
          <w:p>
            <w:r>
              <w:t>Mayuresh-1306/SIH-2026-AICTE; last verified main 0b61969996d512b…</w:t>
            </w:r>
          </w:p>
        </w:tc>
      </w:tr>
      <w:tr>
        <w:tc>
          <w:tcPr>
            <w:tcW w:type="dxa" w:w="5026"/>
          </w:tcPr>
          <w:p>
            <w:r>
              <w:t>Build</w:t>
            </w:r>
          </w:p>
        </w:tc>
        <w:tc>
          <w:tcPr>
            <w:tcW w:type="dxa" w:w="5026"/>
          </w:tcPr>
          <w:p>
            <w:r>
              <w:t>585 frozen Bun dependencies; TS noEmit PASS; Vite build PASS</w:t>
            </w:r>
          </w:p>
        </w:tc>
      </w:tr>
      <w:tr>
        <w:tc>
          <w:tcPr>
            <w:tcW w:type="dxa" w:w="5026"/>
          </w:tcPr>
          <w:p>
            <w:r>
              <w:t>Tests</w:t>
            </w:r>
          </w:p>
        </w:tc>
        <w:tc>
          <w:tcPr>
            <w:tcW w:type="dxa" w:w="5026"/>
          </w:tcPr>
          <w:p>
            <w:r>
              <w:t>8 Node utility + 5 Vitest API individually PASS; default npm test FAIL</w:t>
            </w:r>
          </w:p>
        </w:tc>
      </w:tr>
      <w:tr>
        <w:tc>
          <w:tcPr>
            <w:tcW w:type="dxa" w:w="5026"/>
          </w:tcPr>
          <w:p>
            <w:r>
              <w:t>Observed failures</w:t>
            </w:r>
          </w:p>
        </w:tc>
        <w:tc>
          <w:tcPr>
            <w:tcW w:type="dxa" w:w="5026"/>
          </w:tcPr>
          <w:p>
            <w:r>
              <w:t>Missing/invalid auth, wrong credentials, cross-region list, skipped/arbitrary stages, hardcoded metrics</w:t>
            </w:r>
          </w:p>
        </w:tc>
      </w:tr>
      <w:tr>
        <w:tc>
          <w:tcPr>
            <w:tcW w:type="dxa" w:w="5026"/>
          </w:tcPr>
          <w:p>
            <w:r>
              <w:t>Frontend runtime</w:t>
            </w:r>
          </w:p>
        </w:tc>
        <w:tc>
          <w:tcPr>
            <w:tcW w:type="dxa" w:w="5026"/>
          </w:tcPr>
          <w:p>
            <w:r>
              <w:t>BLOCKED: Chrome GPU startup before navigation; source UI still useful</w:t>
            </w:r>
          </w:p>
        </w:tc>
      </w:tr>
      <w:tr>
        <w:tc>
          <w:tcPr>
            <w:tcW w:type="dxa" w:w="5026"/>
          </w:tcPr>
          <w:p>
            <w:r>
              <w:t>MVP/USPs</w:t>
            </w:r>
          </w:p>
        </w:tc>
        <w:tc>
          <w:tcPr>
            <w:tcW w:type="dxa" w:w="5026"/>
          </w:tcPr>
          <w:p>
            <w:r>
              <w:t>No ten-step MVP complete end-to-end; four proposed USPs need implementation</w:t>
            </w:r>
          </w:p>
        </w:tc>
      </w:tr>
    </w:tbl>
    <w:p>
      <w:pPr>
        <w:pStyle w:val="Heading1"/>
      </w:pPr>
      <w:r>
        <w:t>Numbered member assignments</w:t>
      </w:r>
    </w:p>
    <w:tbl>
      <w:tblPr>
        <w:tblStyle w:val="LightShading-Accent1"/>
        <w:tblW w:type="auto" w:w="0"/>
        <w:jc w:val="center"/>
        <w:tblLook w:firstColumn="1" w:firstRow="1" w:lastColumn="0" w:lastRow="0" w:noHBand="0" w:noVBand="1" w:val="04A0"/>
      </w:tblPr>
      <w:tblGrid>
        <w:gridCol w:w="3351"/>
        <w:gridCol w:w="3351"/>
        <w:gridCol w:w="3351"/>
      </w:tblGrid>
      <w:tr>
        <w:tc>
          <w:tcPr>
            <w:tcW w:type="dxa" w:w="3351"/>
          </w:tcPr>
          <w:p>
            <w:r>
              <w:t>Member</w:t>
            </w:r>
          </w:p>
        </w:tc>
        <w:tc>
          <w:tcPr>
            <w:tcW w:type="dxa" w:w="3351"/>
          </w:tcPr>
          <w:p>
            <w:r>
              <w:t>Owns</w:t>
            </w:r>
          </w:p>
        </w:tc>
        <w:tc>
          <w:tcPr>
            <w:tcW w:type="dxa" w:w="3351"/>
          </w:tcPr>
          <w:p>
            <w:r>
              <w:t>Immediate mock-ready starting output</w:t>
            </w:r>
          </w:p>
        </w:tc>
      </w:tr>
      <w:tr>
        <w:tc>
          <w:tcPr>
            <w:tcW w:type="dxa" w:w="3351"/>
          </w:tcPr>
          <w:p>
            <w:r>
              <w:t>Member 1</w:t>
            </w:r>
          </w:p>
        </w:tc>
        <w:tc>
          <w:tcPr>
            <w:tcW w:type="dxa" w:w="3351"/>
          </w:tcPr>
          <w:p>
            <w:r>
              <w:t>Identity/tenant scope, policy, case/decision, Mongo transaction, shared HTTP adapter/contract/PRs</w:t>
            </w:r>
          </w:p>
        </w:tc>
        <w:tc>
          <w:tcPr>
            <w:tcW w:type="dxa" w:w="3351"/>
          </w:tcPr>
          <w:p>
            <w:r>
              <w:t>Shared DTO+ports/fixture PR0; denial API regression tests</w:t>
            </w:r>
          </w:p>
        </w:tc>
      </w:tr>
      <w:tr>
        <w:tc>
          <w:tcPr>
            <w:tcW w:type="dxa" w:w="3351"/>
          </w:tcPr>
          <w:p>
            <w:r>
              <w:t>Member 2</w:t>
            </w:r>
          </w:p>
        </w:tc>
        <w:tc>
          <w:tcPr>
            <w:tcW w:type="dxa" w:w="3351"/>
          </w:tcPr>
          <w:p>
            <w:r>
              <w:t>Signed scrutiny, D1/D2/C3 rescrutiny scope, conditional EVC, dossier/EVC views</w:t>
            </w:r>
          </w:p>
        </w:tc>
        <w:tc>
          <w:tcPr>
            <w:tcW w:type="dxa" w:w="3351"/>
          </w:tcPr>
          <w:p>
            <w:r>
              <w:t>Standalone correction validator/EVC eligibility against fake core actor/case</w:t>
            </w:r>
          </w:p>
        </w:tc>
      </w:tr>
      <w:tr>
        <w:tc>
          <w:tcPr>
            <w:tcW w:type="dxa" w:w="3351"/>
          </w:tcPr>
          <w:p>
            <w:r>
              <w:t>Member 3</w:t>
            </w:r>
          </w:p>
        </w:tc>
        <w:tc>
          <w:tcPr>
            <w:tcW w:type="dxa" w:w="3351"/>
          </w:tcPr>
          <w:p>
            <w:r>
              <w:t>Conditional obligations, private evidence versions, timer/outbox, dashboard &amp; compliance views</w:t>
            </w:r>
          </w:p>
        </w:tc>
        <w:tc>
          <w:tcPr>
            <w:tcW w:type="dxa" w:w="3351"/>
          </w:tcPr>
          <w:p>
            <w:r>
              <w:t>Decision-obligation participant and timer projections against synthetic events</w:t>
            </w:r>
          </w:p>
        </w:tc>
      </w:tr>
    </w:tbl>
    <w:p>
      <w:pPr>
        <w:pStyle w:val="Heading1"/>
      </w:pPr>
      <w:r>
        <w:t>Parallel integration protocol</w:t>
      </w:r>
    </w:p>
    <w:p>
      <w:r>
        <w:t>Contract v0.1.0 is supplied in the ZIP as a REVIEW CANDIDATE. All members review the same DTOs/enum/errors/events. Member 1 merges one canonical copy in PR0. Members 2 and 3 can start immediately using the supplied fake CorePort and DecisionRecorded fixtures, but mark output MOCK until integrated. Member 1 solely owns shared AppContext, api.ts, types, main router registration and server integration; domain members supply exported modules and tests instead of competing edits.</w:t>
      </w:r>
    </w:p>
    <w:p>
      <w:pPr>
        <w:pStyle w:val="Heading1"/>
      </w:pPr>
      <w:r>
        <w:t>Five delivery gates</w:t>
      </w:r>
    </w:p>
    <w:tbl>
      <w:tblPr>
        <w:tblStyle w:val="LightShading-Accent1"/>
        <w:tblW w:type="auto" w:w="0"/>
        <w:jc w:val="center"/>
        <w:tblLook w:firstColumn="1" w:firstRow="1" w:lastColumn="0" w:lastRow="0" w:noHBand="0" w:noVBand="1" w:val="04A0"/>
      </w:tblPr>
      <w:tblGrid>
        <w:gridCol w:w="5026"/>
        <w:gridCol w:w="5026"/>
      </w:tblGrid>
      <w:tr>
        <w:tc>
          <w:tcPr>
            <w:tcW w:type="dxa" w:w="5026"/>
          </w:tcPr>
          <w:p>
            <w:r>
              <w:t>Gate</w:t>
            </w:r>
          </w:p>
        </w:tc>
        <w:tc>
          <w:tcPr>
            <w:tcW w:type="dxa" w:w="5026"/>
          </w:tcPr>
          <w:p>
            <w:r>
              <w:t>Acceptance evidence</w:t>
            </w:r>
          </w:p>
        </w:tc>
      </w:tr>
      <w:tr>
        <w:tc>
          <w:tcPr>
            <w:tcW w:type="dxa" w:w="5026"/>
          </w:tcPr>
          <w:p>
            <w:r>
              <w:t>G0</w:t>
            </w:r>
          </w:p>
        </w:tc>
        <w:tc>
          <w:tcPr>
            <w:tcW w:type="dxa" w:w="5026"/>
          </w:tcPr>
          <w:p>
            <w:r>
              <w:t>All three approve contract source, errors, state vocabulary, event names, Mongo transaction decision</w:t>
            </w:r>
          </w:p>
        </w:tc>
      </w:tr>
      <w:tr>
        <w:tc>
          <w:tcPr>
            <w:tcW w:type="dxa" w:w="5026"/>
          </w:tcPr>
          <w:p>
            <w:r>
              <w:t>G1</w:t>
            </w:r>
          </w:p>
        </w:tc>
        <w:tc>
          <w:tcPr>
            <w:tcW w:type="dxa" w:w="5026"/>
          </w:tcPr>
          <w:p>
            <w:r>
              <w:t>Auth/scope 401/403; durable case/reload; explained routes; skipped-stage/version/idempotency guards</w:t>
            </w:r>
          </w:p>
        </w:tc>
      </w:tr>
      <w:tr>
        <w:tc>
          <w:tcPr>
            <w:tcW w:type="dxa" w:w="5026"/>
          </w:tcPr>
          <w:p>
            <w:r>
              <w:t>G2</w:t>
            </w:r>
          </w:p>
        </w:tc>
        <w:tc>
          <w:tcPr>
            <w:tcW w:type="dxa" w:w="5026"/>
          </w:tcPr>
          <w:p>
            <w:r>
              <w:t>D1/D2 allowed, C3 denied by server; signed snapshot; qualifying EVC only once</w:t>
            </w:r>
          </w:p>
        </w:tc>
      </w:tr>
      <w:tr>
        <w:tc>
          <w:tcPr>
            <w:tcW w:type="dxa" w:w="5026"/>
          </w:tcPr>
          <w:p>
            <w:r>
              <w:t>G3</w:t>
            </w:r>
          </w:p>
        </w:tc>
        <w:tc>
          <w:tcPr>
            <w:tcW w:type="dxa" w:w="5026"/>
          </w:tcPr>
          <w:p>
            <w:r>
              <w:t>Designated fictional authority creates one sourced obligation; actual private evidence remains unverified until reviewed</w:t>
            </w:r>
          </w:p>
        </w:tc>
      </w:tr>
      <w:tr>
        <w:tc>
          <w:tcPr>
            <w:tcW w:type="dxa" w:w="5026"/>
          </w:tcPr>
          <w:p>
            <w:r>
              <w:t>G4</w:t>
            </w:r>
          </w:p>
        </w:tc>
        <w:tc>
          <w:tcPr>
            <w:tcW w:type="dxa" w:w="5026"/>
          </w:tcPr>
          <w:p>
            <w:r>
              <w:t>One in-app reminder, stale cancellation, accurate scoped metrics/audit and unified tests</w:t>
            </w:r>
          </w:p>
        </w:tc>
      </w:tr>
      <w:tr>
        <w:tc>
          <w:tcPr>
            <w:tcW w:type="dxa" w:w="5026"/>
          </w:tcPr>
          <w:p>
            <w:r>
              <w:t>G5</w:t>
            </w:r>
          </w:p>
        </w:tc>
        <w:tc>
          <w:tcPr>
            <w:tcW w:type="dxa" w:w="5026"/>
          </w:tcPr>
          <w:p>
            <w:r>
              <w:t>Two-case 5-minute demo, source references, real screenshots and honest deployment limitations</w:t>
            </w:r>
          </w:p>
        </w:tc>
      </w:tr>
    </w:tbl>
    <w:p>
      <w:pPr>
        <w:pStyle w:val="Heading1"/>
      </w:pPr>
      <w:r>
        <w:t>First decisions to approve</w:t>
      </w:r>
    </w:p>
    <w:p>
      <w:r>
        <w:t>Retain React/Vite/Express. Conditionally retain MongoDB/Mongoose, ONLY if a transaction-capable replica set is available; otherwise report a blocker without silently switching to process memory. Use an authoritative HTTP backend, server-derived actor identity, exactly two reviewed session-specific route fixtures, a separate fictional decision authority and an explicitly labeled virtual demo timer. Review and merge the common DTO PR before domain integration.</w:t>
      </w:r>
    </w:p>
    <w:p>
      <w:pPr>
        <w:pStyle w:val="Heading1"/>
      </w:pPr>
      <w:r>
        <w:t>Important source-rule boundaries</w:t>
      </w:r>
    </w:p>
    <w:p>
      <w:r>
        <w:t>2026–27 revised AICTE addendum/errata must be used with applicability/precedence; exact X=360 requires policy review rather than an invented equality rule. Re-scrutiny under APH §1.8(g) is restricted to initial deficiencies. EVC/SHC/appeal are conditional. Academic deadlines, intimation-related periods, document validity and demo processing SLAs cannot be interchanged. No automated legal approvals, penalties, bank verification or official AICTE integration claims.</w:t>
      </w:r>
    </w:p>
    <w:p>
      <w:pPr>
        <w:pStyle w:val="Heading1"/>
      </w:pPr>
      <w:r>
        <w:t>How to use the ZIP</w:t>
      </w:r>
    </w:p>
    <w:p>
      <w:r>
        <w:t>Open 00_START_HERE.md → approve 00_MANAGEMENT/DECISIONS_AND_SCOPE.md → review 07_CONTRACT_STARTER and 01_SHARED/CONTRACT_FREEZE_CANDIDATE.md → give Member 1/2/3 their own context and kickoff prompt → review PR0 and branch ownership → execute acceptance T01–T28 as documented. Original unaltered source PDFs and final Codex handoff are in 08_REFERENCE_INPUTS.</w:t>
      </w:r>
    </w:p>
    <w:p>
      <w:pPr>
        <w:pStyle w:val="Heading1"/>
      </w:pPr>
      <w:r>
        <w:t>Submission focus</w:t>
      </w:r>
    </w:p>
    <w:p>
      <w:r>
        <w:t>Prioritize reliable security and persistent case, two source-linked routes, signed deficiency scope, conditional EVC, fictional human decision-to-obligation handoff, submitted/verified evidence, one explainable deduplicated canceled reminder, accurate dashboard and audit. Defer predictive AI, full BPM engine and real government integrations until the golden path is working. Deadline from this conversation: 25 Oct 2026 at 7 PM IST.</w:t>
      </w:r>
    </w:p>
    <w:sectPr w:rsidR="00FC693F" w:rsidRPr="0006063C" w:rsidSect="00034616">
      <w:pgSz w:w="12240" w:h="15840"/>
      <w:pgMar w:top="864" w:right="1094" w:bottom="792"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E34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527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E264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