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Ethical Implications of AI-Based Plagiarism Detection</w:t>
      </w:r>
    </w:p>
    <w:p>
      <w:pPr>
        <w:spacing w:after="360"/>
      </w:pPr>
      <w:r>
        <w:rPr>
          <w:i/>
          <w:iCs/>
          <w:color w:val="6b7280"/>
          <w:sz w:val="20"/>
          <w:szCs w:val="20"/>
        </w:rPr>
        <w:t xml:space="preserve">FOAI Project — Milestone 4 | Module 6: Ethics &amp; Bias (Lecture 23)</w:t>
      </w:r>
    </w:p>
    <w:p>
      <w:pPr>
        <w:pStyle w:val="Heading2"/>
      </w:pPr>
      <w:r>
        <w:t xml:space="preserve">1. Introduction</w:t>
      </w:r>
    </w:p>
    <w:p>
      <w:pPr>
        <w:spacing w:after="240"/>
      </w:pPr>
      <w:r>
        <w:t xml:space="preserve">The FOAI plagiarism detection system uses artificial intelligence to automatically analyse student submissions and flag potential academic dishonesty. While this improves efficiency for instructors, it also introduces ethical responsibilities. Any system that makes judgements about students must be fair, transparent, and accurate. This write-up examines the key ethical concerns raised by deploying such a system in an academic environment, as discussed in Module 6: Ethics and Bias (Lecture 23).</w:t>
      </w:r>
    </w:p>
    <w:p>
      <w:pPr>
        <w:pStyle w:val="Heading2"/>
      </w:pPr>
      <w:r>
        <w:t xml:space="preserve">2. The Risk of False Positives</w:t>
      </w:r>
    </w:p>
    <w:p>
      <w:pPr>
        <w:spacing w:after="160"/>
      </w:pPr>
      <w:r>
        <w:t xml:space="preserve">A false positive happens when the system incorrectly flags a genuine student submission as AI-generated or plagiarised. During our testing, even authentic writing occasionally triggered flags such as 'generic phrasing' simply because the student used common vocabulary or a structured writing style. This is a serious concern because the consequences of a false accusation are severe — a student could face disciplinary action, damage to their academic record, and significant emotional stress, all for something they did not do.</w:t>
      </w:r>
    </w:p>
    <w:p>
      <w:pPr>
        <w:spacing w:after="240"/>
      </w:pPr>
      <w:r>
        <w:t xml:space="preserve">This is why our system outputs a review level (ADVISORY, REVIEW, or URGENT_REVIEW) rather than a direct verdict. The AI score should always be treated as a starting point for human review, never as a final decision. No student should face consequences based on an algorithm alone.</w:t>
      </w:r>
    </w:p>
    <w:p>
      <w:pPr>
        <w:pStyle w:val="Heading2"/>
      </w:pPr>
      <w:r>
        <w:t xml:space="preserve">3. Fairness and Bias</w:t>
      </w:r>
    </w:p>
    <w:p>
      <w:pPr>
        <w:spacing w:after="120"/>
      </w:pPr>
      <w:r>
        <w:t xml:space="preserve">AI systems can treat different groups of students unequally, even without intending to. Three specific bias risks apply to our system:</w:t>
      </w:r>
    </w:p>
    <w:p>
      <w:pPr>
        <w:pStyle w:val="ListParagraph"/>
        <w:numPr>
          <w:ilvl w:val="0"/>
          <w:numId w:val="2"/>
        </w:numPr>
        <w:spacing w:after="80"/>
      </w:pPr>
      <w:r>
        <w:rPr>
          <w:b/>
          <w:bCs/>
        </w:rPr>
        <w:t xml:space="preserve">Non-native English speakers: </w:t>
      </w:r>
      <w:r>
        <w:t xml:space="preserve">Students writing in a second language often use simpler, more repetitive sentence structures that the model may associate with AI generation, leading to unfair flags.</w:t>
      </w:r>
    </w:p>
    <w:p>
      <w:pPr>
        <w:pStyle w:val="ListParagraph"/>
        <w:numPr>
          <w:ilvl w:val="0"/>
          <w:numId w:val="2"/>
        </w:numPr>
        <w:spacing w:after="80"/>
      </w:pPr>
      <w:r>
        <w:rPr>
          <w:b/>
          <w:bCs/>
        </w:rPr>
        <w:t xml:space="preserve">Formal writing styles: </w:t>
      </w:r>
      <w:r>
        <w:t xml:space="preserve">Students from certain academic backgrounds are trained to write in a precise, structured manner. This style can resemble AI output even when the work is entirely original.</w:t>
      </w:r>
    </w:p>
    <w:p>
      <w:pPr>
        <w:pStyle w:val="ListParagraph"/>
        <w:numPr>
          <w:ilvl w:val="0"/>
          <w:numId w:val="2"/>
        </w:numPr>
        <w:spacing w:after="200"/>
      </w:pPr>
      <w:r>
        <w:rPr>
          <w:b/>
          <w:bCs/>
        </w:rPr>
        <w:t xml:space="preserve">Technical subjects: </w:t>
      </w:r>
      <w:r>
        <w:t xml:space="preserve">Subjects like computer science require formal, precise language with little creative variation. A detection model trained on general essays may unfairly flag these submissions.</w:t>
      </w:r>
    </w:p>
    <w:p>
      <w:pPr>
        <w:spacing w:after="240"/>
      </w:pPr>
      <w:r>
        <w:t xml:space="preserve">To address these risks, instructors should be aware of these limitations when reviewing flagged submissions and should not apply the same thresholds uniformly across all student groups and subject areas.</w:t>
      </w:r>
    </w:p>
    <w:p>
      <w:pPr>
        <w:pStyle w:val="Heading2"/>
      </w:pPr>
      <w:r>
        <w:t xml:space="preserve">4. Transparency and Student Rights</w:t>
      </w:r>
    </w:p>
    <w:p>
      <w:pPr>
        <w:spacing w:after="240"/>
      </w:pPr>
      <w:r>
        <w:t xml:space="preserve">Students have a right to understand why their work was flagged. Our system addresses this through the Knowledge Map Builder, which explains which specific patterns were detected, and through the educational resources section of the report, which guides students toward improving their writing. Rather than simply labelling a submission as suspicious, the system provides context and a path forward. This transforms the tool from a punitive mechanism into a learning opportunity, which is more aligned with the goals of education.</w:t>
      </w:r>
    </w:p>
    <w:p>
      <w:pPr>
        <w:pStyle w:val="Heading2"/>
      </w:pPr>
      <w:r>
        <w:t xml:space="preserve">5. Ethical Recommendations</w:t>
      </w:r>
    </w:p>
    <w:p>
      <w:pPr>
        <w:pStyle w:val="ListParagraph"/>
        <w:numPr>
          <w:ilvl w:val="0"/>
          <w:numId w:val="2"/>
        </w:numPr>
        <w:spacing w:after="80"/>
      </w:pPr>
      <w:r>
        <w:t xml:space="preserve">Always require human review before taking any action on a flagged submission.</w:t>
      </w:r>
    </w:p>
    <w:p>
      <w:pPr>
        <w:pStyle w:val="ListParagraph"/>
        <w:numPr>
          <w:ilvl w:val="0"/>
          <w:numId w:val="2"/>
        </w:numPr>
        <w:spacing w:after="80"/>
      </w:pPr>
      <w:r>
        <w:t xml:space="preserve">Inform students that their submissions are processed by an automated system.</w:t>
      </w:r>
    </w:p>
    <w:p>
      <w:pPr>
        <w:pStyle w:val="ListParagraph"/>
        <w:numPr>
          <w:ilvl w:val="0"/>
          <w:numId w:val="2"/>
        </w:numPr>
        <w:spacing w:after="80"/>
      </w:pPr>
      <w:r>
        <w:t xml:space="preserve">Share the detection report with the student so they understand what was found and why.</w:t>
      </w:r>
    </w:p>
    <w:p>
      <w:pPr>
        <w:pStyle w:val="ListParagraph"/>
        <w:numPr>
          <w:ilvl w:val="0"/>
          <w:numId w:val="2"/>
        </w:numPr>
        <w:spacing w:after="240"/>
      </w:pPr>
      <w:r>
        <w:t xml:space="preserve">Regularly audit the system for bias across different student groups and subject areas.</w:t>
      </w:r>
    </w:p>
    <w:p>
      <w:pPr>
        <w:pStyle w:val="Heading2"/>
      </w:pPr>
      <w:r>
        <w:t xml:space="preserve">6. Conclusion</w:t>
      </w:r>
    </w:p>
    <w:p>
      <w:pPr>
        <w:spacing w:after="240"/>
      </w:pPr>
      <w:r>
        <w:t xml:space="preserve">AI-based plagiarism detection is a powerful tool, but power comes with responsibility. False positives can harm innocent students, built-in biases can disadvantage certain groups, and a lack of transparency can make the system feel unjust. By designing our workflow with explainability, confidence levels, and a mandatory review step, we have tried to build a system that is not only effective but also ethical. In any real-world deployment, the technology should support the instructor's judgement — never replace it.</w:t>
      </w:r>
    </w:p>
    <w:p>
      <w:pPr>
        <w:pStyle w:val="Heading2"/>
      </w:pPr>
      <w:r>
        <w:t xml:space="preserve">References</w:t>
      </w:r>
    </w:p>
    <w:p>
      <w:pPr>
        <w:spacing w:after="80"/>
      </w:pPr>
      <w:r>
        <w:t xml:space="preserve">Lecture 23 — Module 6: Ethics &amp; Bias, Foundations of AI (FOAI), 2025–26</w:t>
      </w:r>
    </w:p>
    <w:p>
      <w:pPr>
        <w:spacing w:after="80"/>
      </w:pPr>
      <w:r>
        <w:t xml:space="preserve">IEEE Global Initiative on Ethics of Autonomous and Intelligent Systems (2019).</w:t>
      </w:r>
    </w:p>
    <w:p>
      <w:pPr>
        <w:spacing w:after="80"/>
      </w:pPr>
      <w:r>
        <w:t xml:space="preserve">Turnitin (2023). AI Writing Detection: Principles and Limitations. turnitin.com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b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f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2026-04-26T15:27:11.747Z</dcterms:created>
  <dcterms:modified xsi:type="dcterms:W3CDTF">2026-04-26T15:27:11.748Z</dcterms:modified>
</cp:coreProperties>
</file>

<file path=docProps/custom.xml><?xml version="1.0" encoding="utf-8"?>
<Properties xmlns="http://schemas.openxmlformats.org/officeDocument/2006/custom-properties" xmlns:vt="http://schemas.openxmlformats.org/officeDocument/2006/docPropsVTypes"/>
</file>