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Risk Assessment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identifies potential risks that may affect the successful delivery of SmartMail AI and defines mitigation strategies.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Google OAuth configuration failure</w:t>
            </w:r>
          </w:p>
        </w:tc>
        <w:tc>
          <w:tcPr>
            <w:tcW w:type="dxa" w:w="1728"/>
          </w:tcPr>
          <w:p>
            <w:r>
              <w:t>Technical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Validate OAuth setup early and test redirect URIs.</w:t>
            </w:r>
          </w:p>
        </w:tc>
      </w:tr>
      <w:tr>
        <w:tc>
          <w:tcPr>
            <w:tcW w:type="dxa" w:w="1728"/>
          </w:tcPr>
          <w:p>
            <w:r>
              <w:t>Gmail API quota exceeded</w:t>
            </w:r>
          </w:p>
        </w:tc>
        <w:tc>
          <w:tcPr>
            <w:tcW w:type="dxa" w:w="1728"/>
          </w:tcPr>
          <w:p>
            <w:r>
              <w:t>Technical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 pagination, caching, and optimize API calls.</w:t>
            </w:r>
          </w:p>
        </w:tc>
      </w:tr>
      <w:tr>
        <w:tc>
          <w:tcPr>
            <w:tcW w:type="dxa" w:w="1728"/>
          </w:tcPr>
          <w:p>
            <w:r>
              <w:t>Gemini API downtime</w:t>
            </w:r>
          </w:p>
        </w:tc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Implement retry logic and graceful fallback.</w:t>
            </w:r>
          </w:p>
        </w:tc>
      </w:tr>
      <w:tr>
        <w:tc>
          <w:tcPr>
            <w:tcW w:type="dxa" w:w="1728"/>
          </w:tcPr>
          <w:p>
            <w:r>
              <w:t>Database connection issues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 connection pooling and monitoring.</w:t>
            </w:r>
          </w:p>
        </w:tc>
      </w:tr>
      <w:tr>
        <w:tc>
          <w:tcPr>
            <w:tcW w:type="dxa" w:w="1728"/>
          </w:tcPr>
          <w:p>
            <w:r>
              <w:t>API key exposure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Store secrets in .env and never commit them.</w:t>
            </w:r>
          </w:p>
        </w:tc>
      </w:tr>
      <w:tr>
        <w:tc>
          <w:tcPr>
            <w:tcW w:type="dxa" w:w="1728"/>
          </w:tcPr>
          <w:p>
            <w:r>
              <w:t>Scope creep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Freeze sprint scope and use backlog.</w:t>
            </w:r>
          </w:p>
        </w:tc>
      </w:tr>
      <w:tr>
        <w:tc>
          <w:tcPr>
            <w:tcW w:type="dxa" w:w="1728"/>
          </w:tcPr>
          <w:p>
            <w:r>
              <w:t>Schedule delays</w:t>
            </w:r>
          </w:p>
        </w:tc>
        <w:tc>
          <w:tcPr>
            <w:tcW w:type="dxa" w:w="1728"/>
          </w:tcPr>
          <w:p>
            <w:r>
              <w:t>Management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Weekly sprint reviews and realistic planning.</w:t>
            </w:r>
          </w:p>
        </w:tc>
      </w:tr>
      <w:tr>
        <w:tc>
          <w:tcPr>
            <w:tcW w:type="dxa" w:w="1728"/>
          </w:tcPr>
          <w:p>
            <w:r>
              <w:t>Large email volumes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Pagination and asynchronous processing.</w:t>
            </w:r>
          </w:p>
        </w:tc>
      </w:tr>
      <w:tr>
        <w:tc>
          <w:tcPr>
            <w:tcW w:type="dxa" w:w="1728"/>
          </w:tcPr>
          <w:p>
            <w:r>
              <w:t>Dependency vulnerabilities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Run dependency audits regularly.</w:t>
            </w:r>
          </w:p>
        </w:tc>
      </w:tr>
      <w:tr>
        <w:tc>
          <w:tcPr>
            <w:tcW w:type="dxa" w:w="1728"/>
          </w:tcPr>
          <w:p>
            <w:r>
              <w:t>Data privacy concerns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 Gmail read-only scope and minimize stored content.</w:t>
            </w:r>
          </w:p>
        </w:tc>
      </w:tr>
    </w:tbl>
    <w:p>
      <w:pPr>
        <w:pStyle w:val="Heading1"/>
      </w:pPr>
      <w:r>
        <w:t>2. Risk Monitoring</w:t>
      </w:r>
    </w:p>
    <w:p>
      <w:pPr>
        <w:pStyle w:val="ListBullet"/>
      </w:pPr>
      <w:r>
        <w:t>Review risks at the start of every sprint.</w:t>
      </w:r>
    </w:p>
    <w:p>
      <w:pPr>
        <w:pStyle w:val="ListBullet"/>
      </w:pPr>
      <w:r>
        <w:t>Track newly discovered risks in the project backlog.</w:t>
      </w:r>
    </w:p>
    <w:p>
      <w:pPr>
        <w:pStyle w:val="ListBullet"/>
      </w:pPr>
      <w:r>
        <w:t>Prioritize Critical and High impact risks first.</w:t>
      </w:r>
    </w:p>
    <w:p>
      <w:pPr>
        <w:pStyle w:val="ListBullet"/>
      </w:pPr>
      <w:r>
        <w:t>Update mitigation plans after each sprint retrospective.</w:t>
      </w:r>
    </w:p>
    <w:p>
      <w:pPr>
        <w:pStyle w:val="Heading1"/>
      </w:pPr>
      <w:r>
        <w:t>3. Overall Risk Status</w:t>
      </w:r>
    </w:p>
    <w:p>
      <w:r>
        <w:t>Current project risk is assessed as MODERATE. Most technical risks can be reduced through early integration, continuous testing, secure credential management, and disciplined sprint planning.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