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01. High-Level System Architecture</w:t>
      </w:r>
    </w:p>
    <w:p>
      <w:pPr>
        <w:jc w:val="center"/>
      </w:pPr>
      <w:r>
        <w:t>System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Architecture Overview</w:t>
      </w:r>
    </w:p>
    <w:p>
      <w:r>
        <w:t>SmartMail AI uses a modular architecture consisting of a React frontend, Node.js/Express backend, FastAPI AI service, Gmail API, Google OAuth 2.0, Gemini AI and Supabase PostgreSQL.</w:t>
      </w:r>
    </w:p>
    <w:p>
      <w:pPr>
        <w:pStyle w:val="Heading1"/>
      </w:pPr>
      <w:r>
        <w:t>Logical Flow</w:t>
      </w:r>
    </w:p>
    <w:p>
      <w:r>
        <w:t>User</w:t>
        <w:br/>
        <w:t xml:space="preserve">  ↓</w:t>
        <w:br/>
        <w:t>React Frontend</w:t>
        <w:br/>
        <w:t xml:space="preserve">  ↓</w:t>
        <w:br/>
        <w:t>Node.js API</w:t>
        <w:br/>
        <w:t xml:space="preserve"> ├── Google OAuth</w:t>
        <w:br/>
        <w:t xml:space="preserve"> ├── Gmail API</w:t>
        <w:br/>
        <w:t xml:space="preserve"> ├── Supabase</w:t>
        <w:br/>
        <w:t xml:space="preserve"> └── FastAPI AI Service</w:t>
        <w:br/>
        <w:t xml:space="preserve">          ↓</w:t>
        <w:br/>
        <w:t xml:space="preserve">      Gemini AI</w:t>
        <w:br/>
        <w:t xml:space="preserve">          ↓</w:t>
        <w:br/>
        <w:t>Analysis Results</w:t>
        <w:br/>
        <w:t xml:space="preserve">          ↓</w:t>
        <w:br/>
        <w:t>Dashboard</w:t>
      </w:r>
    </w:p>
    <w:p>
      <w:pPr>
        <w:pStyle w:val="Heading1"/>
      </w:pPr>
      <w:r>
        <w:t>Core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</w:t>
            </w:r>
          </w:p>
        </w:tc>
        <w:tc>
          <w:tcPr>
            <w:tcW w:type="dxa" w:w="2880"/>
          </w:tcPr>
          <w:p>
            <w:r>
              <w:t>UI &amp; Dashboard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Authentication &amp; APIs</w:t>
            </w:r>
          </w:p>
        </w:tc>
      </w:tr>
      <w:tr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AI orchestration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Gemini</w:t>
            </w:r>
          </w:p>
        </w:tc>
        <w:tc>
          <w:tcPr>
            <w:tcW w:type="dxa" w:w="2880"/>
          </w:tcPr>
          <w:p>
            <w:r>
              <w:t>Email analysis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PostgreSQL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</w:tr>
      <w:tr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Google OAuth/Gmail API</w:t>
            </w:r>
          </w:p>
        </w:tc>
        <w:tc>
          <w:tcPr>
            <w:tcW w:type="dxa" w:w="2880"/>
          </w:tcPr>
          <w:p>
            <w:r>
              <w:t>Authentication &amp; email access</w:t>
            </w:r>
          </w:p>
        </w:tc>
      </w:tr>
    </w:tbl>
    <w:p>
      <w:pPr>
        <w:pStyle w:val="Heading1"/>
      </w:pPr>
      <w:r>
        <w:t>Architecture Principles</w:t>
      </w:r>
    </w:p>
    <w:p>
      <w:pPr>
        <w:pStyle w:val="ListBullet"/>
      </w:pPr>
      <w:r>
        <w:t>Modular service-oriented design</w:t>
      </w:r>
    </w:p>
    <w:p>
      <w:pPr>
        <w:pStyle w:val="ListBullet"/>
      </w:pPr>
      <w:r>
        <w:t>Secure OAuth authentication</w:t>
      </w:r>
    </w:p>
    <w:p>
      <w:pPr>
        <w:pStyle w:val="ListBullet"/>
      </w:pPr>
      <w:r>
        <w:t>RESTful API communication</w:t>
      </w:r>
    </w:p>
    <w:p>
      <w:pPr>
        <w:pStyle w:val="ListBullet"/>
      </w:pPr>
      <w:r>
        <w:t>Separation of concerns</w:t>
      </w:r>
    </w:p>
    <w:p>
      <w:pPr>
        <w:pStyle w:val="ListBullet"/>
      </w:pPr>
      <w:r>
        <w:t>Scalable and maintainable codebase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