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Database Relationships</w:t>
      </w:r>
    </w:p>
    <w:p>
      <w:pPr>
        <w:jc w:val="center"/>
      </w:pPr>
      <w:r>
        <w:t>Database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Defines entity relationships, cardinality, foreign key constraints and referential integrity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Parent</w:t>
            </w:r>
          </w:p>
        </w:tc>
        <w:tc>
          <w:tcPr>
            <w:tcW w:type="dxa" w:w="1728"/>
          </w:tcPr>
          <w:p>
            <w:r>
              <w:t>Child</w:t>
            </w:r>
          </w:p>
        </w:tc>
        <w:tc>
          <w:tcPr>
            <w:tcW w:type="dxa" w:w="1728"/>
          </w:tcPr>
          <w:p>
            <w:r>
              <w:t>Cardinality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Delete Rule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emails</w:t>
            </w:r>
          </w:p>
        </w:tc>
        <w:tc>
          <w:tcPr>
            <w:tcW w:type="dxa" w:w="1728"/>
          </w:tcPr>
          <w:p>
            <w:r>
              <w:t>1 : N</w:t>
            </w:r>
          </w:p>
        </w:tc>
        <w:tc>
          <w:tcPr>
            <w:tcW w:type="dxa" w:w="1728"/>
          </w:tcPr>
          <w:p>
            <w:r>
              <w:t>emails.user_id → users.id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emails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  <w:tc>
          <w:tcPr>
            <w:tcW w:type="dxa" w:w="1728"/>
          </w:tcPr>
          <w:p>
            <w:r>
              <w:t>1 : 1</w:t>
            </w:r>
          </w:p>
        </w:tc>
        <w:tc>
          <w:tcPr>
            <w:tcW w:type="dxa" w:w="1728"/>
          </w:tcPr>
          <w:p>
            <w:r>
              <w:t>analysis.email_id → emails.id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analysis</w:t>
            </w:r>
          </w:p>
        </w:tc>
        <w:tc>
          <w:tcPr>
            <w:tcW w:type="dxa" w:w="1728"/>
          </w:tcPr>
          <w:p>
            <w:r>
              <w:t>action_items</w:t>
            </w:r>
          </w:p>
        </w:tc>
        <w:tc>
          <w:tcPr>
            <w:tcW w:type="dxa" w:w="1728"/>
          </w:tcPr>
          <w:p>
            <w:r>
              <w:t>1 : N</w:t>
            </w:r>
          </w:p>
        </w:tc>
        <w:tc>
          <w:tcPr>
            <w:tcW w:type="dxa" w:w="1728"/>
          </w:tcPr>
          <w:p>
            <w:r>
              <w:t>action_items.analysis_id → analysis.id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</w:tbl>
    <w:p>
      <w:pPr>
        <w:pStyle w:val="Heading1"/>
      </w:pPr>
      <w:r>
        <w:t>2. Referential Integrity Rules</w:t>
      </w:r>
    </w:p>
    <w:p>
      <w:pPr>
        <w:pStyle w:val="ListBullet"/>
      </w:pPr>
      <w:r>
        <w:t>Every email must belong to a valid user.</w:t>
      </w:r>
    </w:p>
    <w:p>
      <w:pPr>
        <w:pStyle w:val="ListBullet"/>
      </w:pPr>
      <w:r>
        <w:t>Each analysis record must reference one email.</w:t>
      </w:r>
    </w:p>
    <w:p>
      <w:pPr>
        <w:pStyle w:val="ListBullet"/>
      </w:pPr>
      <w:r>
        <w:t>Action items cannot exist without an analysis.</w:t>
      </w:r>
    </w:p>
    <w:p>
      <w:pPr>
        <w:pStyle w:val="ListBullet"/>
      </w:pPr>
      <w:r>
        <w:t>Foreign keys prevent orphan records.</w:t>
      </w:r>
    </w:p>
    <w:p>
      <w:pPr>
        <w:pStyle w:val="ListBullet"/>
      </w:pPr>
      <w:r>
        <w:t>Unique constraints prevent duplicate Gmail message IDs.</w:t>
      </w:r>
    </w:p>
    <w:p>
      <w:pPr>
        <w:pStyle w:val="Heading1"/>
      </w:pPr>
      <w:r>
        <w:t>3. Relationship Diagram</w:t>
      </w:r>
    </w:p>
    <w:p>
      <w:r>
        <w:t>User (1)</w:t>
        <w:br/>
        <w:t xml:space="preserve">   │</w:t>
        <w:br/>
        <w:t xml:space="preserve">   └────&lt; Emails (N)</w:t>
        <w:br/>
        <w:t xml:space="preserve">              │</w:t>
        <w:br/>
        <w:t xml:space="preserve">              └──── Analysis (1)</w:t>
        <w:br/>
        <w:t xml:space="preserve">                        │</w:t>
        <w:br/>
        <w:t xml:space="preserve">                        └────&lt; Action Items (N)</w:t>
        <w:br/>
      </w:r>
    </w:p>
    <w:p>
      <w:pPr>
        <w:pStyle w:val="Heading1"/>
      </w:pPr>
      <w:r>
        <w:t>4. Design Notes</w:t>
      </w:r>
    </w:p>
    <w:p>
      <w:r>
        <w:t>Cascade deletes keep related records synchronized. UUID primary keys are recommended for scalability and distributed systems.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