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03. Color System</w:t>
      </w:r>
    </w:p>
    <w:p>
      <w:pPr>
        <w:jc w:val="center"/>
      </w:pPr>
      <w:r>
        <w:t>SmartMail AI Brand Identity</w:t>
        <w:br/>
        <w:t>Version 1.0</w:t>
        <w:br/>
        <w:t>Prepared By: Parth Nadiyapara</w:t>
      </w:r>
    </w:p>
    <w:p>
      <w:pPr>
        <w:pStyle w:val="Heading1"/>
      </w:pPr>
      <w:r>
        <w:t>Purpose</w:t>
      </w:r>
    </w:p>
    <w:p>
      <w:r>
        <w:t>This document defines the official color system for SmartMail AI. All documentation, web UI, presentations, GitHub assets, and marketing materials must follow these colors.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Hex</w:t>
            </w:r>
          </w:p>
        </w:tc>
        <w:tc>
          <w:tcPr>
            <w:tcW w:type="dxa" w:w="1728"/>
          </w:tcPr>
          <w:p>
            <w:r>
              <w:t>RGB</w:t>
            </w:r>
          </w:p>
        </w:tc>
        <w:tc>
          <w:tcPr>
            <w:tcW w:type="dxa" w:w="1728"/>
          </w:tcPr>
          <w:p>
            <w:r>
              <w:t>Usage</w:t>
            </w:r>
          </w:p>
        </w:tc>
        <w:tc>
          <w:tcPr>
            <w:tcW w:type="dxa" w:w="1728"/>
          </w:tcPr>
          <w:p>
            <w:r>
              <w:t>Accessibility</w:t>
            </w:r>
          </w:p>
        </w:tc>
      </w:tr>
      <w:tr>
        <w:tc>
          <w:tcPr>
            <w:tcW w:type="dxa" w:w="1728"/>
          </w:tcPr>
          <w:p>
            <w:r>
              <w:t>Primary Blue</w:t>
            </w:r>
          </w:p>
        </w:tc>
        <w:tc>
          <w:tcPr>
            <w:tcW w:type="dxa" w:w="1728"/>
          </w:tcPr>
          <w:p>
            <w:r>
              <w:t>#2563EB</w:t>
            </w:r>
          </w:p>
        </w:tc>
        <w:tc>
          <w:tcPr>
            <w:tcW w:type="dxa" w:w="1728"/>
          </w:tcPr>
          <w:p>
            <w:r>
              <w:t>37,99,235</w:t>
            </w:r>
          </w:p>
        </w:tc>
        <w:tc>
          <w:tcPr>
            <w:tcW w:type="dxa" w:w="1728"/>
          </w:tcPr>
          <w:p>
            <w:r>
              <w:t>Buttons, Links, Logo</w:t>
            </w:r>
          </w:p>
        </w:tc>
        <w:tc>
          <w:tcPr>
            <w:tcW w:type="dxa" w:w="1728"/>
          </w:tcPr>
          <w:p>
            <w:r>
              <w:t>AAA</w:t>
            </w:r>
          </w:p>
        </w:tc>
      </w:tr>
      <w:tr>
        <w:tc>
          <w:tcPr>
            <w:tcW w:type="dxa" w:w="1728"/>
          </w:tcPr>
          <w:p>
            <w:r>
              <w:t>Secondary Purple</w:t>
            </w:r>
          </w:p>
        </w:tc>
        <w:tc>
          <w:tcPr>
            <w:tcW w:type="dxa" w:w="1728"/>
          </w:tcPr>
          <w:p>
            <w:r>
              <w:t>#7C3AED</w:t>
            </w:r>
          </w:p>
        </w:tc>
        <w:tc>
          <w:tcPr>
            <w:tcW w:type="dxa" w:w="1728"/>
          </w:tcPr>
          <w:p>
            <w:r>
              <w:t>124,58,237</w:t>
            </w:r>
          </w:p>
        </w:tc>
        <w:tc>
          <w:tcPr>
            <w:tcW w:type="dxa" w:w="1728"/>
          </w:tcPr>
          <w:p>
            <w:r>
              <w:t>Highlights</w:t>
            </w:r>
          </w:p>
        </w:tc>
        <w:tc>
          <w:tcPr>
            <w:tcW w:type="dxa" w:w="1728"/>
          </w:tcPr>
          <w:p>
            <w:r>
              <w:t>AA</w:t>
            </w:r>
          </w:p>
        </w:tc>
      </w:tr>
      <w:tr>
        <w:tc>
          <w:tcPr>
            <w:tcW w:type="dxa" w:w="1728"/>
          </w:tcPr>
          <w:p>
            <w:r>
              <w:t>Accent Cyan</w:t>
            </w:r>
          </w:p>
        </w:tc>
        <w:tc>
          <w:tcPr>
            <w:tcW w:type="dxa" w:w="1728"/>
          </w:tcPr>
          <w:p>
            <w:r>
              <w:t>#06B6D4</w:t>
            </w:r>
          </w:p>
        </w:tc>
        <w:tc>
          <w:tcPr>
            <w:tcW w:type="dxa" w:w="1728"/>
          </w:tcPr>
          <w:p>
            <w:r>
              <w:t>6,182,212</w:t>
            </w:r>
          </w:p>
        </w:tc>
        <w:tc>
          <w:tcPr>
            <w:tcW w:type="dxa" w:w="1728"/>
          </w:tcPr>
          <w:p>
            <w:r>
              <w:t>Charts, Indicators</w:t>
            </w:r>
          </w:p>
        </w:tc>
        <w:tc>
          <w:tcPr>
            <w:tcW w:type="dxa" w:w="1728"/>
          </w:tcPr>
          <w:p>
            <w:r>
              <w:t>AA</w:t>
            </w:r>
          </w:p>
        </w:tc>
      </w:tr>
      <w:tr>
        <w:tc>
          <w:tcPr>
            <w:tcW w:type="dxa" w:w="1728"/>
          </w:tcPr>
          <w:p>
            <w:r>
              <w:t>Success Green</w:t>
            </w:r>
          </w:p>
        </w:tc>
        <w:tc>
          <w:tcPr>
            <w:tcW w:type="dxa" w:w="1728"/>
          </w:tcPr>
          <w:p>
            <w:r>
              <w:t>#16A34A</w:t>
            </w:r>
          </w:p>
        </w:tc>
        <w:tc>
          <w:tcPr>
            <w:tcW w:type="dxa" w:w="1728"/>
          </w:tcPr>
          <w:p>
            <w:r>
              <w:t>22,163,74</w:t>
            </w:r>
          </w:p>
        </w:tc>
        <w:tc>
          <w:tcPr>
            <w:tcW w:type="dxa" w:w="1728"/>
          </w:tcPr>
          <w:p>
            <w:r>
              <w:t>Success states</w:t>
            </w:r>
          </w:p>
        </w:tc>
        <w:tc>
          <w:tcPr>
            <w:tcW w:type="dxa" w:w="1728"/>
          </w:tcPr>
          <w:p>
            <w:r>
              <w:t>AA</w:t>
            </w:r>
          </w:p>
        </w:tc>
      </w:tr>
      <w:tr>
        <w:tc>
          <w:tcPr>
            <w:tcW w:type="dxa" w:w="1728"/>
          </w:tcPr>
          <w:p>
            <w:r>
              <w:t>Warning Orange</w:t>
            </w:r>
          </w:p>
        </w:tc>
        <w:tc>
          <w:tcPr>
            <w:tcW w:type="dxa" w:w="1728"/>
          </w:tcPr>
          <w:p>
            <w:r>
              <w:t>#EA580C</w:t>
            </w:r>
          </w:p>
        </w:tc>
        <w:tc>
          <w:tcPr>
            <w:tcW w:type="dxa" w:w="1728"/>
          </w:tcPr>
          <w:p>
            <w:r>
              <w:t>234,88,12</w:t>
            </w:r>
          </w:p>
        </w:tc>
        <w:tc>
          <w:tcPr>
            <w:tcW w:type="dxa" w:w="1728"/>
          </w:tcPr>
          <w:p>
            <w:r>
              <w:t>Warnings</w:t>
            </w:r>
          </w:p>
        </w:tc>
        <w:tc>
          <w:tcPr>
            <w:tcW w:type="dxa" w:w="1728"/>
          </w:tcPr>
          <w:p>
            <w:r>
              <w:t>AA</w:t>
            </w:r>
          </w:p>
        </w:tc>
      </w:tr>
      <w:tr>
        <w:tc>
          <w:tcPr>
            <w:tcW w:type="dxa" w:w="1728"/>
          </w:tcPr>
          <w:p>
            <w:r>
              <w:t>Error Red</w:t>
            </w:r>
          </w:p>
        </w:tc>
        <w:tc>
          <w:tcPr>
            <w:tcW w:type="dxa" w:w="1728"/>
          </w:tcPr>
          <w:p>
            <w:r>
              <w:t>#DC2626</w:t>
            </w:r>
          </w:p>
        </w:tc>
        <w:tc>
          <w:tcPr>
            <w:tcW w:type="dxa" w:w="1728"/>
          </w:tcPr>
          <w:p>
            <w:r>
              <w:t>220,38,38</w:t>
            </w:r>
          </w:p>
        </w:tc>
        <w:tc>
          <w:tcPr>
            <w:tcW w:type="dxa" w:w="1728"/>
          </w:tcPr>
          <w:p>
            <w:r>
              <w:t>Errors</w:t>
            </w:r>
          </w:p>
        </w:tc>
        <w:tc>
          <w:tcPr>
            <w:tcW w:type="dxa" w:w="1728"/>
          </w:tcPr>
          <w:p>
            <w:r>
              <w:t>AA</w:t>
            </w:r>
          </w:p>
        </w:tc>
      </w:tr>
      <w:tr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#F8FAFC</w:t>
            </w:r>
          </w:p>
        </w:tc>
        <w:tc>
          <w:tcPr>
            <w:tcW w:type="dxa" w:w="1728"/>
          </w:tcPr>
          <w:p>
            <w:r>
              <w:t>248,250,252</w:t>
            </w:r>
          </w:p>
        </w:tc>
        <w:tc>
          <w:tcPr>
            <w:tcW w:type="dxa" w:w="1728"/>
          </w:tcPr>
          <w:p>
            <w:r>
              <w:t>Pages</w:t>
            </w:r>
          </w:p>
        </w:tc>
        <w:tc>
          <w:tcPr>
            <w:tcW w:type="dxa" w:w="1728"/>
          </w:tcPr>
          <w:p>
            <w:r>
              <w:t>AAA</w:t>
            </w:r>
          </w:p>
        </w:tc>
      </w:tr>
      <w:tr>
        <w:tc>
          <w:tcPr>
            <w:tcW w:type="dxa" w:w="1728"/>
          </w:tcPr>
          <w:p>
            <w:r>
              <w:t>Surface</w:t>
            </w:r>
          </w:p>
        </w:tc>
        <w:tc>
          <w:tcPr>
            <w:tcW w:type="dxa" w:w="1728"/>
          </w:tcPr>
          <w:p>
            <w:r>
              <w:t>#FFFFFF</w:t>
            </w:r>
          </w:p>
        </w:tc>
        <w:tc>
          <w:tcPr>
            <w:tcW w:type="dxa" w:w="1728"/>
          </w:tcPr>
          <w:p>
            <w:r>
              <w:t>255,255,255</w:t>
            </w:r>
          </w:p>
        </w:tc>
        <w:tc>
          <w:tcPr>
            <w:tcW w:type="dxa" w:w="1728"/>
          </w:tcPr>
          <w:p>
            <w:r>
              <w:t>Cards</w:t>
            </w:r>
          </w:p>
        </w:tc>
        <w:tc>
          <w:tcPr>
            <w:tcW w:type="dxa" w:w="1728"/>
          </w:tcPr>
          <w:p>
            <w:r>
              <w:t>AAA</w:t>
            </w:r>
          </w:p>
        </w:tc>
      </w:tr>
      <w:tr>
        <w:tc>
          <w:tcPr>
            <w:tcW w:type="dxa" w:w="1728"/>
          </w:tcPr>
          <w:p>
            <w:r>
              <w:t>Primary Text</w:t>
            </w:r>
          </w:p>
        </w:tc>
        <w:tc>
          <w:tcPr>
            <w:tcW w:type="dxa" w:w="1728"/>
          </w:tcPr>
          <w:p>
            <w:r>
              <w:t>#1E293B</w:t>
            </w:r>
          </w:p>
        </w:tc>
        <w:tc>
          <w:tcPr>
            <w:tcW w:type="dxa" w:w="1728"/>
          </w:tcPr>
          <w:p>
            <w:r>
              <w:t>30,41,59</w:t>
            </w:r>
          </w:p>
        </w:tc>
        <w:tc>
          <w:tcPr>
            <w:tcW w:type="dxa" w:w="1728"/>
          </w:tcPr>
          <w:p>
            <w:r>
              <w:t>Main text</w:t>
            </w:r>
          </w:p>
        </w:tc>
        <w:tc>
          <w:tcPr>
            <w:tcW w:type="dxa" w:w="1728"/>
          </w:tcPr>
          <w:p>
            <w:r>
              <w:t>AAA</w:t>
            </w:r>
          </w:p>
        </w:tc>
      </w:tr>
      <w:tr>
        <w:tc>
          <w:tcPr>
            <w:tcW w:type="dxa" w:w="1728"/>
          </w:tcPr>
          <w:p>
            <w:r>
              <w:t>Secondary Text</w:t>
            </w:r>
          </w:p>
        </w:tc>
        <w:tc>
          <w:tcPr>
            <w:tcW w:type="dxa" w:w="1728"/>
          </w:tcPr>
          <w:p>
            <w:r>
              <w:t>#64748B</w:t>
            </w:r>
          </w:p>
        </w:tc>
        <w:tc>
          <w:tcPr>
            <w:tcW w:type="dxa" w:w="1728"/>
          </w:tcPr>
          <w:p>
            <w:r>
              <w:t>100,116,139</w:t>
            </w:r>
          </w:p>
        </w:tc>
        <w:tc>
          <w:tcPr>
            <w:tcW w:type="dxa" w:w="1728"/>
          </w:tcPr>
          <w:p>
            <w:r>
              <w:t>Muted text</w:t>
            </w:r>
          </w:p>
        </w:tc>
        <w:tc>
          <w:tcPr>
            <w:tcW w:type="dxa" w:w="1728"/>
          </w:tcPr>
          <w:p>
            <w:r>
              <w:t>AA</w:t>
            </w:r>
          </w:p>
        </w:tc>
      </w:tr>
    </w:tbl>
    <w:p>
      <w:pPr>
        <w:pStyle w:val="Heading1"/>
      </w:pPr>
      <w:r>
        <w:t>Usage Rules</w:t>
      </w:r>
    </w:p>
    <w:p>
      <w:pPr>
        <w:pStyle w:val="ListBullet"/>
      </w:pPr>
      <w:r>
        <w:t>Primary Blue is the default action color.</w:t>
      </w:r>
    </w:p>
    <w:p>
      <w:pPr>
        <w:pStyle w:val="ListBullet"/>
      </w:pPr>
      <w:r>
        <w:t>Use Secondary Purple only for AI-related highlights.</w:t>
      </w:r>
    </w:p>
    <w:p>
      <w:pPr>
        <w:pStyle w:val="ListBullet"/>
      </w:pPr>
      <w:r>
        <w:t>Do not use more than three accent colors on a single page.</w:t>
      </w:r>
    </w:p>
    <w:p>
      <w:pPr>
        <w:pStyle w:val="ListBullet"/>
      </w:pPr>
      <w:r>
        <w:t>Maintain WCAG AA contrast for all UI components.</w:t>
      </w:r>
    </w:p>
    <w:p>
      <w:pPr>
        <w:pStyle w:val="ListBullet"/>
      </w:pPr>
      <w:r>
        <w:t>Never modify official brand colors.</w:t>
      </w:r>
    </w:p>
    <w:p>
      <w:pPr>
        <w:pStyle w:val="Heading1"/>
      </w:pPr>
      <w:r>
        <w:t>Dark Mode Mapping</w:t>
      </w:r>
    </w:p>
    <w:p>
      <w:r>
        <w:t>Background: #0F172A</w:t>
        <w:br/>
        <w:t>Surface: #1E293B</w:t>
        <w:br/>
        <w:t>Primary Text: #F8FAFC</w:t>
        <w:br/>
        <w:t>Secondary Text: #CBD5E1</w:t>
        <w:br/>
        <w:t>Primary Blue remains unchanged.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