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Closure Report – OrangeHRM</w:t>
      </w:r>
    </w:p>
    <w:p>
      <w:r>
        <w:t>Tester: Parth</w:t>
      </w:r>
    </w:p>
    <w:p>
      <w:r>
        <w:t>Date: 05-02-2026</w:t>
      </w:r>
    </w:p>
    <w:p>
      <w:pPr>
        <w:pStyle w:val="Heading2"/>
      </w:pPr>
      <w:r>
        <w:t>Execution Summary</w:t>
      </w:r>
    </w:p>
    <w:p>
      <w:r>
        <w:t>Total Test Cases: 10 | Passed: 9 | Failed: 1 | Pass %: 90%</w:t>
      </w:r>
    </w:p>
    <w:p>
      <w:pPr>
        <w:pStyle w:val="Heading2"/>
      </w:pPr>
      <w:r>
        <w:t>Defect Summary</w:t>
      </w:r>
    </w:p>
    <w:p>
      <w:r>
        <w:t>2 defects reported. One fixed, one open with known issue.</w:t>
      </w:r>
    </w:p>
    <w:p>
      <w:pPr>
        <w:pStyle w:val="Heading2"/>
      </w:pPr>
      <w:r>
        <w:t>Conclusion</w:t>
      </w:r>
    </w:p>
    <w:p>
      <w:r>
        <w:t>Application is conditionally approved for release.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