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bookmarkStart w:colFirst="0" w:colLast="0" w:name="_mpo28jcsa2h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NumPy (Numerical Python) is a cornerstone library for high-performance numerical computing in Python. It delivers an array object (ndarray) with efficient operations and a plethora of mathematical functions, empowering scientists and engineers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Accelerate computations: Vectorized operations significantly outperform Python loops, making data analysis and manipulation lightning-fast.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Tackle complex tasks: Handle multidimensional arrays efficiently, enabling sophisticated tasks like linear algebra, Fourier transforms, and random number generation.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Seamless integration: Collaborates seamlessly with SciPy, Matplotlib, and other scientific Python libraries, forming a powerful ecosystem.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Key advantages: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Efficient data structures: ndarrays provide superior performance compared to Python lists, especially for numerical operations.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Extensive functionality: A rich collection of mathematical functions caters to diverse needs, from solving linear systems to calculating eigenvalues.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200" w:before="200" w:line="204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Open-source and well-maintained: Actively developed and freely available, ensuring accessibility and reliability.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bookmarkStart w:colFirst="0" w:colLast="0" w:name="_ddb62hpnrv0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Jupyter Notebook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Jupyter Notebook, often simply called "Notebook," is the heart of the Jupyter Project, a powerful ecosystem for interactive computing. It goes beyond static code files, offering a unique web-based environment where you can: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Intermingle text and visuals: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Add explanations, annotations, and rich visualizations (plots, charts, images) alongside your code, creating a narrative flow.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Explore data interactively: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Use widgets and sliders to dynamically adjust code parameters and visualize real-time changes, fostering deeper understanding.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Share and collaborate: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Easily share notebooks with others or embed them in web pages, enabling reproducible research and collaborative workflows.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Key aspects: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Web-based: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No software installation required, accessible from any browser.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Open-source and community-driven: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Continuously evolving with a vast library of extensions and tools.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Extensible: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Can be customized with additional kernels (language support) and widgets.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Jupyter Notebook is ideal for: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Data exploration and analysis: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Quickly prototype analyses, visualize data distributions, and iterate on experiments.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Machine learning: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Develop and test algorithms, visualize model performance, and interpret results interactively.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Computational storytelling: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Create narrative reports that combine code, text, and visualizations for clear communication.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bookmarkStart w:colFirst="0" w:colLast="0" w:name="_st7bddsl0jy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TensorFlow</w:t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widowControl w:val="0"/>
        <w:shd w:fill="ffffff" w:val="clear"/>
        <w:spacing w:after="200" w:before="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bookmarkStart w:colFirst="0" w:colLast="0" w:name="_g647mspmanfb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TensorFlow is a versatile, open-source platform empowering developers and researchers to build and deploy machine learning (ML) applications across various domains. Its core strengths lie in:</w:t>
      </w:r>
    </w:p>
    <w:p w:rsidR="00000000" w:rsidDel="00000000" w:rsidP="00000000" w:rsidRDefault="00000000" w:rsidRPr="00000000" w14:paraId="0000001C">
      <w:pPr>
        <w:keepNext w:val="1"/>
        <w:keepLines w:val="1"/>
        <w:widowControl w:val="0"/>
        <w:shd w:fill="ffffff" w:val="clear"/>
        <w:spacing w:after="200" w:before="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Efficient Tensor Representation: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Data is structured as multidimensional tensors, enabling lightning-fast numerical computations using optimized libraries like cuBLAS and cuDNN on GPUs.</w:t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shd w:fill="ffffff" w:val="clear"/>
        <w:spacing w:after="200" w:before="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Flexible Architecture: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Build a wide range of models, from simple regressions to complex deep neural networks, with modular API components and customizable layers.</w:t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shd w:fill="ffffff" w:val="clear"/>
        <w:spacing w:after="200" w:before="0" w:line="240" w:lineRule="auto"/>
        <w:jc w:val="both"/>
        <w:rPr>
          <w:rFonts w:ascii="Times New Roman" w:cs="Times New Roman" w:eastAsia="Times New Roman" w:hAnsi="Times New Roman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Comprehensive Ecosystem: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Utilize pre-trained models, advanced tools for data pipeline, visualization, and deployment, and access a vibrant community for support and innovation.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Key Capabilities: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Training ML models: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Leverage algorithms like linear regression, decision trees, support vector machines, and deep learning for supervised, unsupervised, and reinforcement learning tasks.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Deploying models: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Run trained models on various platforms, including mobile devices, web browsers, edge devices, and cloud environments, using tools like TensorFlow Lite and TensorFlow Serving.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MLOps Integration: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Manage the ML lifecycle with TFX, ensuring model performance monitoring, retraining, and governance for production-grade systems.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TensorFlow caters to: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Researchers: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Explore cutting-edge algorithms, test hypotheses, and push the boundaries of ML innovation.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Developers: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Build real-world ML applications for image recognition, natural language processing, recommender systems, and more.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200" w:before="200" w:line="204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4"/>
          <w:szCs w:val="24"/>
          <w:rtl w:val="0"/>
        </w:rPr>
        <w:t xml:space="preserve">Data scientists: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Analyze datasets, train models, and interpret results to derive valuable insights.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