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Customer Churn Risk Analytics and Retention Prioritization</w:t>
      </w:r>
    </w:p>
    <w:p>
      <w:pPr>
        <w:jc w:val="center"/>
      </w:pPr>
      <w:r>
        <w:rPr>
          <w:b/>
          <w:color w:val="595959"/>
          <w:sz w:val="26"/>
        </w:rPr>
        <w:t>Business Case Document</w:t>
      </w:r>
    </w:p>
    <w:p>
      <w:pPr>
        <w:jc w:val="center"/>
      </w:pPr>
      <w:r>
        <w:rPr>
          <w:i/>
          <w:sz w:val="18"/>
        </w:rPr>
        <w:t>Focused on business problem, business impact, key findings, model outcomes, and recommendations</w:t>
      </w:r>
    </w:p>
    <w:p>
      <w:pPr>
        <w:pStyle w:val="Heading1"/>
      </w:pPr>
      <w:r>
        <w:t>1. Executive Summary</w:t>
      </w:r>
    </w:p>
    <w:p>
      <w:r>
        <w:t>Customer churn is a direct revenue, profitability, and relationship-management problem. The provided churn analytics project uses customer demographics, relationship attributes, product ownership, balance, geography, activity status, engineered flags, and actual churn outcome to identify segments most likely to leave. A rule-based 0–100 RiskScore was designed from EDA findings to convert churn drivers into an operational prioritization tool.</w:t>
      </w:r>
    </w:p>
    <w:tbl>
      <w:tblPr>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color w:val="1F4E79"/>
                <w:sz w:val="18"/>
              </w:rPr>
              <w:t>10,000</w:t>
              <w:br/>
              <w:t>Total Customers</w:t>
            </w:r>
          </w:p>
        </w:tc>
        <w:tc>
          <w:tcPr>
            <w:tcW w:type="dxa" w:w="2592"/>
            <w:shd w:fill="FADBD8"/>
            <w:vAlign w:val="center"/>
          </w:tcPr>
          <w:p>
            <w:r/>
            <w:r>
              <w:rPr>
                <w:b/>
                <w:color w:val="1F4E79"/>
                <w:sz w:val="18"/>
              </w:rPr>
              <w:t>2,037</w:t>
              <w:br/>
              <w:t>Churned Customers</w:t>
            </w:r>
          </w:p>
        </w:tc>
        <w:tc>
          <w:tcPr>
            <w:tcW w:type="dxa" w:w="2592"/>
            <w:shd w:fill="FDEBD0"/>
            <w:vAlign w:val="center"/>
          </w:tcPr>
          <w:p>
            <w:r/>
            <w:r>
              <w:rPr>
                <w:b/>
                <w:color w:val="1F4E79"/>
                <w:sz w:val="18"/>
              </w:rPr>
              <w:t>20.4%</w:t>
              <w:br/>
              <w:t>Overall Churn Rate</w:t>
            </w:r>
          </w:p>
        </w:tc>
        <w:tc>
          <w:tcPr>
            <w:tcW w:type="dxa" w:w="2592"/>
            <w:shd w:fill="D5F5E3"/>
            <w:vAlign w:val="center"/>
          </w:tcPr>
          <w:p>
            <w:r/>
            <w:r>
              <w:rPr>
                <w:b/>
                <w:color w:val="1F4E79"/>
                <w:sz w:val="18"/>
              </w:rPr>
              <w:t>7,963</w:t>
              <w:br/>
              <w:t>Retained Customers</w:t>
            </w:r>
          </w:p>
        </w:tc>
      </w:tr>
    </w:tbl>
    <w:p>
      <w:pPr>
        <w:pStyle w:val="Heading1"/>
      </w:pPr>
      <w:r>
        <w:t>2. Business Problem</w:t>
      </w:r>
    </w:p>
    <w:p>
      <w:r>
        <w:t>The business needs to identify which customers are most likely to churn before they exit, understand why those customers are at risk, and prioritize retention actions where they can produce the greatest impact. Without a clear churn-risk framework, retention teams may spend effort equally across customers instead of focusing on high-risk, high-value, and behaviorally explainable segments.</w:t>
      </w:r>
    </w:p>
    <w:p>
      <w:pPr>
        <w:pStyle w:val="ListBullet"/>
      </w:pPr>
      <w:r>
        <w:t>Churn reduces recurring revenue and long-term customer lifetime value.</w:t>
      </w:r>
    </w:p>
    <w:p>
      <w:pPr>
        <w:pStyle w:val="ListBullet"/>
      </w:pPr>
      <w:r>
        <w:t>Acquiring new customers is typically more expensive than retaining existing ones.</w:t>
      </w:r>
    </w:p>
    <w:p>
      <w:pPr>
        <w:pStyle w:val="ListBullet"/>
      </w:pPr>
      <w:r>
        <w:t>Unmanaged churn can indicate product dissatisfaction, poor engagement, weak relationship depth, or competitive pressure.</w:t>
      </w:r>
    </w:p>
    <w:p>
      <w:pPr>
        <w:pStyle w:val="ListBullet"/>
      </w:pPr>
      <w:r>
        <w:t>A risk-scored customer list enables targeted retention rather than broad, costly campaigns.</w:t>
      </w:r>
    </w:p>
    <w:p>
      <w:pPr>
        <w:pStyle w:val="Heading1"/>
      </w:pPr>
      <w:r>
        <w:t>3. Business Impact</w:t>
      </w:r>
    </w:p>
    <w:tbl>
      <w:tblPr>
        <w:tblStyle w:val="TableGrid"/>
        <w:tblW w:type="auto" w:w="0"/>
        <w:tblLook w:firstColumn="1" w:firstRow="1" w:lastColumn="0" w:lastRow="0" w:noHBand="0" w:noVBand="1" w:val="04A0"/>
      </w:tblPr>
      <w:tblGrid>
        <w:gridCol w:w="5184"/>
        <w:gridCol w:w="5184"/>
      </w:tblGrid>
      <w:tr>
        <w:tc>
          <w:tcPr>
            <w:tcW w:type="dxa" w:w="5184"/>
            <w:shd w:fill="1F4E79"/>
            <w:vAlign w:val="center"/>
          </w:tcPr>
          <w:p>
            <w:r/>
            <w:r>
              <w:rPr>
                <w:b/>
                <w:color w:val="FFFFFF"/>
                <w:sz w:val="18"/>
              </w:rPr>
              <w:t>Impact Area</w:t>
            </w:r>
          </w:p>
        </w:tc>
        <w:tc>
          <w:tcPr>
            <w:tcW w:type="dxa" w:w="5184"/>
            <w:shd w:fill="1F4E79"/>
            <w:vAlign w:val="center"/>
          </w:tcPr>
          <w:p>
            <w:r/>
            <w:r>
              <w:rPr>
                <w:b/>
                <w:color w:val="FFFFFF"/>
                <w:sz w:val="18"/>
              </w:rPr>
              <w:t>Business Meaning</w:t>
            </w:r>
          </w:p>
        </w:tc>
      </w:tr>
      <w:tr>
        <w:tc>
          <w:tcPr>
            <w:tcW w:type="dxa" w:w="5184"/>
            <w:vAlign w:val="center"/>
          </w:tcPr>
          <w:p>
            <w:r/>
            <w:r>
              <w:rPr>
                <w:b/>
                <w:color w:val="000000"/>
                <w:sz w:val="18"/>
              </w:rPr>
              <w:t>Revenue Protection</w:t>
            </w:r>
          </w:p>
        </w:tc>
        <w:tc>
          <w:tcPr>
            <w:tcW w:type="dxa" w:w="5184"/>
            <w:vAlign w:val="center"/>
          </w:tcPr>
          <w:p>
            <w:r/>
            <w:r>
              <w:rPr>
                <w:b w:val="0"/>
                <w:color w:val="000000"/>
                <w:sz w:val="18"/>
              </w:rPr>
              <w:t>Prioritizing customers most likely to churn protects deposits, balances, cross-sell revenue, and relationship value.</w:t>
            </w:r>
          </w:p>
        </w:tc>
      </w:tr>
      <w:tr>
        <w:tc>
          <w:tcPr>
            <w:tcW w:type="dxa" w:w="5184"/>
            <w:vAlign w:val="center"/>
          </w:tcPr>
          <w:p>
            <w:r/>
            <w:r>
              <w:rPr>
                <w:b/>
                <w:color w:val="000000"/>
                <w:sz w:val="18"/>
              </w:rPr>
              <w:t>Campaign Efficiency</w:t>
            </w:r>
          </w:p>
        </w:tc>
        <w:tc>
          <w:tcPr>
            <w:tcW w:type="dxa" w:w="5184"/>
            <w:vAlign w:val="center"/>
          </w:tcPr>
          <w:p>
            <w:r/>
            <w:r>
              <w:rPr>
                <w:b w:val="0"/>
                <w:color w:val="000000"/>
                <w:sz w:val="18"/>
              </w:rPr>
              <w:t>RiskTier segmentation helps retention teams focus resources on High and Critical customers instead of low-risk customers.</w:t>
            </w:r>
          </w:p>
        </w:tc>
      </w:tr>
      <w:tr>
        <w:tc>
          <w:tcPr>
            <w:tcW w:type="dxa" w:w="5184"/>
            <w:vAlign w:val="center"/>
          </w:tcPr>
          <w:p>
            <w:r/>
            <w:r>
              <w:rPr>
                <w:b/>
                <w:color w:val="000000"/>
                <w:sz w:val="18"/>
              </w:rPr>
              <w:t>Segment-Level Strategy</w:t>
            </w:r>
          </w:p>
        </w:tc>
        <w:tc>
          <w:tcPr>
            <w:tcW w:type="dxa" w:w="5184"/>
            <w:vAlign w:val="center"/>
          </w:tcPr>
          <w:p>
            <w:r/>
            <w:r>
              <w:rPr>
                <w:b w:val="0"/>
                <w:color w:val="000000"/>
                <w:sz w:val="18"/>
              </w:rPr>
              <w:t>Geography, age, product count, balance, activity, and gender differences allow tailored intervention design.</w:t>
            </w:r>
          </w:p>
        </w:tc>
      </w:tr>
      <w:tr>
        <w:tc>
          <w:tcPr>
            <w:tcW w:type="dxa" w:w="5184"/>
            <w:vAlign w:val="center"/>
          </w:tcPr>
          <w:p>
            <w:r/>
            <w:r>
              <w:rPr>
                <w:b/>
                <w:color w:val="000000"/>
                <w:sz w:val="18"/>
              </w:rPr>
              <w:t>Operational Accountability</w:t>
            </w:r>
          </w:p>
        </w:tc>
        <w:tc>
          <w:tcPr>
            <w:tcW w:type="dxa" w:w="5184"/>
            <w:vAlign w:val="center"/>
          </w:tcPr>
          <w:p>
            <w:r/>
            <w:r>
              <w:rPr>
                <w:b w:val="0"/>
                <w:color w:val="000000"/>
                <w:sz w:val="18"/>
              </w:rPr>
              <w:t>Dashboard metrics enable monitoring of churn rate, risk migration, campaign coverage, and conversion over time.</w:t>
            </w:r>
          </w:p>
        </w:tc>
      </w:tr>
    </w:tbl>
    <w:p>
      <w:pPr>
        <w:pStyle w:val="Heading1"/>
      </w:pPr>
      <w:r>
        <w:t>4. Key Analytical Findings</w:t>
      </w:r>
    </w:p>
    <w:p>
      <w:pPr>
        <w:pStyle w:val="ListBullet"/>
      </w:pPr>
      <w:r>
        <w:rPr>
          <w:b/>
        </w:rPr>
        <w:t xml:space="preserve">Product count is the strongest churn signal: </w:t>
      </w:r>
      <w:r>
        <w:t>Customers with 3 products show 82.7% churn and customers with 4 products show 100% churn, while 2-product customers show only 7.6% churn.</w:t>
      </w:r>
    </w:p>
    <w:p>
      <w:pPr>
        <w:pStyle w:val="ListBullet"/>
      </w:pPr>
      <w:r>
        <w:rPr>
          <w:b/>
        </w:rPr>
        <w:t xml:space="preserve">Age is the second strongest driver: </w:t>
      </w:r>
      <w:r>
        <w:t>The 50–59 segment shows the highest observed churn rate at 56.0%, compared with 7.6% for ages 18–29 and 10.9% for ages 30–39.</w:t>
      </w:r>
    </w:p>
    <w:p>
      <w:pPr>
        <w:pStyle w:val="ListBullet"/>
      </w:pPr>
      <w:r>
        <w:rPr>
          <w:b/>
        </w:rPr>
        <w:t xml:space="preserve">Germany is a high-risk geography: </w:t>
      </w:r>
      <w:r>
        <w:t>Germany shows 32.4% churn, roughly double France at 16.2% and Spain at 16.7%.</w:t>
      </w:r>
    </w:p>
    <w:p>
      <w:pPr>
        <w:pStyle w:val="ListBullet"/>
      </w:pPr>
      <w:r>
        <w:rPr>
          <w:b/>
        </w:rPr>
        <w:t xml:space="preserve">Inactive customers are materially riskier: </w:t>
      </w:r>
      <w:r>
        <w:t>Inactive members show 26.9% churn versus 14.3% among active members.</w:t>
      </w:r>
    </w:p>
    <w:p>
      <w:pPr>
        <w:pStyle w:val="ListBullet"/>
      </w:pPr>
      <w:r>
        <w:rPr>
          <w:b/>
        </w:rPr>
        <w:t xml:space="preserve">Balance has a non-linear relationship with churn: </w:t>
      </w:r>
      <w:r>
        <w:t>Zero-balance customers are comparatively lower-risk at 13.8%, while positive-balance customers show higher churn, especially in the 100k–150k range at 25.8%.</w:t>
      </w:r>
    </w:p>
    <w:p>
      <w:pPr>
        <w:pStyle w:val="ListBullet"/>
      </w:pPr>
      <w:r>
        <w:rPr>
          <w:b/>
        </w:rPr>
        <w:t xml:space="preserve">Gender has a measurable effect: </w:t>
      </w:r>
      <w:r>
        <w:t>Female customers show 25.1% churn compared with 16.5% for male customers.</w:t>
      </w:r>
    </w:p>
    <w:p>
      <w:pPr>
        <w:pStyle w:val="ListBullet"/>
      </w:pPr>
      <w:r>
        <w:rPr>
          <w:b/>
        </w:rPr>
        <w:t xml:space="preserve">Interactions identify priority intervention groups: </w:t>
      </w:r>
      <w:r>
        <w:t>Inactive senior customers and female customers in Germany form important high-risk segments for targeted retention actions.</w:t>
      </w:r>
    </w:p>
    <w:p>
      <w:pPr>
        <w:pStyle w:val="Heading1"/>
      </w:pPr>
      <w:r>
        <w:t>5. Model / Risk Score Outcome</w:t>
      </w:r>
    </w:p>
    <w:p>
      <w:r>
        <w:t>The project created a transparent rule-based churn RiskScore from 0 to 100. The score is intentionally explainable: each score component maps to an observed churn driver from EDA. This makes it appropriate for business adoption, stakeholder review, operational triage, and future comparison against machine learning models.</w:t>
      </w:r>
    </w:p>
    <w:tbl>
      <w:tblPr>
        <w:tblStyle w:val="TableGrid"/>
        <w:tblW w:type="auto" w:w="0"/>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Score Component</w:t>
            </w:r>
          </w:p>
        </w:tc>
        <w:tc>
          <w:tcPr>
            <w:tcW w:type="dxa" w:w="3456"/>
            <w:shd w:fill="1F4E79"/>
            <w:vAlign w:val="center"/>
          </w:tcPr>
          <w:p>
            <w:r/>
            <w:r>
              <w:rPr>
                <w:b/>
                <w:color w:val="FFFFFF"/>
                <w:sz w:val="18"/>
              </w:rPr>
              <w:t>Max Points</w:t>
            </w:r>
          </w:p>
        </w:tc>
        <w:tc>
          <w:tcPr>
            <w:tcW w:type="dxa" w:w="3456"/>
            <w:shd w:fill="1F4E79"/>
            <w:vAlign w:val="center"/>
          </w:tcPr>
          <w:p>
            <w:r/>
            <w:r>
              <w:rPr>
                <w:b/>
                <w:color w:val="FFFFFF"/>
                <w:sz w:val="18"/>
              </w:rPr>
              <w:t>Business Rationale</w:t>
            </w:r>
          </w:p>
        </w:tc>
      </w:tr>
      <w:tr>
        <w:tc>
          <w:tcPr>
            <w:tcW w:type="dxa" w:w="3456"/>
            <w:vAlign w:val="center"/>
          </w:tcPr>
          <w:p>
            <w:r/>
            <w:r>
              <w:rPr>
                <w:b/>
                <w:color w:val="000000"/>
                <w:sz w:val="18"/>
              </w:rPr>
              <w:t>NumOfProducts</w:t>
            </w:r>
          </w:p>
        </w:tc>
        <w:tc>
          <w:tcPr>
            <w:tcW w:type="dxa" w:w="3456"/>
            <w:vAlign w:val="center"/>
          </w:tcPr>
          <w:p>
            <w:r/>
            <w:r>
              <w:rPr>
                <w:b w:val="0"/>
                <w:color w:val="000000"/>
                <w:sz w:val="18"/>
              </w:rPr>
              <w:t>28</w:t>
            </w:r>
          </w:p>
        </w:tc>
        <w:tc>
          <w:tcPr>
            <w:tcW w:type="dxa" w:w="3456"/>
            <w:vAlign w:val="center"/>
          </w:tcPr>
          <w:p>
            <w:r/>
            <w:r>
              <w:rPr>
                <w:b w:val="0"/>
                <w:color w:val="000000"/>
                <w:sz w:val="18"/>
              </w:rPr>
              <w:t>Strongest signal; 3–4 products correlate with extremely high churn.</w:t>
            </w:r>
          </w:p>
        </w:tc>
      </w:tr>
      <w:tr>
        <w:tc>
          <w:tcPr>
            <w:tcW w:type="dxa" w:w="3456"/>
            <w:vAlign w:val="center"/>
          </w:tcPr>
          <w:p>
            <w:r/>
            <w:r>
              <w:rPr>
                <w:b/>
                <w:color w:val="000000"/>
                <w:sz w:val="18"/>
              </w:rPr>
              <w:t>Age</w:t>
            </w:r>
          </w:p>
        </w:tc>
        <w:tc>
          <w:tcPr>
            <w:tcW w:type="dxa" w:w="3456"/>
            <w:vAlign w:val="center"/>
          </w:tcPr>
          <w:p>
            <w:r/>
            <w:r>
              <w:rPr>
                <w:b w:val="0"/>
                <w:color w:val="000000"/>
                <w:sz w:val="18"/>
              </w:rPr>
              <w:t>23</w:t>
            </w:r>
          </w:p>
        </w:tc>
        <w:tc>
          <w:tcPr>
            <w:tcW w:type="dxa" w:w="3456"/>
            <w:vAlign w:val="center"/>
          </w:tcPr>
          <w:p>
            <w:r/>
            <w:r>
              <w:rPr>
                <w:b w:val="0"/>
                <w:color w:val="000000"/>
                <w:sz w:val="18"/>
              </w:rPr>
              <w:t>50–59 segment is the highest-risk age band.</w:t>
            </w:r>
          </w:p>
        </w:tc>
      </w:tr>
      <w:tr>
        <w:tc>
          <w:tcPr>
            <w:tcW w:type="dxa" w:w="3456"/>
            <w:vAlign w:val="center"/>
          </w:tcPr>
          <w:p>
            <w:r/>
            <w:r>
              <w:rPr>
                <w:b/>
                <w:color w:val="000000"/>
                <w:sz w:val="18"/>
              </w:rPr>
              <w:t>Geography</w:t>
            </w:r>
          </w:p>
        </w:tc>
        <w:tc>
          <w:tcPr>
            <w:tcW w:type="dxa" w:w="3456"/>
            <w:vAlign w:val="center"/>
          </w:tcPr>
          <w:p>
            <w:r/>
            <w:r>
              <w:rPr>
                <w:b w:val="0"/>
                <w:color w:val="000000"/>
                <w:sz w:val="18"/>
              </w:rPr>
              <w:t>14</w:t>
            </w:r>
          </w:p>
        </w:tc>
        <w:tc>
          <w:tcPr>
            <w:tcW w:type="dxa" w:w="3456"/>
            <w:vAlign w:val="center"/>
          </w:tcPr>
          <w:p>
            <w:r/>
            <w:r>
              <w:rPr>
                <w:b w:val="0"/>
                <w:color w:val="000000"/>
                <w:sz w:val="18"/>
              </w:rPr>
              <w:t>Germany churns at about 2x France/Spain.</w:t>
            </w:r>
          </w:p>
        </w:tc>
      </w:tr>
      <w:tr>
        <w:tc>
          <w:tcPr>
            <w:tcW w:type="dxa" w:w="3456"/>
            <w:vAlign w:val="center"/>
          </w:tcPr>
          <w:p>
            <w:r/>
            <w:r>
              <w:rPr>
                <w:b/>
                <w:color w:val="000000"/>
                <w:sz w:val="18"/>
              </w:rPr>
              <w:t>IsActiveMember</w:t>
            </w:r>
          </w:p>
        </w:tc>
        <w:tc>
          <w:tcPr>
            <w:tcW w:type="dxa" w:w="3456"/>
            <w:vAlign w:val="center"/>
          </w:tcPr>
          <w:p>
            <w:r/>
            <w:r>
              <w:rPr>
                <w:b w:val="0"/>
                <w:color w:val="000000"/>
                <w:sz w:val="18"/>
              </w:rPr>
              <w:t>11</w:t>
            </w:r>
          </w:p>
        </w:tc>
        <w:tc>
          <w:tcPr>
            <w:tcW w:type="dxa" w:w="3456"/>
            <w:vAlign w:val="center"/>
          </w:tcPr>
          <w:p>
            <w:r/>
            <w:r>
              <w:rPr>
                <w:b w:val="0"/>
                <w:color w:val="000000"/>
                <w:sz w:val="18"/>
              </w:rPr>
              <w:t>Inactive customers churn at nearly double the active rate.</w:t>
            </w:r>
          </w:p>
        </w:tc>
      </w:tr>
      <w:tr>
        <w:tc>
          <w:tcPr>
            <w:tcW w:type="dxa" w:w="3456"/>
            <w:vAlign w:val="center"/>
          </w:tcPr>
          <w:p>
            <w:r/>
            <w:r>
              <w:rPr>
                <w:b/>
                <w:color w:val="000000"/>
                <w:sz w:val="18"/>
              </w:rPr>
              <w:t>Balance</w:t>
            </w:r>
          </w:p>
        </w:tc>
        <w:tc>
          <w:tcPr>
            <w:tcW w:type="dxa" w:w="3456"/>
            <w:vAlign w:val="center"/>
          </w:tcPr>
          <w:p>
            <w:r/>
            <w:r>
              <w:rPr>
                <w:b w:val="0"/>
                <w:color w:val="000000"/>
                <w:sz w:val="18"/>
              </w:rPr>
              <w:t>8</w:t>
            </w:r>
          </w:p>
        </w:tc>
        <w:tc>
          <w:tcPr>
            <w:tcW w:type="dxa" w:w="3456"/>
            <w:vAlign w:val="center"/>
          </w:tcPr>
          <w:p>
            <w:r/>
            <w:r>
              <w:rPr>
                <w:b w:val="0"/>
                <w:color w:val="000000"/>
                <w:sz w:val="18"/>
              </w:rPr>
              <w:t>Positive balance, especially high balance, increases churn risk.</w:t>
            </w:r>
          </w:p>
        </w:tc>
      </w:tr>
      <w:tr>
        <w:tc>
          <w:tcPr>
            <w:tcW w:type="dxa" w:w="3456"/>
            <w:vAlign w:val="center"/>
          </w:tcPr>
          <w:p>
            <w:r/>
            <w:r>
              <w:rPr>
                <w:b/>
                <w:color w:val="000000"/>
                <w:sz w:val="18"/>
              </w:rPr>
              <w:t>Gender</w:t>
            </w:r>
          </w:p>
        </w:tc>
        <w:tc>
          <w:tcPr>
            <w:tcW w:type="dxa" w:w="3456"/>
            <w:vAlign w:val="center"/>
          </w:tcPr>
          <w:p>
            <w:r/>
            <w:r>
              <w:rPr>
                <w:b w:val="0"/>
                <w:color w:val="000000"/>
                <w:sz w:val="18"/>
              </w:rPr>
              <w:t>7</w:t>
            </w:r>
          </w:p>
        </w:tc>
        <w:tc>
          <w:tcPr>
            <w:tcW w:type="dxa" w:w="3456"/>
            <w:vAlign w:val="center"/>
          </w:tcPr>
          <w:p>
            <w:r/>
            <w:r>
              <w:rPr>
                <w:b w:val="0"/>
                <w:color w:val="000000"/>
                <w:sz w:val="18"/>
              </w:rPr>
              <w:t>Female customers show higher churn than male customers.</w:t>
            </w:r>
          </w:p>
        </w:tc>
      </w:tr>
      <w:tr>
        <w:tc>
          <w:tcPr>
            <w:tcW w:type="dxa" w:w="3456"/>
            <w:vAlign w:val="center"/>
          </w:tcPr>
          <w:p>
            <w:r/>
            <w:r>
              <w:rPr>
                <w:b/>
                <w:color w:val="000000"/>
                <w:sz w:val="18"/>
              </w:rPr>
              <w:t>Interactions</w:t>
            </w:r>
          </w:p>
        </w:tc>
        <w:tc>
          <w:tcPr>
            <w:tcW w:type="dxa" w:w="3456"/>
            <w:vAlign w:val="center"/>
          </w:tcPr>
          <w:p>
            <w:r/>
            <w:r>
              <w:rPr>
                <w:b w:val="0"/>
                <w:color w:val="000000"/>
                <w:sz w:val="18"/>
              </w:rPr>
              <w:t>9</w:t>
            </w:r>
          </w:p>
        </w:tc>
        <w:tc>
          <w:tcPr>
            <w:tcW w:type="dxa" w:w="3456"/>
            <w:vAlign w:val="center"/>
          </w:tcPr>
          <w:p>
            <w:r/>
            <w:r>
              <w:rPr>
                <w:b w:val="0"/>
                <w:color w:val="000000"/>
                <w:sz w:val="18"/>
              </w:rPr>
              <w:t>Inactive senior and female-Germany bonuses capture combined risk.</w:t>
            </w:r>
          </w:p>
        </w:tc>
      </w:tr>
    </w:tbl>
    <w:p>
      <w:r>
        <w:t>Risk tiers are defined as: Low = 0–20, Medium = 21–40, High = 41–60, Critical = 61–100.</w:t>
      </w:r>
    </w:p>
    <w:p>
      <w:r>
        <w:t>Model outcome: the score converts raw customer attributes into a single business-friendly risk measure and supports prioritization by RiskTier. The highest-risk profiles are expected to include customers with 3–4 products, age 50–59, Germany geography, inactive status, positive/high balances, female gender, and the inactive-senior or female-Germany interaction flags.</w:t>
      </w:r>
    </w:p>
    <w:p>
      <w:pPr>
        <w:pStyle w:val="Heading1"/>
      </w:pPr>
      <w:r>
        <w:t>6. Recommendations</w:t>
      </w:r>
    </w:p>
    <w:p>
      <w:pPr>
        <w:pStyle w:val="ListNumber"/>
      </w:pPr>
      <w:r>
        <w:rPr>
          <w:b/>
        </w:rPr>
        <w:t xml:space="preserve">Launch a high-risk retention queue: </w:t>
      </w:r>
      <w:r>
        <w:t>Use RiskTier = High/Critical as the first campaign audience. Prioritize customers with 3–4 products, inactive seniors, and Germany-based female customers.</w:t>
      </w:r>
    </w:p>
    <w:p>
      <w:pPr>
        <w:pStyle w:val="ListNumber"/>
      </w:pPr>
      <w:r>
        <w:rPr>
          <w:b/>
        </w:rPr>
        <w:t xml:space="preserve">Create a 50–59 customer care journey: </w:t>
      </w:r>
      <w:r>
        <w:t>Design proactive relationship-manager outreach, benefits review, loyalty offers, and service recovery for the 50–59 segment.</w:t>
      </w:r>
    </w:p>
    <w:p>
      <w:pPr>
        <w:pStyle w:val="ListNumber"/>
      </w:pPr>
      <w:r>
        <w:rPr>
          <w:b/>
        </w:rPr>
        <w:t xml:space="preserve">Investigate 3–4 product customers: </w:t>
      </w:r>
      <w:r>
        <w:t>Audit pricing, product overlap, support friction, and product suitability. Churn at this level suggests dissatisfaction or product complexity.</w:t>
      </w:r>
    </w:p>
    <w:p>
      <w:pPr>
        <w:pStyle w:val="ListNumber"/>
      </w:pPr>
      <w:r>
        <w:rPr>
          <w:b/>
        </w:rPr>
        <w:t xml:space="preserve">Improve inactive-member engagement: </w:t>
      </w:r>
      <w:r>
        <w:t>Trigger digital nudges, branch callbacks, financial health checkups, and personalized product usage campaigns for inactive customers.</w:t>
      </w:r>
    </w:p>
    <w:p>
      <w:pPr>
        <w:pStyle w:val="ListNumber"/>
      </w:pPr>
      <w:r>
        <w:rPr>
          <w:b/>
        </w:rPr>
        <w:t xml:space="preserve">Focus Germany-specific retention strategy: </w:t>
      </w:r>
      <w:r>
        <w:t>Review local service experience, product fit, fee sensitivity, and competitive pressure in Germany.</w:t>
      </w:r>
    </w:p>
    <w:p>
      <w:pPr>
        <w:pStyle w:val="ListNumber"/>
      </w:pPr>
      <w:r>
        <w:rPr>
          <w:b/>
        </w:rPr>
        <w:t xml:space="preserve">Use the dashboard operationally: </w:t>
      </w:r>
      <w:r>
        <w:t>Monitor weekly churn risk movement, campaign conversion, and churn-rate changes by RiskTier, geography, product count, and age band.</w:t>
      </w:r>
    </w:p>
    <w:p>
      <w:pPr>
        <w:pStyle w:val="ListNumber"/>
      </w:pPr>
      <w:r>
        <w:rPr>
          <w:b/>
        </w:rPr>
        <w:t xml:space="preserve">Move from rule score to predictive model in phase 2: </w:t>
      </w:r>
      <w:r>
        <w:t>Train logistic regression, random forest, or gradient boosting models and compare AUC/lift against the rule-based score.</w:t>
      </w:r>
    </w:p>
    <w:p>
      <w:pPr>
        <w:pStyle w:val="Heading1"/>
      </w:pPr>
      <w:r>
        <w:t>7. Suggested Implementation Roadmap</w:t>
      </w:r>
    </w:p>
    <w:tbl>
      <w:tblPr>
        <w:tblStyle w:val="TableGrid"/>
        <w:tblW w:type="auto" w:w="0"/>
        <w:tblLook w:firstColumn="1" w:firstRow="1" w:lastColumn="0" w:lastRow="0" w:noHBand="0" w:noVBand="1" w:val="04A0"/>
      </w:tblPr>
      <w:tblGrid>
        <w:gridCol w:w="5184"/>
        <w:gridCol w:w="5184"/>
      </w:tblGrid>
      <w:tr>
        <w:tc>
          <w:tcPr>
            <w:tcW w:type="dxa" w:w="5184"/>
            <w:shd w:fill="1F4E79"/>
            <w:vAlign w:val="center"/>
          </w:tcPr>
          <w:p>
            <w:r/>
            <w:r>
              <w:rPr>
                <w:b/>
                <w:color w:val="FFFFFF"/>
                <w:sz w:val="18"/>
              </w:rPr>
              <w:t>Timeline</w:t>
            </w:r>
          </w:p>
        </w:tc>
        <w:tc>
          <w:tcPr>
            <w:tcW w:type="dxa" w:w="5184"/>
            <w:shd w:fill="1F4E79"/>
            <w:vAlign w:val="center"/>
          </w:tcPr>
          <w:p>
            <w:r/>
            <w:r>
              <w:rPr>
                <w:b/>
                <w:color w:val="FFFFFF"/>
                <w:sz w:val="18"/>
              </w:rPr>
              <w:t>Action</w:t>
            </w:r>
          </w:p>
        </w:tc>
      </w:tr>
      <w:tr>
        <w:tc>
          <w:tcPr>
            <w:tcW w:type="dxa" w:w="5184"/>
            <w:vAlign w:val="center"/>
          </w:tcPr>
          <w:p>
            <w:r/>
            <w:r>
              <w:rPr>
                <w:b/>
                <w:color w:val="000000"/>
                <w:sz w:val="18"/>
              </w:rPr>
              <w:t>Week 1</w:t>
            </w:r>
          </w:p>
        </w:tc>
        <w:tc>
          <w:tcPr>
            <w:tcW w:type="dxa" w:w="5184"/>
            <w:vAlign w:val="center"/>
          </w:tcPr>
          <w:p>
            <w:r/>
            <w:r>
              <w:rPr>
                <w:b w:val="0"/>
                <w:color w:val="000000"/>
                <w:sz w:val="18"/>
              </w:rPr>
              <w:t>Load scored customer file into Power BI; validate RiskScore and RiskTier; publish dashboard.</w:t>
            </w:r>
          </w:p>
        </w:tc>
      </w:tr>
      <w:tr>
        <w:tc>
          <w:tcPr>
            <w:tcW w:type="dxa" w:w="5184"/>
            <w:vAlign w:val="center"/>
          </w:tcPr>
          <w:p>
            <w:r/>
            <w:r>
              <w:rPr>
                <w:b/>
                <w:color w:val="000000"/>
                <w:sz w:val="18"/>
              </w:rPr>
              <w:t>Weeks 2–3</w:t>
            </w:r>
          </w:p>
        </w:tc>
        <w:tc>
          <w:tcPr>
            <w:tcW w:type="dxa" w:w="5184"/>
            <w:vAlign w:val="center"/>
          </w:tcPr>
          <w:p>
            <w:r/>
            <w:r>
              <w:rPr>
                <w:b w:val="0"/>
                <w:color w:val="000000"/>
                <w:sz w:val="18"/>
              </w:rPr>
              <w:t>Create retention campaign list for High/Critical customers and design segment-specific offers.</w:t>
            </w:r>
          </w:p>
        </w:tc>
      </w:tr>
      <w:tr>
        <w:tc>
          <w:tcPr>
            <w:tcW w:type="dxa" w:w="5184"/>
            <w:vAlign w:val="center"/>
          </w:tcPr>
          <w:p>
            <w:r/>
            <w:r>
              <w:rPr>
                <w:b/>
                <w:color w:val="000000"/>
                <w:sz w:val="18"/>
              </w:rPr>
              <w:t>Weeks 4–6</w:t>
            </w:r>
          </w:p>
        </w:tc>
        <w:tc>
          <w:tcPr>
            <w:tcW w:type="dxa" w:w="5184"/>
            <w:vAlign w:val="center"/>
          </w:tcPr>
          <w:p>
            <w:r/>
            <w:r>
              <w:rPr>
                <w:b w:val="0"/>
                <w:color w:val="000000"/>
                <w:sz w:val="18"/>
              </w:rPr>
              <w:t>Track outreach completion, accepted offers, saved customers, and churn reduction by segment.</w:t>
            </w:r>
          </w:p>
        </w:tc>
      </w:tr>
      <w:tr>
        <w:tc>
          <w:tcPr>
            <w:tcW w:type="dxa" w:w="5184"/>
            <w:vAlign w:val="center"/>
          </w:tcPr>
          <w:p>
            <w:r/>
            <w:r>
              <w:rPr>
                <w:b/>
                <w:color w:val="000000"/>
                <w:sz w:val="18"/>
              </w:rPr>
              <w:t>Phase 2</w:t>
            </w:r>
          </w:p>
        </w:tc>
        <w:tc>
          <w:tcPr>
            <w:tcW w:type="dxa" w:w="5184"/>
            <w:vAlign w:val="center"/>
          </w:tcPr>
          <w:p>
            <w:r/>
            <w:r>
              <w:rPr>
                <w:b w:val="0"/>
                <w:color w:val="000000"/>
                <w:sz w:val="18"/>
              </w:rPr>
              <w:t>Train predictive ML model and compare lift, precision, recall, and AUC against the rule-based score.</w:t>
            </w:r>
          </w:p>
        </w:tc>
      </w:tr>
    </w:tbl>
    <w:p>
      <w:pPr>
        <w:pStyle w:val="Heading1"/>
      </w:pPr>
      <w:r>
        <w:t>8. Expected Business Value</w:t>
      </w:r>
    </w:p>
    <w:p>
      <w:r>
        <w:t>The business value comes from moving retention from reactive to proactive. A scored customer base enables the organization to identify high-risk customers before churn occurs, concentrate retention budget, reduce wasted outreach, and tailor interventions to the actual churn drivers. The dashboard and scorecard also provide a management layer for tracking churn risk by geography, age, product ownership, balance, activity, and risk tier.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