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6E" w:val="clear"/>
            <w:tcMar>
              <w:top w:type="dxa" w:w="200"/>
              <w:left w:type="dxa" w:w="240"/>
              <w:bottom w:type="dxa" w:w="200"/>
              <w:right w:type="dxa" w:w="240"/>
            </w:tcMar>
          </w:tcPr>
          <w:p>
            <w:pPr>
              <w:jc w:val="center"/>
            </w:pPr>
            <w:r>
              <w:rPr>
                <w:rFonts w:ascii="Arial" w:cs="Arial" w:eastAsia="Arial" w:hAnsi="Arial"/>
                <w:b/>
                <w:bCs/>
                <w:color w:val="FFFFFF"/>
                <w:sz w:val="40"/>
                <w:szCs w:val="40"/>
              </w:rPr>
              <w:t xml:space="preserve">VaultMind 2.0 — Challenge &amp; Risk Mitigation Document</w:t>
            </w:r>
          </w:p>
          <w:p>
            <w:pPr>
              <w:jc w:val="center"/>
            </w:pPr>
            <w:r>
              <w:rPr>
                <w:rFonts w:ascii="Arial" w:cs="Arial" w:eastAsia="Arial" w:hAnsi="Arial"/>
                <w:color w:val="BDC3C7"/>
                <w:sz w:val="22"/>
                <w:szCs w:val="22"/>
              </w:rPr>
              <w:t xml:space="preserve">12 Ground-Level Banking Challenges | Technical &amp; Architectural Solutions | Judge Q&amp;A Preparation</w:t>
            </w:r>
          </w:p>
        </w:tc>
      </w:tr>
    </w:tbl>
    <w:p>
      <w:pPr>
        <w:spacing w:after="60" w:before="60"/>
      </w:pPr>
      <w:r>
        <w:t xml:space="preserve"/>
      </w:r>
    </w:p>
    <w:p>
      <w:pPr>
        <w:spacing w:after="60" w:before="60"/>
      </w:pPr>
      <w:r>
        <w:rPr>
          <w:rFonts w:ascii="Arial" w:cs="Arial" w:eastAsia="Arial" w:hAnsi="Arial"/>
          <w:color w:val="1C2833"/>
          <w:sz w:val="22"/>
          <w:szCs w:val="22"/>
        </w:rPr>
        <w:t xml:space="preserve">This document contains the 12 hardest real-world challenges identified for VaultMind's deployment in an Indian PSB environment. Each challenge has a complete technical solution built into the system architecture. Use this document to prepare 30-second verbal answers for judge Q&amp;A.</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EF9F7" w:val="clear"/>
            <w:tcMar>
              <w:top w:type="dxa" w:w="120"/>
              <w:left w:type="dxa" w:w="200"/>
              <w:bottom w:type="dxa" w:w="120"/>
              <w:right w:type="dxa" w:w="200"/>
            </w:tcMar>
          </w:tcPr>
          <w:p>
            <w:r>
              <w:rPr>
                <w:rFonts w:ascii="Arial" w:cs="Arial" w:eastAsia="Arial" w:hAnsi="Arial"/>
                <w:b/>
                <w:bCs/>
                <w:color w:val="1A3C6E"/>
                <w:sz w:val="24"/>
                <w:szCs w:val="24"/>
              </w:rPr>
              <w:t xml:space="preserve">Challenge 1: The Mirage Account Trap — EOD False Positive</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An IT Admin runs a legitimate EOD database indexing script at 2 AM that scans all accounts including Mirage Accounts. Does DeceptionGuard fire a 100/100 alert on an innocent employee?</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Session fingerprinting distinguishes machine-speed batch access (dwell &lt; 0.001s/record, sequential pattern, service account credentials) from human UI access (dwell &gt; 2s, authenticated user session, browser fingerprint). DeceptionGuard only triggers on HUMAN session type. EOD scripts are classified as BATCH — zero false positives. Additionally, all registered service account IDs are whitelisted in DeceptionGuard config. The EOD script can scan every Mirage Account every night — not a single alert fires. Only a human physically opening ACC-MIRAGE-007 on their workstation triggers the trap.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2: Pre-Crime During Financial Year End</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In March (FYE), every employee works 3x harder. Markov chain predicts HIGH risk for employees simply doing their normal year-end workload. Advisory system becomes a cry-wolf machine.</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Calendar Context Normalisation Layer built into the Orchestrator. The system maintains a bank-calendar table with known high-volume periods: FYE (March 25–31), quarter-end weeks, salary processing days, RBI reporting deadlines. During these windows, the anomaly threshold scales proportionally with the bank-wide average surge multiplier. If branch average increases 3x, individual thresholds increase 3x. An employee who is 1.1x their peer average during FYE is normal. Additionally, Pre-Crime scores are strictly ADVISORY — they populate the FCU watchlist for heightened monitoring but trigger zero access restrictions. No employee is flagged, blocked, or escalated based on Pre-Crime prediction alone. Human FCU review is always required before any action.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3: CBS Performance Degradation</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8 AI agents continuously pulling from CBS database in real-time could slow or crash the core banking system serving millions of customer transactions.</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VaultMind never touches the live CBS transaction engine. The Edge Agent reads from the CBS AUDIT LOG TABLE — a separate append-only table that Finacle/BaNCS already writes to independently. This is a read-only operation with zero write pressure on CBS. Access pattern: 5-second micro-batch polling of the audit log tail (SQL: SELECT * FROM audit_log WHERE event_id &gt; last_processed_id LIMIT 500). Maximum CBS impact: equivalent to one analyst running a simple SELECT query every 5 seconds. Network payload to regional hub: &lt; 10KB/minute/branch — fits comfortably on 2 Mbps BSNL leased lines. All heavy ML inference runs on the Regional Hub server, not on CBS infrastructure.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4: Slow Boil Attack — Data Poisoning / Model Drift</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A sophisticated fraudster gradually increases their record access by 10 extra per week over 12 weeks. The LSTM learns this as the 'new normal' and stops flagging it.</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Three-layer defense. Layer 1 — Peer Group Anchoring: Personal baseline adaptation does not change the peer cluster average. Even if an individual's LSTM normalises to 200 records/day, the peer cluster of 40 similar clerks stays at 90–110. The peer_percentile_records score keeps rising even as personal baseline adapts. Layer 2 — Drift Velocity Monitoring: The system tracks the rate of baseline change per week (drift_velocity_per_week). Legitimate role changes cause irregular drift. Deliberate poisoning shows unnaturally smooth, linear drift. Agent 1 flags drift_velocity &gt; 8 records/week as a secondary anomaly signal. Layer 3 — Immutable 90-Day Anchor: Every employee has a fixed anchor baseline computed on their first 90 days. This anchor can only be manually reset by an FCU supervisor with documented justification. Significant deviation from the 90-day anchor always generates at minimum a MONITOR flag, regardless of recent baseline adaptation.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5: Bank Union Strike — Employee Privacy</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Employee unions allege 'invasion of privacy' and 'AI surveillance' when they learn VaultMind monitors every click, creating a nationwide strike risk.</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VaultMind monitors transaction logs and system access logs — the exact same audit trail that RBI Master Directions 2024 already mandates every bank to maintain. VaultMind does not add new surveillance. It adds intelligence to existing, legally mandated records. Technical privacy architecture: all employee identifiers are pseudonymised at ingestion (Emp_4471 not 'Ramesh Kumar Gupta'). The name-to-ID mapping is held in a separate encrypted vault. FCU investigators see only pseudonymised IDs during investigation. Unmasking requires dual FCU supervisor authorisation and generates its own audit record. The union argument: 'We are not reading your WhatsApp, monitoring your screen, or tracking your location. We are analysing the same audit log your bank has maintained for years under RBI orders — faster, not invasively.' Federated Learning ensures no raw employee data leaves the branch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FEF2F2" w:val="clear"/>
            <w:tcMar>
              <w:top w:type="dxa" w:w="120"/>
              <w:left w:type="dxa" w:w="200"/>
              <w:bottom w:type="dxa" w:w="120"/>
              <w:right w:type="dxa" w:w="200"/>
            </w:tcMar>
          </w:tcPr>
          <w:p>
            <w:r>
              <w:rPr>
                <w:rFonts w:ascii="Arial" w:cs="Arial" w:eastAsia="Arial" w:hAnsi="Arial"/>
                <w:b/>
                <w:bCs/>
                <w:color w:val="1A3C6E"/>
                <w:sz w:val="24"/>
                <w:szCs w:val="24"/>
              </w:rPr>
              <w:t xml:space="preserve">Challenge 6: God-Level Alert — Who Watches the CRO</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If the CRO or Zonal Head is committing fraud, they control the Command Centre dashboard where their own alert would appear. The fraudster sees their own crime notification.</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Three-tier alert routing with out-of-band escalation. Tier 1 (standard employees): alerts go to Branch FCU. Tier 2 (managers, regional heads): alerts bypass local reporting chain, go directly to Zonal FCU. Tier 3 (CRO, Zonal Head, Board-level): alert is automatically and simultaneously pushed to three independent channels — Board Audit Committee (independent directors), RBI Department of Supervision (via auto-generated STR), and a pre-designated independent forensic partner. Tier 3 alerts are completely excluded from the Command Centre dashboard that the executive controls. The escalation channel is configured at system deployment time by the Bank's Board, not the CISO or CRO. A Tier 3 alert cannot be suppressed, dismissed, or delayed by any single individual within the bank.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7: Analog Bypass — Smartphone Photography</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A corrupt loan officer photographs HNI account screens with a personal smartphone. No digital download, no USB, no data transfer — VaultMind sees nothing.</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VaultMind explicitly does not claim to solve physical/analog data exfiltration. This is an acknowledged limitation, identical to every commercial UEBA product (Securonix, Splunk UBA, Exabeam). VaultMind's defence: it dramatically reduces the profitability and frequency of analog attacks by (1) closing the digital attack surface so adversaries are forced to resort to physical methods — a much slower, higher-risk approach; (2) tracking purposeless browsing patterns — a loan officer who opens 20 HNI accounts daily with no associated transaction, complaint, or application generates an 'aimless access' signal that Agent 1 flags as anomalous; (3) Mirage Accounts include fake HNI profiles that appear attractive to a photographer, triggering a digital alert even if the physical act is undetected. Complementary physical controls (phone-free zones, clean desk policy, CCTV in sensitive areas) address the remaining gap.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8: Courtroom Legal Admissibility</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Defence lawyer argues: 'My client was fired based on a black-box AI probability score of 96/100. The LSTM cannot explain its decision. Blockchain only proves the bank saved a log — not that the log is true.'</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No employee is ever fired based on VaultMind's score alone. The score initiates a formal FCU investigation. Investigation findings — gathered by human investigators — form the termination basis. VaultMind is the first responder, not the judge. On legal admissibility: Bharatiya Sakshya Adhiniyam (BSA) 2023, Section 63 explicitly recognises electronic records as admissible with a certificate of authenticity. SHA-256 blockchain hash provides this certificate — it proves the log existed at a specific timestamp and has not been altered. On the 'black box' argument: SHAP values produce a plain-English, factual narrative — 'Alert fired because: login at 2:47 AM, 4,847 records accessed, unknown IP, ₹47L transfer.' Each contributing factor is a verifiable, timestamped event in the bank's own CBS audit log. The probability is not the evidence. The underlying factual events — which are digitally signed and blockchain-anchored — are the evidence. SHAP simply organises them for human comprehension.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9: Legacy Finacle on 2 Mbps BSNL Lines</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Rural PSB branches run 15-year-old Finacle versions on 2 Mbps BSNL leased lines. Modern Kafka streaming and 8 AI agents cannot operate in this environment.</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Three-tier Hub-and-Spoke architecture designed specifically for this constraint. Tier 1 — Branch Edge Agent: A lightweight Python process (&lt; 50MB RAM, &lt; 2% CPU) deployed on the branch's existing Windows/Linux server. It reads the local CBS audit log file (already written to disk by Finacle — no CBS modification required). Compresses delta rows (only new events since last sync) into 1KB JSON packets. Uploads on a 5-second micro-batch cycle. Network payload: &lt; 10KB/minute/branch — uses less than 1% of a 2 Mbps line. Kafka, ML models, and all heavy computation run on the Regional Hub, not at the branch. Tier 2 — Regional Hub: Bank's existing regional data centre. Aggregates from 50–100 branches. Runs all 8 agents. Tier 3 — Central Mumbai HQ: Receives scored alerts only, not raw logs. Raw CBS data never travels beyond the branch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10: Trusted Vendor Hijack — Supply Chain Attack</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A compromised payment gateway vendor uses valid API keys from valid IPs at normal volume. 5 fraudulent transactions hidden among thousands of legitimate ones. Agent 3 sees normal vendor behaviour.</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Agent 3 (VendorGuard) monitors vendor API call sequence fingerprints, not just volume. Every vendor has a characteristic call sequence: /validate_card → /process_payment → /confirm_transaction with specific inter-call timing distributions and data fields accessed. A compromised vendor deviates from this fingerprint even at normal volume. The fraudulent calls insert /export_customer_data into the sequence — the sequence_hash changes, the sequence_deviation_score spikes. Secondary detection: Agent 2 (FundFlow) cross-correlates vendor API activity with internal employee access. If 5 vendor API calls are immediately followed by the same 5 accounts being accessed internally within 60 seconds — the temporal correlation is flagged as a compound signal even if neither event alone triggers an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EAF2FB" w:val="clear"/>
            <w:tcMar>
              <w:top w:type="dxa" w:w="120"/>
              <w:left w:type="dxa" w:w="200"/>
              <w:bottom w:type="dxa" w:w="120"/>
              <w:right w:type="dxa" w:w="200"/>
            </w:tcMar>
          </w:tcPr>
          <w:p>
            <w:r>
              <w:rPr>
                <w:rFonts w:ascii="Arial" w:cs="Arial" w:eastAsia="Arial" w:hAnsi="Arial"/>
                <w:b/>
                <w:bCs/>
                <w:color w:val="1A3C6E"/>
                <w:sz w:val="24"/>
                <w:szCs w:val="24"/>
              </w:rPr>
              <w:t xml:space="preserve">Challenge 11: Zero-Day AI Evasion — Adversarial GAN</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A bank data scientist reverse-engineers VaultMind's threshold using dummy queries, discovers the 96/100 critical threshold, and designs transactions that score exactly 95.5/100.</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Three-layer defense against adversarial evasion. Layer 1 — Model Opacity: Exact model weights, feature coefficients, and threshold values are never exposed to any user. The XAI slider shows directional contribution, not precise coefficients. Without exact model access, threshold reverse-engineering requires thousands of probe queries — each of which generates its own anomalous access pattern (Agent 1 flags the probing behaviour itself). Layer 2 — Ensemble Unpredictability: The final score is a dynamically weighted ensemble of 8 agents. Weights update daily via HITL feedback. An adversary who models today's threshold finds it has shifted by morning. The attack surface is a moving target. Layer 3 — Canary Scoring: Any employee whose behaviour consistently stays just below the dynamically calculated critical threshold — the pattern of threshold-hugging itself is flagged as evasion behaviour. Legitimate employees do not modulate their work patterns to stay precisely 0.5 points below a detection threshold.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
              <w:left w:val="single" w:color="1A3C6E" w:sz="1"/>
              <w:bottom w:val="single" w:color="1A3C6E" w:sz="1"/>
              <w:right w:val="single" w:color="1A3C6E" w:sz="1"/>
            </w:tcBorders>
            <w:shd w:fill="FEF2F2" w:val="clear"/>
            <w:tcMar>
              <w:top w:type="dxa" w:w="120"/>
              <w:left w:type="dxa" w:w="200"/>
              <w:bottom w:type="dxa" w:w="120"/>
              <w:right w:type="dxa" w:w="200"/>
            </w:tcMar>
          </w:tcPr>
          <w:p>
            <w:r>
              <w:rPr>
                <w:rFonts w:ascii="Arial" w:cs="Arial" w:eastAsia="Arial" w:hAnsi="Arial"/>
                <w:b/>
                <w:bCs/>
                <w:color w:val="1A3C6E"/>
                <w:sz w:val="24"/>
                <w:szCs w:val="24"/>
              </w:rPr>
              <w:t xml:space="preserve">Challenge 12: Infrastructure Failure — Fail-Safe Dilemma</w:t>
            </w:r>
          </w:p>
          <w:p>
            <w:pPr>
              <w:spacing w:after="40" w:before="80"/>
            </w:pPr>
            <w:r>
              <w:rPr>
                <w:rFonts w:ascii="Arial" w:cs="Arial" w:eastAsia="Arial" w:hAnsi="Arial"/>
                <w:b/>
                <w:bCs/>
                <w:color w:val="C0392B"/>
                <w:sz w:val="20"/>
                <w:szCs w:val="20"/>
              </w:rPr>
              <w:t xml:space="preserve">PROBLEM:</w:t>
            </w:r>
          </w:p>
          <w:p>
            <w:pPr>
              <w:spacing w:after="80" w:before="0"/>
            </w:pPr>
            <w:r>
              <w:rPr>
                <w:rFonts w:ascii="Arial" w:cs="Arial" w:eastAsia="Arial" w:hAnsi="Arial"/>
                <w:i/>
                <w:iCs/>
                <w:color w:val="1C2833"/>
                <w:sz w:val="20"/>
                <w:szCs w:val="20"/>
              </w:rPr>
              <w:t xml:space="preserve">Ransomware hits the data centre on Diwali. VaultMind disconnects from CBS. Fail-Open (transactions flow unscanned, fraud unchecked) vs Fail-Closed (bank services halt nationwide). Both options are catastrophic.</w:t>
            </w:r>
          </w:p>
          <w:p>
            <w:pPr>
              <w:spacing w:after="40" w:before="80"/>
            </w:pPr>
            <w:r>
              <w:rPr>
                <w:rFonts w:ascii="Arial" w:cs="Arial" w:eastAsia="Arial" w:hAnsi="Arial"/>
                <w:b/>
                <w:bCs/>
                <w:color w:val="0D7377"/>
                <w:sz w:val="20"/>
                <w:szCs w:val="20"/>
              </w:rPr>
              <w:t xml:space="preserve">SOLUTION ARCHITECTURE:</w:t>
            </w:r>
          </w:p>
          <w:p>
            <w:pPr>
              <w:spacing w:after="40" w:before="0"/>
            </w:pPr>
            <w:r>
              <w:rPr>
                <w:rFonts w:ascii="Arial" w:cs="Arial" w:eastAsia="Arial" w:hAnsi="Arial"/>
                <w:color w:val="1C2833"/>
                <w:sz w:val="20"/>
                <w:szCs w:val="20"/>
              </w:rPr>
              <w:t xml:space="preserve">Graceful degradation through three phases. Phase 1 (0–5 minutes — Kafka retry): Automatic reconnection attempts. Dashboard shows 'CBS Connection Degraded' warning. All existing in-memory scores remain valid and visible. No operational change for customers. Phase 2 (5–30 minutes — Static Rule Engine): Pre-compiled deterministic rules activate automatically with zero human intervention. Rules: any transaction &gt; ₹25L outside 9AM–8PM = hold for manual FCU review; any access to /export_dump after hours = alert; any privilege escalation attempt = block and alert. No ML, no Kafka needed — pure if-then rules that provide baseline protection. Phase 3 (30+ minutes — Passive Logging + Fail-Open): All customer transactions proceed normally (Fail-Open for customer continuity — halting UPI/ATM nationwide is not an option). Every event is written to a local encrypted buffer with PENDING_REVIEW flag. When connectivity restores, the buffer processes through all 8 agents retroactively within 60 seconds. Any fraud that occurred during the outage is detected within minutes of restoration.</w:t>
            </w:r>
          </w:p>
        </w:tc>
      </w:tr>
    </w:tbl>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2026-05-07T15:48:36.589Z</dcterms:created>
  <dcterms:modified xsi:type="dcterms:W3CDTF">2026-05-07T15:48:36.589Z</dcterms:modified>
</cp:coreProperties>
</file>

<file path=docProps/custom.xml><?xml version="1.0" encoding="utf-8"?>
<Properties xmlns="http://schemas.openxmlformats.org/officeDocument/2006/custom-properties" xmlns:vt="http://schemas.openxmlformats.org/officeDocument/2006/docPropsVTypes"/>
</file>