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A84BD" w14:textId="797DD442" w:rsidR="00FF4975" w:rsidRPr="00FF4975" w:rsidRDefault="00FF4975" w:rsidP="00FF497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F4975">
        <w:rPr>
          <w:rFonts w:ascii="Times New Roman" w:hAnsi="Times New Roman" w:cs="Times New Roman"/>
          <w:b/>
          <w:bCs/>
          <w:sz w:val="32"/>
          <w:szCs w:val="32"/>
        </w:rPr>
        <w:t>Task 2 - Transcriptomics</w:t>
      </w:r>
      <w:r w:rsidRPr="00FF4975">
        <w:rPr>
          <w:rFonts w:ascii="Times New Roman" w:hAnsi="Times New Roman" w:cs="Times New Roman"/>
          <w:b/>
          <w:bCs/>
          <w:sz w:val="32"/>
          <w:szCs w:val="32"/>
        </w:rPr>
        <w:t xml:space="preserve"> Analysis</w:t>
      </w:r>
    </w:p>
    <w:p w14:paraId="0F1FC1C0" w14:textId="77777777" w:rsidR="00FF4975" w:rsidRDefault="00FF4975" w:rsidP="00FF497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F4975">
        <w:rPr>
          <w:rFonts w:ascii="Times New Roman" w:hAnsi="Times New Roman" w:cs="Times New Roman"/>
          <w:b/>
          <w:bCs/>
          <w:sz w:val="32"/>
          <w:szCs w:val="32"/>
        </w:rPr>
        <w:t>Effects of oral glucose load on the gene expression of peripheral blood mononuclear cells (PBMCs) in Asian-Indian men.</w:t>
      </w:r>
    </w:p>
    <w:p w14:paraId="5D8331D3" w14:textId="03758031" w:rsidR="00FF4975" w:rsidRPr="00FF4975" w:rsidRDefault="00FF4975" w:rsidP="00FF49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4975">
        <w:rPr>
          <w:rFonts w:ascii="Times New Roman" w:hAnsi="Times New Roman" w:cs="Times New Roman"/>
          <w:b/>
          <w:bCs/>
          <w:sz w:val="28"/>
          <w:szCs w:val="28"/>
        </w:rPr>
        <w:t xml:space="preserve">Abstract </w:t>
      </w:r>
    </w:p>
    <w:p w14:paraId="35FDB2CF" w14:textId="0E978686" w:rsidR="00FF4975" w:rsidRPr="00FF4975" w:rsidRDefault="00FF4975" w:rsidP="00FF4975">
      <w:pPr>
        <w:pStyle w:val="ListParagraph"/>
        <w:numPr>
          <w:ilvl w:val="0"/>
          <w:numId w:val="1"/>
        </w:numPr>
        <w:spacing w:before="320" w:after="80"/>
        <w:rPr>
          <w:rFonts w:ascii="Times New Roman" w:hAnsi="Times New Roman" w:cs="Times New Roman"/>
          <w:sz w:val="28"/>
          <w:szCs w:val="28"/>
        </w:rPr>
      </w:pPr>
      <w:r w:rsidRPr="00FF4975">
        <w:rPr>
          <w:rFonts w:ascii="Times New Roman" w:hAnsi="Times New Roman" w:cs="Times New Roman"/>
          <w:b/>
          <w:sz w:val="28"/>
          <w:szCs w:val="28"/>
        </w:rPr>
        <w:t>Objective</w:t>
      </w:r>
    </w:p>
    <w:p w14:paraId="19BEDB69" w14:textId="6670451B" w:rsidR="00FF4975" w:rsidRDefault="00FF4975" w:rsidP="00FF4975">
      <w:pPr>
        <w:pStyle w:val="NormalWeb"/>
      </w:pPr>
      <w:r>
        <w:t xml:space="preserve">Type 2 diabetes (T2D) and cardiovascular disease (CVD) strike Asian-Indian populations at younger ages and lower body mass indices (BMI) than other groups, a pattern known clinically as the ‘Asian Indian Phenotype.’ Peripheral blood mononuclear cells (PBMCs) circulate through the vasculature and respond to systemic metabolic and inflammatory changes, </w:t>
      </w:r>
      <w:r>
        <w:t>making them useful sentinel cells for early disease detection</w:t>
      </w:r>
      <w:r>
        <w:t>.</w:t>
      </w:r>
    </w:p>
    <w:p w14:paraId="1097BA29" w14:textId="5F19CF0E" w:rsidR="00FF4975" w:rsidRDefault="00FF4975" w:rsidP="00FF4975">
      <w:pPr>
        <w:pStyle w:val="NormalWeb"/>
      </w:pPr>
      <w:r>
        <w:t xml:space="preserve">This study </w:t>
      </w:r>
      <w:r>
        <w:t xml:space="preserve">aims </w:t>
      </w:r>
      <w:r>
        <w:t xml:space="preserve">to </w:t>
      </w:r>
      <w:r>
        <w:t>characterise</w:t>
      </w:r>
      <w:r>
        <w:t xml:space="preserve"> </w:t>
      </w:r>
      <w:r>
        <w:t xml:space="preserve">condition-specific transcriptional changes induced by an acute oral glucose challenge (75g OGTT) </w:t>
      </w:r>
      <w:r>
        <w:t>in Asian-Indian men, comparing individuals with Normal Glucose Tolerance (NGT) and Prediabetes (PD). The design used two independent, stratified comparisons:</w:t>
      </w:r>
    </w:p>
    <w:p w14:paraId="7B6FC8E9" w14:textId="6D5B9CF9" w:rsidR="00FF4975" w:rsidRDefault="00FF4975" w:rsidP="00FF4975">
      <w:pPr>
        <w:pStyle w:val="NormalWeb"/>
        <w:numPr>
          <w:ilvl w:val="0"/>
          <w:numId w:val="2"/>
        </w:numPr>
      </w:pPr>
      <w:r>
        <w:t>Comparison 1 (Basal State): Fasting NGT vs. Fasting PD</w:t>
      </w:r>
      <w:r>
        <w:t xml:space="preserve"> (Prediabetes)</w:t>
      </w:r>
    </w:p>
    <w:p w14:paraId="34D17984" w14:textId="44047E58" w:rsidR="00FF4975" w:rsidRDefault="00FF4975" w:rsidP="00FF4975">
      <w:pPr>
        <w:pStyle w:val="NormalWeb"/>
        <w:numPr>
          <w:ilvl w:val="0"/>
          <w:numId w:val="2"/>
        </w:numPr>
      </w:pPr>
      <w:r>
        <w:t>Comparison 2 (Challenged State): 2-Hour Post-OGTT NGT vs. 2-Hour Post-OGTT PD</w:t>
      </w:r>
    </w:p>
    <w:p w14:paraId="44CD1161" w14:textId="11390497" w:rsidR="00FF4975" w:rsidRDefault="00FF4975" w:rsidP="00FF4975">
      <w:pPr>
        <w:pStyle w:val="NormalWeb"/>
      </w:pPr>
      <w:r>
        <w:t>These two comparisons let us ask whether prediabetes in immune cells is a fixed, chronic abnormality or a failure of acute postprandial adaptation, and to trace the molecular pathways that contribute to vascular complications.</w:t>
      </w:r>
    </w:p>
    <w:p w14:paraId="0FA78127" w14:textId="764EA57A" w:rsidR="00FF4975" w:rsidRPr="00C97D0A" w:rsidRDefault="00FF4975" w:rsidP="00FF4975">
      <w:pPr>
        <w:pStyle w:val="ListParagraph"/>
        <w:numPr>
          <w:ilvl w:val="0"/>
          <w:numId w:val="1"/>
        </w:numPr>
        <w:spacing w:before="320" w:after="80"/>
        <w:rPr>
          <w:rFonts w:ascii="Times New Roman" w:hAnsi="Times New Roman" w:cs="Times New Roman"/>
          <w:b/>
          <w:sz w:val="28"/>
          <w:szCs w:val="28"/>
        </w:rPr>
      </w:pPr>
      <w:r w:rsidRPr="00C97D0A">
        <w:rPr>
          <w:rFonts w:ascii="Times New Roman" w:hAnsi="Times New Roman" w:cs="Times New Roman"/>
          <w:b/>
          <w:sz w:val="28"/>
          <w:szCs w:val="28"/>
        </w:rPr>
        <w:t>Dataset Exploration &amp; Study Cohort</w:t>
      </w:r>
    </w:p>
    <w:p w14:paraId="2812680C" w14:textId="2ABB0B40" w:rsidR="00FF4975" w:rsidRPr="00C97D0A" w:rsidRDefault="00C97D0A" w:rsidP="00FF4975">
      <w:pPr>
        <w:spacing w:after="100"/>
        <w:rPr>
          <w:rFonts w:ascii="Times New Roman" w:hAnsi="Times New Roman" w:cs="Times New Roman"/>
        </w:rPr>
      </w:pPr>
      <w:r w:rsidRPr="00C97D0A">
        <w:rPr>
          <w:rFonts w:ascii="Times New Roman" w:hAnsi="Times New Roman" w:cs="Times New Roman"/>
          <w:b/>
          <w:bCs/>
        </w:rPr>
        <w:t>Cohort structure:</w:t>
      </w:r>
      <w:r w:rsidRPr="00C97D0A">
        <w:rPr>
          <w:rFonts w:ascii="Times New Roman" w:hAnsi="Times New Roman" w:cs="Times New Roman"/>
        </w:rPr>
        <w:t xml:space="preserve"> We </w:t>
      </w:r>
      <w:r w:rsidRPr="00C97D0A">
        <w:rPr>
          <w:rFonts w:ascii="Times New Roman" w:hAnsi="Times New Roman" w:cs="Times New Roman"/>
        </w:rPr>
        <w:t>used</w:t>
      </w:r>
      <w:r w:rsidRPr="00C97D0A">
        <w:rPr>
          <w:rFonts w:ascii="Times New Roman" w:hAnsi="Times New Roman" w:cs="Times New Roman"/>
        </w:rPr>
        <w:t xml:space="preserve"> publicly available transcriptomics data from NCBI GEO (accession GSE153837). The dataset </w:t>
      </w:r>
      <w:r w:rsidRPr="00C97D0A">
        <w:rPr>
          <w:rFonts w:ascii="Times New Roman" w:hAnsi="Times New Roman" w:cs="Times New Roman"/>
        </w:rPr>
        <w:t>contains</w:t>
      </w:r>
      <w:r w:rsidRPr="00C97D0A">
        <w:rPr>
          <w:rFonts w:ascii="Times New Roman" w:hAnsi="Times New Roman" w:cs="Times New Roman"/>
        </w:rPr>
        <w:t xml:space="preserve"> 28 PBMC samples from Asian-Indian men across four experimental groups.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872"/>
        <w:gridCol w:w="1924"/>
        <w:gridCol w:w="1275"/>
        <w:gridCol w:w="2561"/>
      </w:tblGrid>
      <w:tr w:rsidR="00FF4975" w:rsidRPr="00C97D0A" w14:paraId="0BB84F20" w14:textId="77777777" w:rsidTr="00C97D0A">
        <w:trPr>
          <w:jc w:val="center"/>
        </w:trPr>
        <w:tc>
          <w:tcPr>
            <w:tcW w:w="1728" w:type="dxa"/>
            <w:shd w:val="clear" w:color="auto" w:fill="1F618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2E54A5" w14:textId="77777777" w:rsidR="00FF4975" w:rsidRPr="00C97D0A" w:rsidRDefault="00FF4975" w:rsidP="00C97D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97D0A"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Group Code</w:t>
            </w:r>
          </w:p>
        </w:tc>
        <w:tc>
          <w:tcPr>
            <w:tcW w:w="1872" w:type="dxa"/>
            <w:shd w:val="clear" w:color="auto" w:fill="1F618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72384D" w14:textId="77777777" w:rsidR="00FF4975" w:rsidRPr="00C97D0A" w:rsidRDefault="00FF4975" w:rsidP="00C97D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97D0A"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Condition</w:t>
            </w:r>
          </w:p>
        </w:tc>
        <w:tc>
          <w:tcPr>
            <w:tcW w:w="1924" w:type="dxa"/>
            <w:shd w:val="clear" w:color="auto" w:fill="1F618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6AD33" w14:textId="77777777" w:rsidR="00FF4975" w:rsidRPr="00C97D0A" w:rsidRDefault="00FF4975" w:rsidP="00C97D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97D0A"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Timepoint</w:t>
            </w:r>
          </w:p>
        </w:tc>
        <w:tc>
          <w:tcPr>
            <w:tcW w:w="1275" w:type="dxa"/>
            <w:shd w:val="clear" w:color="auto" w:fill="1F618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8F6573" w14:textId="77777777" w:rsidR="00FF4975" w:rsidRPr="00C97D0A" w:rsidRDefault="00FF4975" w:rsidP="00C97D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97D0A"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Sample Size (n)</w:t>
            </w:r>
          </w:p>
        </w:tc>
        <w:tc>
          <w:tcPr>
            <w:tcW w:w="2561" w:type="dxa"/>
            <w:shd w:val="clear" w:color="auto" w:fill="1F618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33EA82" w14:textId="77777777" w:rsidR="00FF4975" w:rsidRPr="00C97D0A" w:rsidRDefault="00FF4975" w:rsidP="00C97D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97D0A"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Biological State</w:t>
            </w:r>
          </w:p>
        </w:tc>
      </w:tr>
      <w:tr w:rsidR="00FF4975" w:rsidRPr="00C97D0A" w14:paraId="68CEC888" w14:textId="77777777" w:rsidTr="00C97D0A">
        <w:trPr>
          <w:jc w:val="center"/>
        </w:trPr>
        <w:tc>
          <w:tcPr>
            <w:tcW w:w="1728" w:type="dxa"/>
            <w:shd w:val="clear" w:color="auto" w:fill="F2F4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C0468F" w14:textId="77777777" w:rsidR="00FF4975" w:rsidRPr="00C97D0A" w:rsidRDefault="00FF4975" w:rsidP="00C97D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97D0A">
              <w:rPr>
                <w:rFonts w:ascii="Times New Roman" w:hAnsi="Times New Roman" w:cs="Times New Roman"/>
                <w:sz w:val="22"/>
                <w:szCs w:val="22"/>
              </w:rPr>
              <w:t>NGT_Fasting</w:t>
            </w:r>
          </w:p>
        </w:tc>
        <w:tc>
          <w:tcPr>
            <w:tcW w:w="1872" w:type="dxa"/>
            <w:shd w:val="clear" w:color="auto" w:fill="F2F4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5F9DD0" w14:textId="77777777" w:rsidR="00FF4975" w:rsidRPr="00C97D0A" w:rsidRDefault="00FF4975" w:rsidP="00C97D0A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97D0A">
              <w:rPr>
                <w:rFonts w:ascii="Times New Roman" w:hAnsi="Times New Roman" w:cs="Times New Roman"/>
                <w:sz w:val="22"/>
                <w:szCs w:val="22"/>
              </w:rPr>
              <w:t>Normal Glucose Tolerance</w:t>
            </w:r>
          </w:p>
        </w:tc>
        <w:tc>
          <w:tcPr>
            <w:tcW w:w="1924" w:type="dxa"/>
            <w:shd w:val="clear" w:color="auto" w:fill="F2F4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360170" w14:textId="77777777" w:rsidR="00FF4975" w:rsidRPr="00C97D0A" w:rsidRDefault="00FF4975" w:rsidP="00C97D0A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97D0A">
              <w:rPr>
                <w:rFonts w:ascii="Times New Roman" w:hAnsi="Times New Roman" w:cs="Times New Roman"/>
                <w:sz w:val="22"/>
                <w:szCs w:val="22"/>
              </w:rPr>
              <w:t>Fasting (0 hr)</w:t>
            </w:r>
          </w:p>
        </w:tc>
        <w:tc>
          <w:tcPr>
            <w:tcW w:w="1275" w:type="dxa"/>
            <w:shd w:val="clear" w:color="auto" w:fill="F2F4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E20D77" w14:textId="77777777" w:rsidR="00FF4975" w:rsidRPr="00C97D0A" w:rsidRDefault="00FF4975" w:rsidP="00C97D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97D0A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2561" w:type="dxa"/>
            <w:shd w:val="clear" w:color="auto" w:fill="F2F4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2B57AA" w14:textId="77777777" w:rsidR="00FF4975" w:rsidRPr="00C97D0A" w:rsidRDefault="00FF4975" w:rsidP="00C97D0A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97D0A">
              <w:rPr>
                <w:rFonts w:ascii="Times New Roman" w:hAnsi="Times New Roman" w:cs="Times New Roman"/>
                <w:sz w:val="22"/>
                <w:szCs w:val="22"/>
              </w:rPr>
              <w:t>Healthy baseline resting controls</w:t>
            </w:r>
          </w:p>
        </w:tc>
      </w:tr>
      <w:tr w:rsidR="00FF4975" w:rsidRPr="00C97D0A" w14:paraId="2E3456B9" w14:textId="77777777" w:rsidTr="00C97D0A">
        <w:trPr>
          <w:jc w:val="center"/>
        </w:trPr>
        <w:tc>
          <w:tcPr>
            <w:tcW w:w="172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EFF6F3" w14:textId="77777777" w:rsidR="00FF4975" w:rsidRPr="00C97D0A" w:rsidRDefault="00FF4975" w:rsidP="00C97D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97D0A">
              <w:rPr>
                <w:rFonts w:ascii="Times New Roman" w:hAnsi="Times New Roman" w:cs="Times New Roman"/>
                <w:sz w:val="22"/>
                <w:szCs w:val="22"/>
              </w:rPr>
              <w:t>NGT_OGTT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E1B78D" w14:textId="77777777" w:rsidR="00FF4975" w:rsidRPr="00C97D0A" w:rsidRDefault="00FF4975" w:rsidP="00C97D0A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97D0A">
              <w:rPr>
                <w:rFonts w:ascii="Times New Roman" w:hAnsi="Times New Roman" w:cs="Times New Roman"/>
                <w:sz w:val="22"/>
                <w:szCs w:val="22"/>
              </w:rPr>
              <w:t>Normal Glucose Tolerance</w:t>
            </w:r>
          </w:p>
        </w:tc>
        <w:tc>
          <w:tcPr>
            <w:tcW w:w="192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B4595" w14:textId="77777777" w:rsidR="00FF4975" w:rsidRPr="00C97D0A" w:rsidRDefault="00FF4975" w:rsidP="00C97D0A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97D0A">
              <w:rPr>
                <w:rFonts w:ascii="Times New Roman" w:hAnsi="Times New Roman" w:cs="Times New Roman"/>
                <w:sz w:val="22"/>
                <w:szCs w:val="22"/>
              </w:rPr>
              <w:t>Post-OGTT (2 hr)</w:t>
            </w:r>
          </w:p>
        </w:tc>
        <w:tc>
          <w:tcPr>
            <w:tcW w:w="127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B94929" w14:textId="77777777" w:rsidR="00FF4975" w:rsidRPr="00C97D0A" w:rsidRDefault="00FF4975" w:rsidP="00C97D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97D0A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2561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38702E" w14:textId="77777777" w:rsidR="00FF4975" w:rsidRPr="00C97D0A" w:rsidRDefault="00FF4975" w:rsidP="00C97D0A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97D0A">
              <w:rPr>
                <w:rFonts w:ascii="Times New Roman" w:hAnsi="Times New Roman" w:cs="Times New Roman"/>
                <w:sz w:val="22"/>
                <w:szCs w:val="22"/>
              </w:rPr>
              <w:t>Healthy acute glucose response</w:t>
            </w:r>
          </w:p>
        </w:tc>
      </w:tr>
      <w:tr w:rsidR="00FF4975" w:rsidRPr="00C97D0A" w14:paraId="303EB2E6" w14:textId="77777777" w:rsidTr="00C97D0A">
        <w:trPr>
          <w:jc w:val="center"/>
        </w:trPr>
        <w:tc>
          <w:tcPr>
            <w:tcW w:w="1728" w:type="dxa"/>
            <w:shd w:val="clear" w:color="auto" w:fill="F2F4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EFD206" w14:textId="77777777" w:rsidR="00FF4975" w:rsidRPr="00C97D0A" w:rsidRDefault="00FF4975" w:rsidP="00C97D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97D0A">
              <w:rPr>
                <w:rFonts w:ascii="Times New Roman" w:hAnsi="Times New Roman" w:cs="Times New Roman"/>
                <w:sz w:val="22"/>
                <w:szCs w:val="22"/>
              </w:rPr>
              <w:t>PD_Fasting</w:t>
            </w:r>
          </w:p>
        </w:tc>
        <w:tc>
          <w:tcPr>
            <w:tcW w:w="1872" w:type="dxa"/>
            <w:shd w:val="clear" w:color="auto" w:fill="F2F4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58E95A" w14:textId="77777777" w:rsidR="00FF4975" w:rsidRPr="00C97D0A" w:rsidRDefault="00FF4975" w:rsidP="00C97D0A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97D0A">
              <w:rPr>
                <w:rFonts w:ascii="Times New Roman" w:hAnsi="Times New Roman" w:cs="Times New Roman"/>
                <w:sz w:val="22"/>
                <w:szCs w:val="22"/>
              </w:rPr>
              <w:t>Prediabetes</w:t>
            </w:r>
          </w:p>
        </w:tc>
        <w:tc>
          <w:tcPr>
            <w:tcW w:w="1924" w:type="dxa"/>
            <w:shd w:val="clear" w:color="auto" w:fill="F2F4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FCEBE0" w14:textId="77777777" w:rsidR="00FF4975" w:rsidRPr="00C97D0A" w:rsidRDefault="00FF4975" w:rsidP="00C97D0A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97D0A">
              <w:rPr>
                <w:rFonts w:ascii="Times New Roman" w:hAnsi="Times New Roman" w:cs="Times New Roman"/>
                <w:sz w:val="22"/>
                <w:szCs w:val="22"/>
              </w:rPr>
              <w:t>Fasting (0 hr)</w:t>
            </w:r>
          </w:p>
        </w:tc>
        <w:tc>
          <w:tcPr>
            <w:tcW w:w="1275" w:type="dxa"/>
            <w:shd w:val="clear" w:color="auto" w:fill="F2F4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F1C379" w14:textId="77777777" w:rsidR="00FF4975" w:rsidRPr="00C97D0A" w:rsidRDefault="00FF4975" w:rsidP="00C97D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97D0A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2561" w:type="dxa"/>
            <w:shd w:val="clear" w:color="auto" w:fill="F2F4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E4BD4B" w14:textId="77777777" w:rsidR="00FF4975" w:rsidRPr="00C97D0A" w:rsidRDefault="00FF4975" w:rsidP="00C97D0A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97D0A">
              <w:rPr>
                <w:rFonts w:ascii="Times New Roman" w:hAnsi="Times New Roman" w:cs="Times New Roman"/>
                <w:sz w:val="22"/>
                <w:szCs w:val="22"/>
              </w:rPr>
              <w:t>Prediabetic baseline pathology</w:t>
            </w:r>
          </w:p>
        </w:tc>
      </w:tr>
      <w:tr w:rsidR="00FF4975" w:rsidRPr="00C97D0A" w14:paraId="04C2494F" w14:textId="77777777" w:rsidTr="00C97D0A">
        <w:trPr>
          <w:jc w:val="center"/>
        </w:trPr>
        <w:tc>
          <w:tcPr>
            <w:tcW w:w="172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61F46C" w14:textId="77777777" w:rsidR="00FF4975" w:rsidRPr="00C97D0A" w:rsidRDefault="00FF4975" w:rsidP="00C97D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97D0A">
              <w:rPr>
                <w:rFonts w:ascii="Times New Roman" w:hAnsi="Times New Roman" w:cs="Times New Roman"/>
                <w:sz w:val="22"/>
                <w:szCs w:val="22"/>
              </w:rPr>
              <w:t>PD_OGTT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EACF63" w14:textId="77777777" w:rsidR="00FF4975" w:rsidRPr="00C97D0A" w:rsidRDefault="00FF4975" w:rsidP="00C97D0A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97D0A">
              <w:rPr>
                <w:rFonts w:ascii="Times New Roman" w:hAnsi="Times New Roman" w:cs="Times New Roman"/>
                <w:sz w:val="22"/>
                <w:szCs w:val="22"/>
              </w:rPr>
              <w:t>Prediabetes</w:t>
            </w:r>
          </w:p>
        </w:tc>
        <w:tc>
          <w:tcPr>
            <w:tcW w:w="1924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23086B" w14:textId="77777777" w:rsidR="00FF4975" w:rsidRPr="00C97D0A" w:rsidRDefault="00FF4975" w:rsidP="00C97D0A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97D0A">
              <w:rPr>
                <w:rFonts w:ascii="Times New Roman" w:hAnsi="Times New Roman" w:cs="Times New Roman"/>
                <w:sz w:val="22"/>
                <w:szCs w:val="22"/>
              </w:rPr>
              <w:t>Post-OGTT (2 hr)</w:t>
            </w:r>
          </w:p>
        </w:tc>
        <w:tc>
          <w:tcPr>
            <w:tcW w:w="127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06C9A9" w14:textId="77777777" w:rsidR="00FF4975" w:rsidRPr="00C97D0A" w:rsidRDefault="00FF4975" w:rsidP="00C97D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97D0A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2561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733B99" w14:textId="77777777" w:rsidR="00FF4975" w:rsidRPr="00C97D0A" w:rsidRDefault="00FF4975" w:rsidP="00C97D0A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97D0A">
              <w:rPr>
                <w:rFonts w:ascii="Times New Roman" w:hAnsi="Times New Roman" w:cs="Times New Roman"/>
                <w:sz w:val="22"/>
                <w:szCs w:val="22"/>
              </w:rPr>
              <w:t>Prediabetic acute challenge response</w:t>
            </w:r>
          </w:p>
        </w:tc>
      </w:tr>
    </w:tbl>
    <w:p w14:paraId="2C82FE51" w14:textId="77777777" w:rsidR="00FF4975" w:rsidRDefault="00FF4975" w:rsidP="00FF4975"/>
    <w:p w14:paraId="62E82746" w14:textId="48545D06" w:rsidR="00FF4975" w:rsidRPr="00133FC2" w:rsidRDefault="00C97D0A" w:rsidP="00133FC2">
      <w:pPr>
        <w:pStyle w:val="NormalWeb"/>
        <w:spacing w:line="276" w:lineRule="auto"/>
        <w:rPr>
          <w:rFonts w:eastAsiaTheme="minorHAnsi"/>
          <w:kern w:val="2"/>
          <w:lang w:eastAsia="en-US"/>
          <w14:ligatures w14:val="standardContextual"/>
        </w:rPr>
      </w:pPr>
      <w:r w:rsidRPr="00C97D0A">
        <w:rPr>
          <w:b/>
          <w:bCs/>
        </w:rPr>
        <w:lastRenderedPageBreak/>
        <w:t>Demographic and confounder control:</w:t>
      </w:r>
      <w:r w:rsidRPr="00C97D0A">
        <w:t xml:space="preserve"> </w:t>
      </w:r>
      <w:r w:rsidRPr="00133FC2">
        <w:rPr>
          <w:rFonts w:eastAsiaTheme="minorHAnsi"/>
          <w:kern w:val="2"/>
          <w:lang w:eastAsia="en-US"/>
          <w14:ligatures w14:val="standardContextual"/>
        </w:rPr>
        <w:t xml:space="preserve">All 28 samples are Asian-Indian </w:t>
      </w:r>
      <w:r w:rsidRPr="00133FC2">
        <w:rPr>
          <w:rFonts w:eastAsiaTheme="minorHAnsi"/>
          <w:kern w:val="2"/>
          <w:lang w:eastAsia="en-US"/>
          <w14:ligatures w14:val="standardContextual"/>
        </w:rPr>
        <w:t>males, which removes</w:t>
      </w:r>
      <w:r w:rsidRPr="00133FC2">
        <w:rPr>
          <w:rFonts w:eastAsiaTheme="minorHAnsi"/>
          <w:kern w:val="2"/>
          <w:lang w:eastAsia="en-US"/>
          <w14:ligatures w14:val="standardContextual"/>
        </w:rPr>
        <w:t xml:space="preserve"> sex-specific hormonal and ethnic variation as confounders of the PBMC signal. In the original clinical trial (Mallu et al., Clinical Nutrition 2021), participants were pre-matched for age (mean 42-45 years) and BMI (mean </w:t>
      </w:r>
      <w:r w:rsidRPr="00133FC2">
        <w:rPr>
          <w:rFonts w:eastAsiaTheme="minorHAnsi"/>
          <w:kern w:val="2"/>
          <w:lang w:eastAsia="en-US"/>
          <w14:ligatures w14:val="standardContextual"/>
        </w:rPr>
        <w:t>2</w:t>
      </w:r>
      <w:r w:rsidRPr="00133FC2">
        <w:rPr>
          <w:rFonts w:eastAsiaTheme="minorHAnsi"/>
          <w:kern w:val="2"/>
          <w:lang w:eastAsia="en-US"/>
          <w14:ligatures w14:val="standardContextual"/>
        </w:rPr>
        <w:t xml:space="preserve">5 kg/m²). Individual-level ages were not deposited in the public GEO </w:t>
      </w:r>
      <w:r w:rsidRPr="00133FC2">
        <w:rPr>
          <w:rFonts w:eastAsiaTheme="minorHAnsi"/>
          <w:kern w:val="2"/>
          <w:lang w:eastAsia="en-US"/>
          <w14:ligatures w14:val="standardContextual"/>
        </w:rPr>
        <w:t>metadata</w:t>
      </w:r>
      <w:r w:rsidRPr="00133FC2">
        <w:rPr>
          <w:rFonts w:eastAsiaTheme="minorHAnsi"/>
          <w:kern w:val="2"/>
          <w:lang w:eastAsia="en-US"/>
          <w14:ligatures w14:val="standardContextual"/>
        </w:rPr>
        <w:t>, but the clinical pre-matching means age and BMI do not confound the two target comparisons.</w:t>
      </w:r>
    </w:p>
    <w:p w14:paraId="61ED90BD" w14:textId="3C95855B" w:rsidR="00C97D0A" w:rsidRDefault="00C97D0A" w:rsidP="00C97D0A">
      <w:pPr>
        <w:pStyle w:val="ListParagraph"/>
        <w:numPr>
          <w:ilvl w:val="0"/>
          <w:numId w:val="1"/>
        </w:numPr>
        <w:spacing w:before="320" w:after="80"/>
      </w:pPr>
      <w:r w:rsidRPr="00C97D0A">
        <w:rPr>
          <w:rFonts w:ascii="Times New Roman" w:hAnsi="Times New Roman" w:cs="Times New Roman"/>
          <w:b/>
          <w:sz w:val="28"/>
          <w:szCs w:val="28"/>
        </w:rPr>
        <w:t>Methodology &amp; Analytical Strategy</w:t>
      </w:r>
    </w:p>
    <w:p w14:paraId="4E8C9D25" w14:textId="2B6A62E5" w:rsidR="00FF4975" w:rsidRPr="00C97D0A" w:rsidRDefault="00C97D0A" w:rsidP="00C97D0A">
      <w:pPr>
        <w:spacing w:before="240" w:after="60"/>
        <w:rPr>
          <w:rFonts w:ascii="Times New Roman" w:hAnsi="Times New Roman" w:cs="Times New Roman"/>
        </w:rPr>
      </w:pPr>
      <w:r w:rsidRPr="00C97D0A">
        <w:rPr>
          <w:rFonts w:ascii="Times New Roman" w:hAnsi="Times New Roman" w:cs="Times New Roman"/>
          <w:b/>
        </w:rPr>
        <w:t>3.1 Microarray vs. RNA-Seq Tool Selection Rationale</w:t>
      </w:r>
    </w:p>
    <w:p w14:paraId="1F590EC5" w14:textId="362DF5BF" w:rsidR="00C97D0A" w:rsidRPr="00C97D0A" w:rsidRDefault="00C97D0A" w:rsidP="00C97D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</w:t>
      </w:r>
      <w:r w:rsidRPr="00C97D0A">
        <w:rPr>
          <w:rFonts w:ascii="Times New Roman" w:hAnsi="Times New Roman" w:cs="Times New Roman"/>
        </w:rPr>
        <w:t xml:space="preserve"> differential expression</w:t>
      </w:r>
      <w:r w:rsidR="00133FC2">
        <w:rPr>
          <w:rFonts w:ascii="Times New Roman" w:hAnsi="Times New Roman" w:cs="Times New Roman"/>
        </w:rPr>
        <w:t>, tool selection was important.</w:t>
      </w:r>
      <w:r w:rsidRPr="00C97D0A">
        <w:rPr>
          <w:rFonts w:ascii="Times New Roman" w:hAnsi="Times New Roman" w:cs="Times New Roman"/>
        </w:rPr>
        <w:t xml:space="preserve"> </w:t>
      </w:r>
      <w:r w:rsidR="004C2EB7">
        <w:rPr>
          <w:rFonts w:ascii="Times New Roman" w:hAnsi="Times New Roman" w:cs="Times New Roman"/>
        </w:rPr>
        <w:t xml:space="preserve">The standard tools like </w:t>
      </w:r>
      <w:r w:rsidRPr="00C97D0A">
        <w:rPr>
          <w:rFonts w:ascii="Times New Roman" w:hAnsi="Times New Roman" w:cs="Times New Roman"/>
        </w:rPr>
        <w:t>DESeq2 and edgeR ,</w:t>
      </w:r>
      <w:r w:rsidR="004C2EB7">
        <w:rPr>
          <w:rFonts w:ascii="Times New Roman" w:hAnsi="Times New Roman" w:cs="Times New Roman"/>
        </w:rPr>
        <w:t xml:space="preserve"> </w:t>
      </w:r>
      <w:r w:rsidRPr="00C97D0A">
        <w:rPr>
          <w:rFonts w:ascii="Times New Roman" w:hAnsi="Times New Roman" w:cs="Times New Roman"/>
        </w:rPr>
        <w:t xml:space="preserve">both </w:t>
      </w:r>
      <w:r w:rsidR="00133FC2">
        <w:rPr>
          <w:rFonts w:ascii="Times New Roman" w:hAnsi="Times New Roman" w:cs="Times New Roman"/>
        </w:rPr>
        <w:t>tools model</w:t>
      </w:r>
      <w:r w:rsidR="004C2EB7">
        <w:rPr>
          <w:rFonts w:ascii="Times New Roman" w:hAnsi="Times New Roman" w:cs="Times New Roman"/>
        </w:rPr>
        <w:t xml:space="preserve"> on</w:t>
      </w:r>
      <w:r w:rsidR="00133FC2">
        <w:rPr>
          <w:rFonts w:ascii="Times New Roman" w:hAnsi="Times New Roman" w:cs="Times New Roman"/>
        </w:rPr>
        <w:t xml:space="preserve"> discrete integer read counts using</w:t>
      </w:r>
      <w:r w:rsidRPr="00C97D0A">
        <w:rPr>
          <w:rFonts w:ascii="Times New Roman" w:hAnsi="Times New Roman" w:cs="Times New Roman"/>
        </w:rPr>
        <w:t xml:space="preserve"> a Negative Binomial distribution. </w:t>
      </w:r>
      <w:r w:rsidR="00133FC2">
        <w:rPr>
          <w:rFonts w:ascii="Times New Roman" w:hAnsi="Times New Roman" w:cs="Times New Roman"/>
        </w:rPr>
        <w:t>In our case, however, the data were</w:t>
      </w:r>
      <w:r w:rsidRPr="00C97D0A">
        <w:rPr>
          <w:rFonts w:ascii="Times New Roman" w:hAnsi="Times New Roman" w:cs="Times New Roman"/>
        </w:rPr>
        <w:t xml:space="preserve"> </w:t>
      </w:r>
      <w:r w:rsidR="00133FC2">
        <w:rPr>
          <w:rFonts w:ascii="Times New Roman" w:hAnsi="Times New Roman" w:cs="Times New Roman"/>
        </w:rPr>
        <w:t xml:space="preserve">generated </w:t>
      </w:r>
      <w:r w:rsidRPr="00C97D0A">
        <w:rPr>
          <w:rFonts w:ascii="Times New Roman" w:hAnsi="Times New Roman" w:cs="Times New Roman"/>
        </w:rPr>
        <w:t>on the Illumina HumanHT-12 v4.0 Bead</w:t>
      </w:r>
      <w:r>
        <w:rPr>
          <w:rFonts w:ascii="Times New Roman" w:hAnsi="Times New Roman" w:cs="Times New Roman"/>
        </w:rPr>
        <w:t>-</w:t>
      </w:r>
      <w:r w:rsidRPr="00C97D0A">
        <w:rPr>
          <w:rFonts w:ascii="Times New Roman" w:hAnsi="Times New Roman" w:cs="Times New Roman"/>
        </w:rPr>
        <w:t xml:space="preserve">Chip microarray, which measures continuous fluorescence intensities. Passing continuous, </w:t>
      </w:r>
      <w:r>
        <w:rPr>
          <w:rFonts w:ascii="Times New Roman" w:hAnsi="Times New Roman" w:cs="Times New Roman"/>
        </w:rPr>
        <w:t>normalised</w:t>
      </w:r>
      <w:r w:rsidRPr="00C97D0A">
        <w:rPr>
          <w:rFonts w:ascii="Times New Roman" w:hAnsi="Times New Roman" w:cs="Times New Roman"/>
        </w:rPr>
        <w:t xml:space="preserve"> microarray intensities into DESeq2 breaks that assumption and is statistically invalid.</w:t>
      </w:r>
    </w:p>
    <w:p w14:paraId="369861C6" w14:textId="7E5C426C" w:rsidR="00C97D0A" w:rsidRDefault="00D35DF3" w:rsidP="00C97D0A">
      <w:pPr>
        <w:rPr>
          <w:rFonts w:ascii="Times New Roman" w:hAnsi="Times New Roman" w:cs="Times New Roman"/>
        </w:rPr>
      </w:pPr>
      <w:r w:rsidRPr="00C97D0A">
        <w:rPr>
          <w:rFonts w:ascii="Times New Roman" w:hAnsi="Times New Roman" w:cs="Times New Roman"/>
        </w:rPr>
        <w:t>So,</w:t>
      </w:r>
      <w:r w:rsidR="00C97D0A" w:rsidRPr="00C97D0A">
        <w:rPr>
          <w:rFonts w:ascii="Times New Roman" w:hAnsi="Times New Roman" w:cs="Times New Roman"/>
        </w:rPr>
        <w:t xml:space="preserve"> we used the standard approach for continuous transcriptomics</w:t>
      </w:r>
      <w:r w:rsidR="00133FC2">
        <w:rPr>
          <w:rFonts w:ascii="Times New Roman" w:hAnsi="Times New Roman" w:cs="Times New Roman"/>
        </w:rPr>
        <w:t xml:space="preserve"> data</w:t>
      </w:r>
      <w:r w:rsidR="00C97D0A" w:rsidRPr="00C97D0A">
        <w:rPr>
          <w:rFonts w:ascii="Times New Roman" w:hAnsi="Times New Roman" w:cs="Times New Roman"/>
        </w:rPr>
        <w:t xml:space="preserve">: linear </w:t>
      </w:r>
      <w:r w:rsidR="00C97D0A">
        <w:rPr>
          <w:rFonts w:ascii="Times New Roman" w:hAnsi="Times New Roman" w:cs="Times New Roman"/>
        </w:rPr>
        <w:t>modelling with heteroscedastic Welch’s t-tests and Benjamini-Hochberg (BH) FDR correction, run on quantile-normalised</w:t>
      </w:r>
      <w:r w:rsidR="00C97D0A" w:rsidRPr="00C97D0A">
        <w:rPr>
          <w:rFonts w:ascii="Times New Roman" w:hAnsi="Times New Roman" w:cs="Times New Roman"/>
        </w:rPr>
        <w:t>, log2-transformed data. We also ran the non-parametric Mann-Whitney U test (Wilcoxon rank-sum) as a sensitivity check. In cohorts this small (n=6 vs n=9), rank tests hit hard discrete-combination limits on the p-value (minimum achievable p ~0.0004), so Welch’s linear model was the better choice</w:t>
      </w:r>
      <w:r w:rsidR="00133FC2">
        <w:rPr>
          <w:rFonts w:ascii="Times New Roman" w:hAnsi="Times New Roman" w:cs="Times New Roman"/>
        </w:rPr>
        <w:t xml:space="preserve"> for our study</w:t>
      </w:r>
      <w:r w:rsidR="00C97D0A" w:rsidRPr="00C97D0A">
        <w:rPr>
          <w:rFonts w:ascii="Times New Roman" w:hAnsi="Times New Roman" w:cs="Times New Roman"/>
        </w:rPr>
        <w:t>.</w:t>
      </w:r>
    </w:p>
    <w:p w14:paraId="58717B2A" w14:textId="77777777" w:rsidR="00D35DF3" w:rsidRDefault="00D35DF3" w:rsidP="00C97D0A">
      <w:pPr>
        <w:rPr>
          <w:rFonts w:ascii="Times New Roman" w:hAnsi="Times New Roman" w:cs="Times New Roman"/>
        </w:rPr>
      </w:pPr>
    </w:p>
    <w:p w14:paraId="092A3076" w14:textId="77777777" w:rsidR="00133FC2" w:rsidRPr="00C97D0A" w:rsidRDefault="00133FC2" w:rsidP="00C97D0A">
      <w:pPr>
        <w:rPr>
          <w:rFonts w:ascii="Times New Roman" w:hAnsi="Times New Roman" w:cs="Times New Roman"/>
        </w:rPr>
      </w:pPr>
    </w:p>
    <w:p w14:paraId="5B3DF9FD" w14:textId="77777777" w:rsidR="00C97D0A" w:rsidRPr="00C97D0A" w:rsidRDefault="00C97D0A" w:rsidP="00C97D0A">
      <w:pPr>
        <w:rPr>
          <w:rFonts w:ascii="Times New Roman" w:hAnsi="Times New Roman" w:cs="Times New Roman"/>
        </w:rPr>
      </w:pPr>
    </w:p>
    <w:sectPr w:rsidR="00C97D0A" w:rsidRPr="00C97D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90AAD"/>
    <w:multiLevelType w:val="hybridMultilevel"/>
    <w:tmpl w:val="46C8FB5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F8D4C87"/>
    <w:multiLevelType w:val="hybridMultilevel"/>
    <w:tmpl w:val="16E816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1376255">
    <w:abstractNumId w:val="0"/>
  </w:num>
  <w:num w:numId="2" w16cid:durableId="1425802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975"/>
    <w:rsid w:val="00133FC2"/>
    <w:rsid w:val="004C2EB7"/>
    <w:rsid w:val="00C97D0A"/>
    <w:rsid w:val="00D35DF3"/>
    <w:rsid w:val="00D70685"/>
    <w:rsid w:val="00FF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2046B"/>
  <w15:chartTrackingRefBased/>
  <w15:docId w15:val="{2834931B-3C05-467E-847D-286296963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9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9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9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9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9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9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9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9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9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97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F4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Doshi</dc:creator>
  <cp:keywords/>
  <dc:description/>
  <cp:lastModifiedBy>Parth Doshi</cp:lastModifiedBy>
  <cp:revision>2</cp:revision>
  <dcterms:created xsi:type="dcterms:W3CDTF">2026-10-26T07:00:00Z</dcterms:created>
  <dcterms:modified xsi:type="dcterms:W3CDTF">2026-10-26T07:36:00Z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7a6a573f-a279-49bf-9801-97c38395e77c</vt:lpwstr>
  </property>
</Properties>
</file>