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  <w:jc w:val="center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60325</wp:posOffset>
                </wp:positionV>
                <wp:extent cx="1162050" cy="579120"/>
                <wp:effectExtent l="4445" t="4445" r="508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lang w:val="en-GB"/>
                              </w:rPr>
                              <w:t>SET B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95pt;margin-top:4.75pt;height:45.6pt;width:91.5pt;z-index:251660288;mso-width-relative:page;mso-height-relative:page;" fillcolor="#FFFFFF" filled="t" stroked="t" coordsize="21600,21600" o:gfxdata="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pE/JDYAAAACQEAAA8AAAAAAAAAAQAgAAAAIgAAAGRy&#10;cy9kb3ducmV2LnhtbFBLAQIUABQAAAAIAIdO4kAQJqJ4BQIAAEMEAAAOAAAAAAAAAAEAIAAAACc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jc w:val="center"/>
                        <w:rPr>
                          <w:rFonts w:hint="default"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lang w:val="en-GB"/>
                        </w:rPr>
                        <w:t>SET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1905"/>
            <wp:wrapNone/>
            <wp:docPr id="1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RM Institute of Science and Technology Vector Logo - (.SVG + .PNG) -  VectorLogoSeek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>SRM Institute of Science and Technology</w:t>
      </w:r>
    </w:p>
    <w:p>
      <w:pPr>
        <w:tabs>
          <w:tab w:val="center" w:pos="4513"/>
          <w:tab w:val="right" w:pos="9026"/>
        </w:tabs>
        <w:spacing w:after="60" w:line="240" w:lineRule="auto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ab/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 xml:space="preserve">      College of Engineering and Technology </w:t>
      </w:r>
    </w:p>
    <w:p>
      <w:pPr>
        <w:tabs>
          <w:tab w:val="center" w:pos="4513"/>
          <w:tab w:val="right" w:pos="9026"/>
        </w:tabs>
        <w:spacing w:after="60" w:line="240" w:lineRule="auto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ab/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>School of Computing</w:t>
      </w:r>
    </w:p>
    <w:p>
      <w:pPr>
        <w:spacing w:before="120" w:after="0" w:line="240" w:lineRule="auto"/>
        <w:jc w:val="center"/>
        <w:rPr>
          <w:rFonts w:hint="default" w:ascii="Times New Roman" w:hAnsi="Times New Roman" w:eastAsia="MS Mincho"/>
          <w:b/>
          <w:sz w:val="20"/>
          <w:szCs w:val="20"/>
          <w:lang w:val="en-GB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 xml:space="preserve">DEPARTMENT OF </w:t>
      </w:r>
      <w:r>
        <w:rPr>
          <w:rFonts w:hint="default" w:ascii="Times New Roman" w:hAnsi="Times New Roman" w:eastAsia="MS Mincho"/>
          <w:b/>
          <w:sz w:val="20"/>
          <w:szCs w:val="20"/>
          <w:lang w:val="en-GB" w:eastAsia="ja-JP"/>
        </w:rPr>
        <w:t>COMPUTING TECHNOLOGIES</w:t>
      </w:r>
    </w:p>
    <w:p>
      <w:pPr>
        <w:pBdr>
          <w:bottom w:val="single" w:color="auto" w:sz="6" w:space="1"/>
        </w:pBdr>
        <w:spacing w:after="0" w:line="360" w:lineRule="auto"/>
        <w:jc w:val="center"/>
        <w:rPr>
          <w:rFonts w:ascii="Times New Roman" w:hAnsi="Times New Roman" w:eastAsia="MS Mincho"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sz w:val="20"/>
          <w:szCs w:val="20"/>
          <w:lang w:val="en-IN" w:eastAsia="ja-JP"/>
        </w:rPr>
        <w:t>SRM Nagar, Kattankulathur – 603203, Chengalpattu District, Tamilnadu</w:t>
      </w:r>
    </w:p>
    <w:p>
      <w:pPr>
        <w:pBdr>
          <w:bottom w:val="single" w:color="auto" w:sz="6" w:space="1"/>
        </w:pBdr>
        <w:spacing w:after="0" w:line="360" w:lineRule="auto"/>
        <w:jc w:val="center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>Academic Year:</w:t>
      </w:r>
      <w:r>
        <w:rPr>
          <w:rFonts w:hint="default" w:ascii="Times New Roman" w:hAnsi="Times New Roman" w:eastAsia="MS Mincho"/>
          <w:b/>
          <w:sz w:val="20"/>
          <w:szCs w:val="20"/>
          <w:lang w:val="en-GB" w:eastAsia="ja-JP"/>
        </w:rPr>
        <w:t>2023-2024</w:t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 xml:space="preserve">                       (ODD)</w:t>
      </w:r>
    </w:p>
    <w:p>
      <w:pPr>
        <w:spacing w:before="120" w:after="0"/>
        <w:rPr>
          <w:rFonts w:hint="default" w:ascii="Times New Roman" w:hAnsi="Times New Roman" w:eastAsia="Times New Roman"/>
          <w:sz w:val="20"/>
          <w:szCs w:val="20"/>
          <w:lang w:val="en-GB"/>
        </w:rPr>
      </w:pPr>
      <w:r>
        <w:rPr>
          <w:rFonts w:ascii="Times New Roman" w:hAnsi="Times New Roman" w:eastAsia="Times New Roman"/>
          <w:b/>
          <w:sz w:val="20"/>
          <w:szCs w:val="20"/>
        </w:rPr>
        <w:t xml:space="preserve">Test: CLAT </w:t>
      </w:r>
      <w:r>
        <w:rPr>
          <w:rFonts w:hint="default" w:ascii="Times New Roman" w:hAnsi="Times New Roman" w:eastAsia="Times New Roman"/>
          <w:b/>
          <w:sz w:val="20"/>
          <w:szCs w:val="20"/>
          <w:lang w:val="en-GB"/>
        </w:rPr>
        <w:t>III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hint="default" w:ascii="Times New Roman" w:hAnsi="Times New Roman" w:eastAsia="Times New Roman"/>
          <w:sz w:val="20"/>
          <w:szCs w:val="20"/>
          <w:lang w:val="en-GB"/>
        </w:rPr>
        <w:t xml:space="preserve">        </w:t>
      </w:r>
      <w:r>
        <w:rPr>
          <w:rFonts w:ascii="Times New Roman" w:hAnsi="Times New Roman" w:eastAsia="Times New Roman"/>
          <w:b/>
          <w:sz w:val="20"/>
          <w:szCs w:val="20"/>
        </w:rPr>
        <w:t xml:space="preserve">Date: </w:t>
      </w:r>
      <w:r>
        <w:rPr>
          <w:rFonts w:hint="default" w:ascii="Times New Roman" w:hAnsi="Times New Roman" w:eastAsia="Times New Roman"/>
          <w:b/>
          <w:sz w:val="20"/>
          <w:szCs w:val="20"/>
          <w:lang w:val="en-GB"/>
        </w:rPr>
        <w:t>09-11-2023</w:t>
      </w:r>
    </w:p>
    <w:p>
      <w:pPr>
        <w:spacing w:after="0"/>
        <w:rPr>
          <w:rFonts w:hint="default" w:ascii="Times New Roman" w:hAnsi="Times New Roman" w:eastAsia="Times New Roman"/>
          <w:sz w:val="20"/>
          <w:szCs w:val="20"/>
          <w:lang w:val="en-GB"/>
        </w:rPr>
      </w:pPr>
      <w:r>
        <w:rPr>
          <w:rFonts w:ascii="Times New Roman" w:hAnsi="Times New Roman" w:eastAsia="Times New Roman"/>
          <w:b/>
          <w:sz w:val="20"/>
          <w:szCs w:val="20"/>
        </w:rPr>
        <w:t>Course Code &amp; Title:</w:t>
      </w:r>
      <w:r>
        <w:rPr>
          <w:rFonts w:hint="default" w:ascii="Times New Roman" w:hAnsi="Times New Roman" w:eastAsia="Times New Roman"/>
          <w:b/>
          <w:sz w:val="20"/>
          <w:szCs w:val="20"/>
          <w:lang w:val="en-GB"/>
        </w:rPr>
        <w:t xml:space="preserve"> 18CSE353T &amp; Digital Image Processing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D</w:t>
      </w:r>
      <w:r>
        <w:rPr>
          <w:rFonts w:ascii="Times New Roman" w:hAnsi="Times New Roman" w:eastAsia="Times New Roman"/>
          <w:b/>
          <w:bCs/>
          <w:sz w:val="20"/>
          <w:szCs w:val="20"/>
        </w:rPr>
        <w:t>ur</w:t>
      </w:r>
      <w:r>
        <w:rPr>
          <w:rFonts w:ascii="Times New Roman" w:hAnsi="Times New Roman" w:eastAsia="Times New Roman"/>
          <w:b/>
          <w:sz w:val="20"/>
          <w:szCs w:val="20"/>
        </w:rPr>
        <w:t>ation:</w:t>
      </w:r>
      <w:r>
        <w:rPr>
          <w:rFonts w:ascii="Times New Roman" w:hAnsi="Times New Roman" w:eastAsia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2 Periods</w:t>
      </w:r>
    </w:p>
    <w:p>
      <w:pPr>
        <w:pBdr>
          <w:bottom w:val="single" w:color="auto" w:sz="4" w:space="1"/>
        </w:pBdr>
        <w:spacing w:after="0" w:line="240" w:lineRule="auto"/>
        <w:rPr>
          <w:rFonts w:hint="default" w:ascii="Times New Roman" w:hAnsi="Times New Roman" w:eastAsia="Times New Roman"/>
          <w:sz w:val="20"/>
          <w:szCs w:val="20"/>
          <w:lang w:val="en-GB"/>
        </w:rPr>
      </w:pPr>
      <w:r>
        <w:rPr>
          <w:rFonts w:ascii="Times New Roman" w:hAnsi="Times New Roman" w:eastAsia="Times New Roman"/>
          <w:b/>
          <w:sz w:val="20"/>
          <w:szCs w:val="20"/>
        </w:rPr>
        <w:t>Year &amp; Sem:</w:t>
      </w:r>
      <w:r>
        <w:rPr>
          <w:rFonts w:ascii="Times New Roman" w:hAnsi="Times New Roman" w:eastAsia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/>
          <w:b/>
          <w:sz w:val="20"/>
          <w:szCs w:val="20"/>
        </w:rPr>
        <w:t>III Year / V Sem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hint="default" w:ascii="Times New Roman" w:hAnsi="Times New Roman" w:eastAsia="Times New Roman"/>
          <w:sz w:val="20"/>
          <w:szCs w:val="20"/>
          <w:lang w:val="en-GB"/>
        </w:rPr>
        <w:t xml:space="preserve">,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IV Year / VII Sem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 xml:space="preserve">       </w:t>
      </w:r>
      <w:r>
        <w:rPr>
          <w:rFonts w:ascii="Times New Roman" w:hAnsi="Times New Roman" w:eastAsia="Times New Roman"/>
          <w:b/>
          <w:sz w:val="20"/>
          <w:szCs w:val="20"/>
        </w:rPr>
        <w:t>Max. Marks:</w:t>
      </w:r>
      <w:r>
        <w:rPr>
          <w:rFonts w:ascii="Times New Roman" w:hAnsi="Times New Roman" w:eastAsia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50</w:t>
      </w:r>
    </w:p>
    <w:p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Course Articulation Matrix: </w:t>
      </w:r>
    </w:p>
    <w:tbl>
      <w:tblPr>
        <w:tblStyle w:val="3"/>
        <w:tblpPr w:leftFromText="180" w:rightFromText="180" w:vertAnchor="text" w:horzAnchor="page" w:tblpX="1241" w:tblpY="250"/>
        <w:tblOverlap w:val="never"/>
        <w:tblW w:w="1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18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81403135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18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CO2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CO3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CO4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CO5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bookmarkEnd w:id="0"/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tbl>
      <w:tblPr>
        <w:tblStyle w:val="3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8" w:type="dxa"/>
            <w:gridSpan w:val="7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>Part – B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 xml:space="preserve">(   </w:t>
            </w: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 xml:space="preserve">4 </w:t>
            </w: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 xml:space="preserve">x </w:t>
            </w: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 xml:space="preserve"> =  </w:t>
            </w: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 xml:space="preserve">40 </w:t>
            </w: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>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>1</w:t>
            </w: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Encode the message BCCABBDDAECCBBAEDDCC using Huffman coding and calculate the final bits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Times New Roman" w:cstheme="minorBidi"/>
                <w:b w:val="0"/>
                <w:bCs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Times New Roman"/>
                <w:b/>
                <w:bCs w:val="0"/>
                <w:sz w:val="20"/>
                <w:szCs w:val="20"/>
                <w:lang w:val="en-GB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11.b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Times New Roman" w:cstheme="minorBidi"/>
                <w:b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Explain the general compression system model.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bCs w:val="0"/>
                <w:sz w:val="20"/>
                <w:szCs w:val="20"/>
                <w:lang w:val="en-GB"/>
              </w:rPr>
              <w:t>12.a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GB"/>
              </w:rPr>
              <w:t>Summarize the following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GB"/>
              </w:rPr>
              <w:t xml:space="preserve"> i. Lossy predictive coding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GB"/>
              </w:rPr>
              <w:t>ii.  Run Length coding</w:t>
            </w:r>
          </w:p>
          <w:p>
            <w:pPr>
              <w:numPr>
                <w:ilvl w:val="0"/>
                <w:numId w:val="0"/>
              </w:numPr>
              <w:ind w:left="0" w:leftChars="0" w:firstLine="2409" w:firstLineChars="1200"/>
              <w:jc w:val="both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lang w:val="en-GB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12.b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Times New Roman" w:cstheme="minorBidi"/>
                <w:b w:val="0"/>
                <w:bCs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Explain Arithmetic coding compression model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13.a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i w:val="0"/>
                <w:lang w:val="en-GB" w:eastAsia="zh-CN"/>
              </w:rPr>
            </w:pPr>
            <w:r>
              <w:rPr>
                <w:rFonts w:hint="default" w:ascii="Times New Roman" w:hAnsi="Times New Roman"/>
                <w:i w:val="0"/>
                <w:lang w:val="en-GB" w:eastAsia="zh-CN"/>
              </w:rPr>
              <w:t>Explain about Polygonal approximation with an example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i w:val="0"/>
                <w:lang w:val="en-GB" w:eastAsia="zh-CN" w:bidi="ar-SA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lang w:val="en-GB" w:eastAsia="zh-CN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13.b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i w:val="0"/>
                <w:lang w:val="en-GB" w:eastAsia="zh-CN" w:bidi="ar-SA"/>
              </w:rPr>
            </w:pPr>
            <w:r>
              <w:rPr>
                <w:rFonts w:hint="default" w:ascii="Times New Roman" w:hAnsi="Times New Roman"/>
                <w:i w:val="0"/>
                <w:lang w:val="en-GB" w:eastAsia="zh-CN"/>
              </w:rPr>
              <w:t>Discuss About chain code in detail with an example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14.a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Explain the various boundary descriptors in detail with neat diagram</w:t>
            </w:r>
          </w:p>
          <w:p>
            <w:pPr>
              <w:numPr>
                <w:ilvl w:val="0"/>
                <w:numId w:val="0"/>
              </w:numPr>
              <w:ind w:firstLine="2409" w:firstLineChars="120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14.b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i w:val="0"/>
                <w:sz w:val="20"/>
                <w:szCs w:val="20"/>
                <w:lang w:val="en-GB" w:eastAsia="zh-CN" w:bidi="ar-SA"/>
              </w:rPr>
            </w:pPr>
            <w:r>
              <w:rPr>
                <w:rFonts w:hint="default" w:ascii="Times New Roman" w:hAnsi="Times New Roman"/>
                <w:i w:val="0"/>
                <w:sz w:val="20"/>
                <w:szCs w:val="20"/>
                <w:lang w:val="en-GB" w:eastAsia="zh-CN"/>
              </w:rPr>
              <w:t>Describe in detail about recognition based on matching</w:t>
            </w:r>
            <w:bookmarkStart w:id="1" w:name="_GoBack"/>
            <w:bookmarkEnd w:id="1"/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Course Outcome (CO) and Bloom’s level (BL) Coverage in Questions</w:t>
      </w: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2369820" cy="1360170"/>
            <wp:effectExtent l="4445" t="4445" r="6985" b="6985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2305685</wp:posOffset>
            </wp:positionH>
            <wp:positionV relativeFrom="paragraph">
              <wp:posOffset>1270</wp:posOffset>
            </wp:positionV>
            <wp:extent cx="2324735" cy="1363345"/>
            <wp:effectExtent l="4445" t="4445" r="13970" b="13335"/>
            <wp:wrapNone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Times New Roman" w:hAnsi="Times New Roman" w:eastAsia="Times New Roman"/>
          <w:b/>
          <w:sz w:val="20"/>
          <w:szCs w:val="20"/>
        </w:rPr>
        <w:t xml:space="preserve">           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54DE5"/>
    <w:rsid w:val="73B5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en-US"/>
              <a:t>CO Coverage %</a:t>
            </a:r>
            <a:endParaRPr lang="en-GB" altLang="en-US"/>
          </a:p>
        </c:rich>
      </c:tx>
      <c:layout>
        <c:manualLayout>
          <c:xMode val="edge"/>
          <c:yMode val="edge"/>
          <c:x val="0.410138888888889"/>
          <c:y val="0.025925925925925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[Book1]Sheet1!$H$14:$H$18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[Book1]Sheet1!$I$14:$I$18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</c:v>
                </c:pt>
                <c:pt idx="4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350678"/>
        <c:axId val="457136959"/>
      </c:barChart>
      <c:catAx>
        <c:axId val="15335067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7136959"/>
        <c:crosses val="autoZero"/>
        <c:auto val="1"/>
        <c:lblAlgn val="ctr"/>
        <c:lblOffset val="100"/>
        <c:noMultiLvlLbl val="0"/>
      </c:catAx>
      <c:valAx>
        <c:axId val="45713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335067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en-US"/>
              <a:t>BL Coverage (%)</a:t>
            </a:r>
            <a:endParaRPr lang="en-GB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[Book1]Sheet1!$F$27:$F$29</c:f>
              <c:strCache>
                <c:ptCount val="3"/>
                <c:pt idx="0">
                  <c:v>BL 1</c:v>
                </c:pt>
                <c:pt idx="1">
                  <c:v>BL2</c:v>
                </c:pt>
                <c:pt idx="2">
                  <c:v>BL 3</c:v>
                </c:pt>
              </c:strCache>
            </c:strRef>
          </c:cat>
          <c:val>
            <c:numRef>
              <c:f>[Book1]Sheet1!$G$27:$G$29</c:f>
              <c:numCache>
                <c:formatCode>General</c:formatCode>
                <c:ptCount val="3"/>
                <c:pt idx="0">
                  <c:v>2</c:v>
                </c:pt>
                <c:pt idx="1">
                  <c:v>9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2023-11-07T05:31:00Z</dcterms:created>
  <dc:creator>WPS_1642583498</dc:creator>
  <cp:lastModifiedBy>WPS_1642583498</cp:lastModifiedBy>
  <dcterms:modified xsi:type="dcterms:W3CDTF">2023-11-07T05:40:31Z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303475FAA3754621819AE403486EF0A4_11</vt:lpwstr>
  </property>
</Properties>
</file>