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CFE0" w14:textId="5A976FA4" w:rsidR="00472B3E" w:rsidRPr="00472B3E" w:rsidRDefault="00472B3E" w:rsidP="00693611">
      <w:pPr>
        <w:jc w:val="center"/>
        <w:rPr>
          <w:b/>
          <w:bCs/>
          <w:sz w:val="32"/>
          <w:szCs w:val="32"/>
          <w:u w:val="single"/>
        </w:rPr>
      </w:pPr>
      <w:r w:rsidRPr="00472B3E">
        <w:rPr>
          <w:b/>
          <w:bCs/>
          <w:sz w:val="32"/>
          <w:szCs w:val="32"/>
          <w:u w:val="single"/>
        </w:rPr>
        <w:t xml:space="preserve">CS 559 – </w:t>
      </w:r>
      <w:r w:rsidR="00693611" w:rsidRPr="00693611">
        <w:rPr>
          <w:b/>
          <w:bCs/>
          <w:sz w:val="32"/>
          <w:szCs w:val="32"/>
          <w:u w:val="single"/>
        </w:rPr>
        <w:t>Final Group Project</w:t>
      </w:r>
    </w:p>
    <w:p w14:paraId="423A8410" w14:textId="77777777" w:rsidR="00472B3E" w:rsidRPr="00472B3E" w:rsidRDefault="00472B3E" w:rsidP="00693611">
      <w:pPr>
        <w:jc w:val="center"/>
        <w:rPr>
          <w:b/>
          <w:bCs/>
          <w:sz w:val="32"/>
          <w:szCs w:val="32"/>
          <w:u w:val="single"/>
        </w:rPr>
      </w:pPr>
      <w:r w:rsidRPr="00472B3E">
        <w:rPr>
          <w:b/>
          <w:bCs/>
          <w:sz w:val="32"/>
          <w:szCs w:val="32"/>
          <w:u w:val="single"/>
        </w:rPr>
        <w:t>Group 4 Results Report</w:t>
      </w:r>
    </w:p>
    <w:p w14:paraId="388AE37C" w14:textId="7EA2D10C" w:rsidR="008D04B5" w:rsidRPr="00693611" w:rsidRDefault="00472B3E">
      <w:pPr>
        <w:rPr>
          <w:b/>
          <w:bCs/>
        </w:rPr>
      </w:pPr>
      <w:r w:rsidRPr="00693611">
        <w:rPr>
          <w:b/>
          <w:bCs/>
        </w:rPr>
        <w:t>Team Members</w:t>
      </w:r>
      <w:r w:rsidR="00693611">
        <w:rPr>
          <w:b/>
          <w:bCs/>
        </w:rPr>
        <w:t>:</w:t>
      </w:r>
    </w:p>
    <w:tbl>
      <w:tblPr>
        <w:tblStyle w:val="GridTable4-Accent5"/>
        <w:tblW w:w="0" w:type="auto"/>
        <w:jc w:val="center"/>
        <w:tblLook w:val="04A0" w:firstRow="1" w:lastRow="0" w:firstColumn="1" w:lastColumn="0" w:noHBand="0" w:noVBand="1"/>
      </w:tblPr>
      <w:tblGrid>
        <w:gridCol w:w="1773"/>
        <w:gridCol w:w="1430"/>
        <w:gridCol w:w="1177"/>
        <w:gridCol w:w="3968"/>
      </w:tblGrid>
      <w:tr w:rsidR="00472B3E" w:rsidRPr="00472B3E" w14:paraId="4359D9DA"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2C066" w14:textId="77777777" w:rsidR="00472B3E" w:rsidRPr="00472B3E" w:rsidRDefault="00472B3E" w:rsidP="00472B3E">
            <w:pPr>
              <w:spacing w:after="160" w:line="278" w:lineRule="auto"/>
            </w:pPr>
            <w:r w:rsidRPr="00472B3E">
              <w:t>Member</w:t>
            </w:r>
          </w:p>
        </w:tc>
        <w:tc>
          <w:tcPr>
            <w:tcW w:w="0" w:type="auto"/>
            <w:hideMark/>
          </w:tcPr>
          <w:p w14:paraId="7D7BCE36" w14:textId="77777777" w:rsidR="00472B3E" w:rsidRPr="00472B3E" w:rsidRDefault="00472B3E" w:rsidP="00472B3E">
            <w:pPr>
              <w:spacing w:after="160" w:line="278" w:lineRule="auto"/>
              <w:cnfStyle w:val="100000000000" w:firstRow="1" w:lastRow="0" w:firstColumn="0" w:lastColumn="0" w:oddVBand="0" w:evenVBand="0" w:oddHBand="0" w:evenHBand="0" w:firstRowFirstColumn="0" w:firstRowLastColumn="0" w:lastRowFirstColumn="0" w:lastRowLastColumn="0"/>
            </w:pPr>
            <w:r w:rsidRPr="00472B3E">
              <w:t>Subgroup</w:t>
            </w:r>
          </w:p>
        </w:tc>
        <w:tc>
          <w:tcPr>
            <w:tcW w:w="0" w:type="auto"/>
            <w:hideMark/>
          </w:tcPr>
          <w:p w14:paraId="11A2E08F" w14:textId="77777777" w:rsidR="00472B3E" w:rsidRPr="00472B3E" w:rsidRDefault="00472B3E" w:rsidP="00472B3E">
            <w:pPr>
              <w:spacing w:after="160" w:line="278" w:lineRule="auto"/>
              <w:cnfStyle w:val="100000000000" w:firstRow="1" w:lastRow="0" w:firstColumn="0" w:lastColumn="0" w:oddVBand="0" w:evenVBand="0" w:oddHBand="0" w:evenHBand="0" w:firstRowFirstColumn="0" w:firstRowLastColumn="0" w:lastRowFirstColumn="0" w:lastRowLastColumn="0"/>
            </w:pPr>
            <w:r w:rsidRPr="00472B3E">
              <w:t>Cluster</w:t>
            </w:r>
          </w:p>
        </w:tc>
        <w:tc>
          <w:tcPr>
            <w:tcW w:w="0" w:type="auto"/>
            <w:hideMark/>
          </w:tcPr>
          <w:p w14:paraId="308D9A01" w14:textId="77777777" w:rsidR="00472B3E" w:rsidRPr="00472B3E" w:rsidRDefault="00472B3E" w:rsidP="00472B3E">
            <w:pPr>
              <w:spacing w:after="160" w:line="278" w:lineRule="auto"/>
              <w:cnfStyle w:val="100000000000" w:firstRow="1" w:lastRow="0" w:firstColumn="0" w:lastColumn="0" w:oddVBand="0" w:evenVBand="0" w:oddHBand="0" w:evenHBand="0" w:firstRowFirstColumn="0" w:firstRowLastColumn="0" w:lastRowFirstColumn="0" w:lastRowLastColumn="0"/>
            </w:pPr>
            <w:r w:rsidRPr="00472B3E">
              <w:t>Role</w:t>
            </w:r>
          </w:p>
        </w:tc>
      </w:tr>
      <w:tr w:rsidR="00472B3E" w:rsidRPr="00472B3E" w14:paraId="2F046E8E"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075097" w14:textId="77777777" w:rsidR="00472B3E" w:rsidRPr="00472B3E" w:rsidRDefault="00472B3E" w:rsidP="00472B3E">
            <w:pPr>
              <w:spacing w:after="160" w:line="278" w:lineRule="auto"/>
            </w:pPr>
            <w:r w:rsidRPr="00472B3E">
              <w:t>Parth Gadekar</w:t>
            </w:r>
          </w:p>
        </w:tc>
        <w:tc>
          <w:tcPr>
            <w:tcW w:w="0" w:type="auto"/>
            <w:hideMark/>
          </w:tcPr>
          <w:p w14:paraId="58ABAD3C"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Subgroup-0</w:t>
            </w:r>
          </w:p>
        </w:tc>
        <w:tc>
          <w:tcPr>
            <w:tcW w:w="0" w:type="auto"/>
            <w:hideMark/>
          </w:tcPr>
          <w:p w14:paraId="4D21C4B7"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Cluster-0</w:t>
            </w:r>
          </w:p>
        </w:tc>
        <w:tc>
          <w:tcPr>
            <w:tcW w:w="0" w:type="auto"/>
            <w:hideMark/>
          </w:tcPr>
          <w:p w14:paraId="23848C3B"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Model building + Generalization lead</w:t>
            </w:r>
          </w:p>
        </w:tc>
      </w:tr>
      <w:tr w:rsidR="00472B3E" w:rsidRPr="00472B3E" w14:paraId="141EFF2C"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11FD20" w14:textId="77777777" w:rsidR="00472B3E" w:rsidRPr="00472B3E" w:rsidRDefault="00472B3E" w:rsidP="00472B3E">
            <w:pPr>
              <w:spacing w:after="160" w:line="278" w:lineRule="auto"/>
            </w:pPr>
            <w:r w:rsidRPr="00472B3E">
              <w:t>Dhanisha</w:t>
            </w:r>
          </w:p>
        </w:tc>
        <w:tc>
          <w:tcPr>
            <w:tcW w:w="0" w:type="auto"/>
            <w:hideMark/>
          </w:tcPr>
          <w:p w14:paraId="45288FAA"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Subgroup-2</w:t>
            </w:r>
          </w:p>
        </w:tc>
        <w:tc>
          <w:tcPr>
            <w:tcW w:w="0" w:type="auto"/>
            <w:hideMark/>
          </w:tcPr>
          <w:p w14:paraId="401C3AD5"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Cluster-2</w:t>
            </w:r>
          </w:p>
        </w:tc>
        <w:tc>
          <w:tcPr>
            <w:tcW w:w="0" w:type="auto"/>
            <w:hideMark/>
          </w:tcPr>
          <w:p w14:paraId="1609E190"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PCA-Oversampled Stacking model</w:t>
            </w:r>
          </w:p>
        </w:tc>
      </w:tr>
      <w:tr w:rsidR="00472B3E" w:rsidRPr="00472B3E" w14:paraId="1AEE2208"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2FF4C2" w14:textId="77777777" w:rsidR="00472B3E" w:rsidRPr="00472B3E" w:rsidRDefault="00472B3E" w:rsidP="00472B3E">
            <w:pPr>
              <w:spacing w:after="160" w:line="278" w:lineRule="auto"/>
            </w:pPr>
            <w:r w:rsidRPr="00472B3E">
              <w:t>Lasya</w:t>
            </w:r>
          </w:p>
        </w:tc>
        <w:tc>
          <w:tcPr>
            <w:tcW w:w="0" w:type="auto"/>
            <w:hideMark/>
          </w:tcPr>
          <w:p w14:paraId="3ECD6BAD"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Subgroup-3</w:t>
            </w:r>
          </w:p>
        </w:tc>
        <w:tc>
          <w:tcPr>
            <w:tcW w:w="0" w:type="auto"/>
            <w:hideMark/>
          </w:tcPr>
          <w:p w14:paraId="69A8A456"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Cluster-3</w:t>
            </w:r>
          </w:p>
        </w:tc>
        <w:tc>
          <w:tcPr>
            <w:tcW w:w="0" w:type="auto"/>
            <w:hideMark/>
          </w:tcPr>
          <w:p w14:paraId="05B564F1"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Raw pipeline model</w:t>
            </w:r>
          </w:p>
        </w:tc>
      </w:tr>
      <w:tr w:rsidR="00472B3E" w:rsidRPr="00472B3E" w14:paraId="50CCEC3A"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9C5463" w14:textId="77777777" w:rsidR="00472B3E" w:rsidRPr="00472B3E" w:rsidRDefault="00472B3E" w:rsidP="00472B3E">
            <w:pPr>
              <w:spacing w:after="160" w:line="278" w:lineRule="auto"/>
            </w:pPr>
            <w:proofErr w:type="spellStart"/>
            <w:r w:rsidRPr="00472B3E">
              <w:t>Premlata</w:t>
            </w:r>
            <w:proofErr w:type="spellEnd"/>
          </w:p>
        </w:tc>
        <w:tc>
          <w:tcPr>
            <w:tcW w:w="0" w:type="auto"/>
            <w:hideMark/>
          </w:tcPr>
          <w:p w14:paraId="545E3EBE"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Subgroup-5</w:t>
            </w:r>
          </w:p>
        </w:tc>
        <w:tc>
          <w:tcPr>
            <w:tcW w:w="0" w:type="auto"/>
            <w:hideMark/>
          </w:tcPr>
          <w:p w14:paraId="3E99E4A0"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Cluster-5</w:t>
            </w:r>
          </w:p>
        </w:tc>
        <w:tc>
          <w:tcPr>
            <w:tcW w:w="0" w:type="auto"/>
            <w:hideMark/>
          </w:tcPr>
          <w:p w14:paraId="30E4B3A7"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Constant cluster handling</w:t>
            </w:r>
          </w:p>
        </w:tc>
      </w:tr>
    </w:tbl>
    <w:p w14:paraId="1BEDEB28" w14:textId="77777777" w:rsidR="00472B3E" w:rsidRDefault="00472B3E"/>
    <w:p w14:paraId="68F31D04" w14:textId="77777777" w:rsidR="00693611" w:rsidRPr="00693611" w:rsidRDefault="00693611" w:rsidP="00693611">
      <w:pPr>
        <w:rPr>
          <w:b/>
          <w:bCs/>
          <w:u w:val="single"/>
        </w:rPr>
      </w:pPr>
      <w:r w:rsidRPr="00693611">
        <w:rPr>
          <w:b/>
          <w:bCs/>
          <w:u w:val="single"/>
        </w:rPr>
        <w:t>1. Introduction</w:t>
      </w:r>
    </w:p>
    <w:p w14:paraId="01124F1D" w14:textId="77777777" w:rsidR="00693611" w:rsidRDefault="00693611" w:rsidP="00693611">
      <w:pPr>
        <w:jc w:val="both"/>
      </w:pPr>
      <w:r w:rsidRPr="00693611">
        <w:t>The objective of this project is to predict corporate bankruptcy using financial indicators from highly imbalanced data. Traditional supervised learning performs poorly on bankruptcy detection because the number of failed companies (y=1) is extremely small relative to healthy firms.</w:t>
      </w:r>
    </w:p>
    <w:p w14:paraId="51AD141E" w14:textId="338143C9" w:rsidR="00693611" w:rsidRPr="00693611" w:rsidRDefault="00693611" w:rsidP="00693611">
      <w:pPr>
        <w:jc w:val="both"/>
      </w:pPr>
      <w:r w:rsidRPr="00693611">
        <w:t>To address this, we applied unsupervised clustering followed by subgroup-specific stacking models, allowing separate prediction pipelines for different financial patterns rather than one global classifier.</w:t>
      </w:r>
      <w:r w:rsidRPr="00693611">
        <w:br/>
        <w:t>This divide-and-conquer method increased model interpretability, improved bankruptcy recall (TT), and aligned with CS559 project requirements.</w:t>
      </w:r>
    </w:p>
    <w:p w14:paraId="1458E7C2" w14:textId="77777777" w:rsidR="00693611" w:rsidRDefault="00693611" w:rsidP="00693611">
      <w:pPr>
        <w:rPr>
          <w:b/>
          <w:bCs/>
        </w:rPr>
      </w:pPr>
    </w:p>
    <w:p w14:paraId="76097930" w14:textId="77777777" w:rsidR="00693611" w:rsidRPr="00693611" w:rsidRDefault="00693611" w:rsidP="00693611">
      <w:pPr>
        <w:rPr>
          <w:b/>
          <w:bCs/>
          <w:u w:val="single"/>
        </w:rPr>
      </w:pPr>
      <w:r w:rsidRPr="00693611">
        <w:rPr>
          <w:b/>
          <w:bCs/>
          <w:u w:val="single"/>
        </w:rPr>
        <w:t>2. Data Processing &amp; Feature Handling</w:t>
      </w:r>
    </w:p>
    <w:p w14:paraId="647B1BA0" w14:textId="77777777" w:rsidR="00693611" w:rsidRPr="00693611" w:rsidRDefault="00693611" w:rsidP="00693611">
      <w:pPr>
        <w:numPr>
          <w:ilvl w:val="0"/>
          <w:numId w:val="1"/>
        </w:numPr>
        <w:jc w:val="both"/>
      </w:pPr>
      <w:r w:rsidRPr="00693611">
        <w:t>Original Train Features: 95</w:t>
      </w:r>
    </w:p>
    <w:p w14:paraId="61DFA642" w14:textId="77777777" w:rsidR="00693611" w:rsidRPr="00693611" w:rsidRDefault="00693611" w:rsidP="00693611">
      <w:pPr>
        <w:numPr>
          <w:ilvl w:val="0"/>
          <w:numId w:val="1"/>
        </w:numPr>
        <w:jc w:val="both"/>
      </w:pPr>
      <w:r w:rsidRPr="00693611">
        <w:t>Test Rows: 1012</w:t>
      </w:r>
    </w:p>
    <w:p w14:paraId="5BFA29B6" w14:textId="77777777" w:rsidR="00693611" w:rsidRPr="00693611" w:rsidRDefault="00693611" w:rsidP="00693611">
      <w:pPr>
        <w:numPr>
          <w:ilvl w:val="0"/>
          <w:numId w:val="1"/>
        </w:numPr>
        <w:jc w:val="both"/>
      </w:pPr>
      <w:r w:rsidRPr="00693611">
        <w:t>Preprocessing:</w:t>
      </w:r>
    </w:p>
    <w:p w14:paraId="271F0F00" w14:textId="77777777" w:rsidR="00693611" w:rsidRPr="00693611" w:rsidRDefault="00693611" w:rsidP="00693611">
      <w:pPr>
        <w:numPr>
          <w:ilvl w:val="1"/>
          <w:numId w:val="1"/>
        </w:numPr>
        <w:jc w:val="both"/>
      </w:pPr>
      <w:r w:rsidRPr="00693611">
        <w:t>Bankrupt? and Index removed before clustering</w:t>
      </w:r>
    </w:p>
    <w:p w14:paraId="6D8F2B58" w14:textId="77777777" w:rsidR="00693611" w:rsidRPr="00693611" w:rsidRDefault="00693611" w:rsidP="00693611">
      <w:pPr>
        <w:numPr>
          <w:ilvl w:val="1"/>
          <w:numId w:val="1"/>
        </w:numPr>
        <w:jc w:val="both"/>
      </w:pPr>
      <w:proofErr w:type="spellStart"/>
      <w:r w:rsidRPr="00693611">
        <w:t>StandardScaler</w:t>
      </w:r>
      <w:proofErr w:type="spellEnd"/>
      <w:r w:rsidRPr="00693611">
        <w:t xml:space="preserve"> + PCA → Dimensionality reduced to 30</w:t>
      </w:r>
    </w:p>
    <w:p w14:paraId="287EBF96" w14:textId="77777777" w:rsidR="00693611" w:rsidRPr="00693611" w:rsidRDefault="00693611" w:rsidP="00693611">
      <w:pPr>
        <w:numPr>
          <w:ilvl w:val="1"/>
          <w:numId w:val="1"/>
        </w:numPr>
        <w:jc w:val="both"/>
      </w:pPr>
      <w:r w:rsidRPr="00693611">
        <w:t>Feature selection later varies by subgroup (</w:t>
      </w:r>
      <w:r w:rsidRPr="00693611">
        <w:rPr>
          <w:i/>
          <w:iCs/>
        </w:rPr>
        <w:t>per project rules</w:t>
      </w:r>
      <w:r w:rsidRPr="00693611">
        <w:t>)</w:t>
      </w:r>
    </w:p>
    <w:p w14:paraId="2188B7A2" w14:textId="77777777" w:rsidR="00693611" w:rsidRDefault="00693611" w:rsidP="00693611">
      <w:pPr>
        <w:jc w:val="both"/>
      </w:pPr>
      <w:r w:rsidRPr="00693611">
        <w:t>This ensured computational efficiency, reduced noise and preserved structural variance necessary for clustering.</w:t>
      </w:r>
    </w:p>
    <w:p w14:paraId="31F0BF3F" w14:textId="77777777" w:rsidR="00693611" w:rsidRDefault="00693611" w:rsidP="00693611">
      <w:pPr>
        <w:jc w:val="both"/>
      </w:pPr>
    </w:p>
    <w:p w14:paraId="32A028C4" w14:textId="77777777" w:rsidR="00693611" w:rsidRDefault="00693611" w:rsidP="00693611">
      <w:pPr>
        <w:jc w:val="both"/>
      </w:pPr>
    </w:p>
    <w:p w14:paraId="0F5CC020" w14:textId="77777777" w:rsidR="00693611" w:rsidRPr="00693611" w:rsidRDefault="00693611" w:rsidP="00693611">
      <w:pPr>
        <w:jc w:val="both"/>
      </w:pPr>
    </w:p>
    <w:p w14:paraId="2FEA9EBC" w14:textId="4F0276A4" w:rsidR="00693611" w:rsidRPr="00693611" w:rsidRDefault="00693611" w:rsidP="00693611">
      <w:pPr>
        <w:rPr>
          <w:b/>
          <w:bCs/>
          <w:u w:val="single"/>
        </w:rPr>
      </w:pPr>
      <w:r w:rsidRPr="00693611">
        <w:rPr>
          <w:b/>
          <w:bCs/>
          <w:u w:val="single"/>
        </w:rPr>
        <w:lastRenderedPageBreak/>
        <w:t>3. Clustering &amp; Subgroup Formation</w:t>
      </w:r>
    </w:p>
    <w:p w14:paraId="56D85F3F" w14:textId="77777777" w:rsidR="00693611" w:rsidRPr="00693611" w:rsidRDefault="00693611" w:rsidP="00693611">
      <w:pPr>
        <w:jc w:val="both"/>
      </w:pPr>
      <w:proofErr w:type="spellStart"/>
      <w:r w:rsidRPr="00693611">
        <w:t>KMeans</w:t>
      </w:r>
      <w:proofErr w:type="spellEnd"/>
      <w:r w:rsidRPr="00693611">
        <w:t xml:space="preserve"> was applied with k = 6 (within professor requirement: team size=4 → k range</w:t>
      </w:r>
      <w:proofErr w:type="gramStart"/>
      <w:r w:rsidRPr="00693611">
        <w:t>=[</w:t>
      </w:r>
      <w:proofErr w:type="gramEnd"/>
      <w:r w:rsidRPr="00693611">
        <w:t>4–8]) and produced the following training-set distribution:</w:t>
      </w:r>
    </w:p>
    <w:tbl>
      <w:tblPr>
        <w:tblStyle w:val="GridTable5Dark-Accent5"/>
        <w:tblW w:w="0" w:type="auto"/>
        <w:jc w:val="center"/>
        <w:tblLook w:val="04A0" w:firstRow="1" w:lastRow="0" w:firstColumn="1" w:lastColumn="0" w:noHBand="0" w:noVBand="1"/>
      </w:tblPr>
      <w:tblGrid>
        <w:gridCol w:w="976"/>
        <w:gridCol w:w="1363"/>
        <w:gridCol w:w="1217"/>
        <w:gridCol w:w="836"/>
      </w:tblGrid>
      <w:tr w:rsidR="00693611" w:rsidRPr="00693611" w14:paraId="5F596A44"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36D317" w14:textId="77777777" w:rsidR="00693611" w:rsidRPr="00693611" w:rsidRDefault="00693611" w:rsidP="00693611">
            <w:pPr>
              <w:jc w:val="cente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Cluster</w:t>
            </w:r>
          </w:p>
        </w:tc>
        <w:tc>
          <w:tcPr>
            <w:tcW w:w="0" w:type="auto"/>
            <w:hideMark/>
          </w:tcPr>
          <w:p w14:paraId="424CD526" w14:textId="77777777" w:rsidR="00693611" w:rsidRPr="00693611" w:rsidRDefault="00693611" w:rsidP="0069361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Companies</w:t>
            </w:r>
          </w:p>
        </w:tc>
        <w:tc>
          <w:tcPr>
            <w:tcW w:w="0" w:type="auto"/>
            <w:hideMark/>
          </w:tcPr>
          <w:p w14:paraId="1899EAB3" w14:textId="77777777" w:rsidR="00693611" w:rsidRPr="00693611" w:rsidRDefault="00693611" w:rsidP="0069361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Bankrupt</w:t>
            </w:r>
          </w:p>
        </w:tc>
        <w:tc>
          <w:tcPr>
            <w:tcW w:w="0" w:type="auto"/>
            <w:hideMark/>
          </w:tcPr>
          <w:p w14:paraId="63CD8AF9" w14:textId="77777777" w:rsidR="00693611" w:rsidRPr="00693611" w:rsidRDefault="00693611" w:rsidP="0069361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Rate</w:t>
            </w:r>
          </w:p>
        </w:tc>
      </w:tr>
      <w:tr w:rsidR="00693611" w:rsidRPr="00693611" w14:paraId="7E7FF1F0"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4E9D8E"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0</w:t>
            </w:r>
          </w:p>
        </w:tc>
        <w:tc>
          <w:tcPr>
            <w:tcW w:w="0" w:type="auto"/>
            <w:hideMark/>
          </w:tcPr>
          <w:p w14:paraId="56FF04CF"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1345</w:t>
            </w:r>
          </w:p>
        </w:tc>
        <w:tc>
          <w:tcPr>
            <w:tcW w:w="0" w:type="auto"/>
            <w:hideMark/>
          </w:tcPr>
          <w:p w14:paraId="10686A32"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109</w:t>
            </w:r>
          </w:p>
        </w:tc>
        <w:tc>
          <w:tcPr>
            <w:tcW w:w="0" w:type="auto"/>
            <w:hideMark/>
          </w:tcPr>
          <w:p w14:paraId="10BEB059"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8.10%</w:t>
            </w:r>
          </w:p>
        </w:tc>
      </w:tr>
      <w:tr w:rsidR="00693611" w:rsidRPr="00693611" w14:paraId="20571CAC"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717974"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2</w:t>
            </w:r>
          </w:p>
        </w:tc>
        <w:tc>
          <w:tcPr>
            <w:tcW w:w="0" w:type="auto"/>
            <w:hideMark/>
          </w:tcPr>
          <w:p w14:paraId="554D14F5"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1976</w:t>
            </w:r>
          </w:p>
        </w:tc>
        <w:tc>
          <w:tcPr>
            <w:tcW w:w="0" w:type="auto"/>
            <w:hideMark/>
          </w:tcPr>
          <w:p w14:paraId="0929CF3A"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4</w:t>
            </w:r>
          </w:p>
        </w:tc>
        <w:tc>
          <w:tcPr>
            <w:tcW w:w="0" w:type="auto"/>
            <w:hideMark/>
          </w:tcPr>
          <w:p w14:paraId="23FF9DD8"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0.20%</w:t>
            </w:r>
          </w:p>
        </w:tc>
      </w:tr>
      <w:tr w:rsidR="00693611" w:rsidRPr="00693611" w14:paraId="0975A1E5"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F3A49C"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3</w:t>
            </w:r>
          </w:p>
        </w:tc>
        <w:tc>
          <w:tcPr>
            <w:tcW w:w="0" w:type="auto"/>
            <w:hideMark/>
          </w:tcPr>
          <w:p w14:paraId="45FEE25E"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2157</w:t>
            </w:r>
          </w:p>
        </w:tc>
        <w:tc>
          <w:tcPr>
            <w:tcW w:w="0" w:type="auto"/>
            <w:hideMark/>
          </w:tcPr>
          <w:p w14:paraId="5E3F06FD"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82</w:t>
            </w:r>
          </w:p>
        </w:tc>
        <w:tc>
          <w:tcPr>
            <w:tcW w:w="0" w:type="auto"/>
            <w:hideMark/>
          </w:tcPr>
          <w:p w14:paraId="32FC05C2"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3.80%</w:t>
            </w:r>
          </w:p>
        </w:tc>
      </w:tr>
      <w:tr w:rsidR="00693611" w:rsidRPr="00693611" w14:paraId="53F5D973"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D08D6F"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5</w:t>
            </w:r>
          </w:p>
        </w:tc>
        <w:tc>
          <w:tcPr>
            <w:tcW w:w="0" w:type="auto"/>
            <w:hideMark/>
          </w:tcPr>
          <w:p w14:paraId="5BCE9A7D"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3</w:t>
            </w:r>
          </w:p>
        </w:tc>
        <w:tc>
          <w:tcPr>
            <w:tcW w:w="0" w:type="auto"/>
            <w:hideMark/>
          </w:tcPr>
          <w:p w14:paraId="20098BF9"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3</w:t>
            </w:r>
          </w:p>
        </w:tc>
        <w:tc>
          <w:tcPr>
            <w:tcW w:w="0" w:type="auto"/>
            <w:hideMark/>
          </w:tcPr>
          <w:p w14:paraId="294B973D"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100%</w:t>
            </w:r>
          </w:p>
        </w:tc>
      </w:tr>
    </w:tbl>
    <w:p w14:paraId="08D5E12D" w14:textId="77777777" w:rsidR="00472B3E" w:rsidRPr="00472B3E" w:rsidRDefault="00472B3E" w:rsidP="00472B3E"/>
    <w:p w14:paraId="647CFA2B" w14:textId="78A2A367" w:rsidR="00693611" w:rsidRDefault="00693611">
      <w:r w:rsidRPr="00693611">
        <w:t xml:space="preserve">Clusters </w:t>
      </w:r>
      <w:r w:rsidRPr="00693611">
        <w:rPr>
          <w:b/>
          <w:bCs/>
        </w:rPr>
        <w:t>1 &amp; 4</w:t>
      </w:r>
      <w:r w:rsidRPr="00693611">
        <w:t xml:space="preserve"> contained no bankrupt companies and were removed from modeling assignment (as allowed).</w:t>
      </w:r>
      <w:r w:rsidRPr="00693611">
        <w:br/>
        <w:t xml:space="preserve">Cluster </w:t>
      </w:r>
      <w:r w:rsidRPr="00693611">
        <w:rPr>
          <w:b/>
          <w:bCs/>
        </w:rPr>
        <w:t>5 was fully bankrupt</w:t>
      </w:r>
      <w:r w:rsidRPr="00693611">
        <w:t xml:space="preserve">, and therefore a </w:t>
      </w:r>
      <w:proofErr w:type="spellStart"/>
      <w:r w:rsidRPr="00693611">
        <w:rPr>
          <w:b/>
          <w:bCs/>
        </w:rPr>
        <w:t>ConstantModel</w:t>
      </w:r>
      <w:proofErr w:type="spellEnd"/>
      <w:r w:rsidRPr="00693611">
        <w:rPr>
          <w:b/>
          <w:bCs/>
        </w:rPr>
        <w:t xml:space="preserve"> (predict=1)</w:t>
      </w:r>
      <w:r w:rsidRPr="00693611">
        <w:t xml:space="preserve"> was justified and allowed by rubric.</w:t>
      </w:r>
    </w:p>
    <w:p w14:paraId="7E48704C" w14:textId="77777777" w:rsidR="00693611" w:rsidRDefault="00693611" w:rsidP="00693611">
      <w:pPr>
        <w:rPr>
          <w:b/>
          <w:bCs/>
          <w:u w:val="single"/>
        </w:rPr>
      </w:pPr>
    </w:p>
    <w:p w14:paraId="6C9B795C" w14:textId="685ACBC7" w:rsidR="00693611" w:rsidRPr="00693611" w:rsidRDefault="00693611" w:rsidP="00693611">
      <w:pPr>
        <w:rPr>
          <w:b/>
          <w:bCs/>
          <w:u w:val="single"/>
        </w:rPr>
      </w:pPr>
      <w:r w:rsidRPr="00693611">
        <w:rPr>
          <w:b/>
          <w:bCs/>
          <w:u w:val="single"/>
        </w:rPr>
        <w:t>4. Subgroup Characteristics (Domain-based Interpretation)</w:t>
      </w:r>
    </w:p>
    <w:p w14:paraId="29E46121" w14:textId="77777777" w:rsidR="00693611" w:rsidRDefault="00693611" w:rsidP="00693611">
      <w:pPr>
        <w:jc w:val="both"/>
      </w:pPr>
      <w:r w:rsidRPr="00693611">
        <w:rPr>
          <w:b/>
          <w:bCs/>
        </w:rPr>
        <w:t>Cluster 0 — Financially healthy, profitable, low-risk</w:t>
      </w:r>
    </w:p>
    <w:p w14:paraId="238BA287" w14:textId="45214F1A" w:rsidR="00693611" w:rsidRPr="00693611" w:rsidRDefault="00693611" w:rsidP="00693611">
      <w:pPr>
        <w:jc w:val="both"/>
      </w:pPr>
      <w:r w:rsidRPr="00693611">
        <w:t>High ROA, strong retained earnings, manageable leverage, good liquidity.</w:t>
      </w:r>
    </w:p>
    <w:p w14:paraId="4BD3C098" w14:textId="77777777" w:rsidR="00693611" w:rsidRDefault="00693611" w:rsidP="00693611">
      <w:pPr>
        <w:jc w:val="both"/>
      </w:pPr>
      <w:r w:rsidRPr="00693611">
        <w:rPr>
          <w:b/>
          <w:bCs/>
        </w:rPr>
        <w:t>Cluster 2 — Medium-stability firms</w:t>
      </w:r>
    </w:p>
    <w:p w14:paraId="3EE6E24B" w14:textId="6F0C743A" w:rsidR="00693611" w:rsidRPr="00693611" w:rsidRDefault="00693611" w:rsidP="00693611">
      <w:pPr>
        <w:jc w:val="both"/>
      </w:pPr>
      <w:r w:rsidRPr="00693611">
        <w:t>Profitability inconsistent, uneven capital structure, debt levels moderate but not critical.</w:t>
      </w:r>
    </w:p>
    <w:p w14:paraId="40A107E5" w14:textId="77777777" w:rsidR="00693611" w:rsidRDefault="00693611" w:rsidP="00693611">
      <w:pPr>
        <w:jc w:val="both"/>
      </w:pPr>
      <w:r w:rsidRPr="00693611">
        <w:rPr>
          <w:b/>
          <w:bCs/>
        </w:rPr>
        <w:t>Cluster 3 — High volatility, distress-prone</w:t>
      </w:r>
    </w:p>
    <w:p w14:paraId="3A843B80" w14:textId="5CEE64E2" w:rsidR="00693611" w:rsidRPr="00693611" w:rsidRDefault="00693611" w:rsidP="00693611">
      <w:pPr>
        <w:jc w:val="both"/>
      </w:pPr>
      <w:r w:rsidRPr="00693611">
        <w:t>Signs of operational decline, weaker cash flow, elevated risk signals.</w:t>
      </w:r>
    </w:p>
    <w:p w14:paraId="5C30D46E" w14:textId="77777777" w:rsidR="00693611" w:rsidRDefault="00693611" w:rsidP="00693611">
      <w:pPr>
        <w:jc w:val="both"/>
      </w:pPr>
      <w:r w:rsidRPr="00693611">
        <w:rPr>
          <w:b/>
          <w:bCs/>
        </w:rPr>
        <w:t>Cluster 5 — Completely bankrupt groups</w:t>
      </w:r>
    </w:p>
    <w:p w14:paraId="7DEB78AF" w14:textId="550C8400" w:rsidR="00693611" w:rsidRPr="00693611" w:rsidRDefault="00693611" w:rsidP="00693611">
      <w:pPr>
        <w:jc w:val="both"/>
      </w:pPr>
      <w:r w:rsidRPr="00693611">
        <w:t>Negative earnings, extremely poor solvency metrics → terminal-state companies.</w:t>
      </w:r>
    </w:p>
    <w:p w14:paraId="4D81D3F3" w14:textId="77777777" w:rsidR="00693611" w:rsidRPr="00693611" w:rsidRDefault="00693611" w:rsidP="00693611">
      <w:pPr>
        <w:jc w:val="both"/>
      </w:pPr>
      <w:r w:rsidRPr="00693611">
        <w:t>These financial signatures informed the subgroup-specific feature selection and modeling strategy.</w:t>
      </w:r>
    </w:p>
    <w:p w14:paraId="6EBB4C0F" w14:textId="77777777" w:rsidR="00693611" w:rsidRDefault="00693611" w:rsidP="00693611">
      <w:pPr>
        <w:rPr>
          <w:b/>
          <w:bCs/>
        </w:rPr>
      </w:pPr>
    </w:p>
    <w:p w14:paraId="7976271D" w14:textId="58527765" w:rsidR="00693611" w:rsidRPr="00693611" w:rsidRDefault="00693611" w:rsidP="00693611">
      <w:pPr>
        <w:rPr>
          <w:b/>
          <w:bCs/>
          <w:u w:val="single"/>
        </w:rPr>
      </w:pPr>
      <w:r w:rsidRPr="00693611">
        <w:rPr>
          <w:b/>
          <w:bCs/>
          <w:u w:val="single"/>
        </w:rPr>
        <w:t>5. Subgroup Stacking Models (Section 3.3.2 Requirement)</w:t>
      </w:r>
    </w:p>
    <w:p w14:paraId="44C780BE" w14:textId="77777777" w:rsidR="00693611" w:rsidRPr="00693611" w:rsidRDefault="00693611" w:rsidP="00693611">
      <w:r w:rsidRPr="00693611">
        <w:t>Each subgroup used separate branch models:</w:t>
      </w:r>
    </w:p>
    <w:tbl>
      <w:tblPr>
        <w:tblStyle w:val="GridTable5Dark-Accent6"/>
        <w:tblW w:w="0" w:type="auto"/>
        <w:jc w:val="center"/>
        <w:tblLook w:val="04A0" w:firstRow="1" w:lastRow="0" w:firstColumn="1" w:lastColumn="0" w:noHBand="0" w:noVBand="1"/>
      </w:tblPr>
      <w:tblGrid>
        <w:gridCol w:w="1025"/>
        <w:gridCol w:w="1207"/>
        <w:gridCol w:w="3758"/>
        <w:gridCol w:w="1410"/>
      </w:tblGrid>
      <w:tr w:rsidR="00693611" w:rsidRPr="00693611" w14:paraId="5922337C"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A2B0B" w14:textId="77777777" w:rsidR="00693611" w:rsidRPr="00693611" w:rsidRDefault="00693611" w:rsidP="00693611">
            <w:pPr>
              <w:spacing w:after="160" w:line="278" w:lineRule="auto"/>
            </w:pPr>
            <w:r w:rsidRPr="00693611">
              <w:t>Cluster</w:t>
            </w:r>
          </w:p>
        </w:tc>
        <w:tc>
          <w:tcPr>
            <w:tcW w:w="0" w:type="auto"/>
            <w:hideMark/>
          </w:tcPr>
          <w:p w14:paraId="0B11F003"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pPr>
            <w:r w:rsidRPr="00693611">
              <w:t>Member</w:t>
            </w:r>
          </w:p>
        </w:tc>
        <w:tc>
          <w:tcPr>
            <w:tcW w:w="0" w:type="auto"/>
            <w:hideMark/>
          </w:tcPr>
          <w:p w14:paraId="4A31513F"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pPr>
            <w:r w:rsidRPr="00693611">
              <w:t>Model Type</w:t>
            </w:r>
          </w:p>
        </w:tc>
        <w:tc>
          <w:tcPr>
            <w:tcW w:w="0" w:type="auto"/>
            <w:hideMark/>
          </w:tcPr>
          <w:p w14:paraId="6106B387"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693611">
              <w:t>N_features</w:t>
            </w:r>
            <w:proofErr w:type="spellEnd"/>
          </w:p>
        </w:tc>
      </w:tr>
      <w:tr w:rsidR="00693611" w:rsidRPr="00693611" w14:paraId="59DA10C2"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1DF60A" w14:textId="77777777" w:rsidR="00693611" w:rsidRPr="00693611" w:rsidRDefault="00693611" w:rsidP="00693611">
            <w:pPr>
              <w:spacing w:after="160" w:line="278" w:lineRule="auto"/>
            </w:pPr>
            <w:r w:rsidRPr="00693611">
              <w:t>0</w:t>
            </w:r>
          </w:p>
        </w:tc>
        <w:tc>
          <w:tcPr>
            <w:tcW w:w="0" w:type="auto"/>
            <w:hideMark/>
          </w:tcPr>
          <w:p w14:paraId="687496E0"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t>Parth</w:t>
            </w:r>
          </w:p>
        </w:tc>
        <w:tc>
          <w:tcPr>
            <w:tcW w:w="0" w:type="auto"/>
            <w:hideMark/>
          </w:tcPr>
          <w:p w14:paraId="5BCD06E2"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t>Stacking Ensemble</w:t>
            </w:r>
          </w:p>
        </w:tc>
        <w:tc>
          <w:tcPr>
            <w:tcW w:w="0" w:type="auto"/>
            <w:hideMark/>
          </w:tcPr>
          <w:p w14:paraId="638E0170"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rPr>
                <w:b/>
                <w:bCs/>
              </w:rPr>
              <w:t>25</w:t>
            </w:r>
          </w:p>
        </w:tc>
      </w:tr>
      <w:tr w:rsidR="00693611" w:rsidRPr="00693611" w14:paraId="2476C578"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C1D1F9" w14:textId="77777777" w:rsidR="00693611" w:rsidRPr="00693611" w:rsidRDefault="00693611" w:rsidP="00693611">
            <w:pPr>
              <w:spacing w:after="160" w:line="278" w:lineRule="auto"/>
            </w:pPr>
            <w:r w:rsidRPr="00693611">
              <w:t>2</w:t>
            </w:r>
          </w:p>
        </w:tc>
        <w:tc>
          <w:tcPr>
            <w:tcW w:w="0" w:type="auto"/>
            <w:hideMark/>
          </w:tcPr>
          <w:p w14:paraId="2FA0FBB9"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t>Dhanisha</w:t>
            </w:r>
          </w:p>
        </w:tc>
        <w:tc>
          <w:tcPr>
            <w:tcW w:w="0" w:type="auto"/>
            <w:hideMark/>
          </w:tcPr>
          <w:p w14:paraId="4DE5BFDF"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t>Stacking Ensemble</w:t>
            </w:r>
          </w:p>
        </w:tc>
        <w:tc>
          <w:tcPr>
            <w:tcW w:w="0" w:type="auto"/>
            <w:hideMark/>
          </w:tcPr>
          <w:p w14:paraId="01FEBBC9"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rPr>
                <w:b/>
                <w:bCs/>
              </w:rPr>
              <w:t>40</w:t>
            </w:r>
          </w:p>
        </w:tc>
      </w:tr>
      <w:tr w:rsidR="00693611" w:rsidRPr="00693611" w14:paraId="78AECDC2"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824FF4" w14:textId="77777777" w:rsidR="00693611" w:rsidRPr="00693611" w:rsidRDefault="00693611" w:rsidP="00693611">
            <w:pPr>
              <w:spacing w:after="160" w:line="278" w:lineRule="auto"/>
            </w:pPr>
            <w:r w:rsidRPr="00693611">
              <w:t>3</w:t>
            </w:r>
          </w:p>
        </w:tc>
        <w:tc>
          <w:tcPr>
            <w:tcW w:w="0" w:type="auto"/>
            <w:hideMark/>
          </w:tcPr>
          <w:p w14:paraId="51423FCC"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t>Lasya</w:t>
            </w:r>
          </w:p>
        </w:tc>
        <w:tc>
          <w:tcPr>
            <w:tcW w:w="0" w:type="auto"/>
            <w:hideMark/>
          </w:tcPr>
          <w:p w14:paraId="75964E32"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t>Stacking Ensemble</w:t>
            </w:r>
          </w:p>
        </w:tc>
        <w:tc>
          <w:tcPr>
            <w:tcW w:w="0" w:type="auto"/>
            <w:hideMark/>
          </w:tcPr>
          <w:p w14:paraId="2242D33F"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rPr>
                <w:b/>
                <w:bCs/>
              </w:rPr>
              <w:t>13</w:t>
            </w:r>
          </w:p>
        </w:tc>
      </w:tr>
      <w:tr w:rsidR="00693611" w:rsidRPr="00693611" w14:paraId="5E234341"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187C51" w14:textId="77777777" w:rsidR="00693611" w:rsidRPr="00693611" w:rsidRDefault="00693611" w:rsidP="00693611">
            <w:pPr>
              <w:spacing w:after="160" w:line="278" w:lineRule="auto"/>
            </w:pPr>
            <w:r w:rsidRPr="00693611">
              <w:t>5</w:t>
            </w:r>
          </w:p>
        </w:tc>
        <w:tc>
          <w:tcPr>
            <w:tcW w:w="0" w:type="auto"/>
            <w:hideMark/>
          </w:tcPr>
          <w:p w14:paraId="77661E8B"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693611">
              <w:t>Premlata</w:t>
            </w:r>
            <w:proofErr w:type="spellEnd"/>
          </w:p>
        </w:tc>
        <w:tc>
          <w:tcPr>
            <w:tcW w:w="0" w:type="auto"/>
            <w:hideMark/>
          </w:tcPr>
          <w:p w14:paraId="23AEA2A6"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t>Constant Model (always bankrupt)</w:t>
            </w:r>
          </w:p>
        </w:tc>
        <w:tc>
          <w:tcPr>
            <w:tcW w:w="0" w:type="auto"/>
            <w:hideMark/>
          </w:tcPr>
          <w:p w14:paraId="7DA2805C"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rPr>
                <w:b/>
                <w:bCs/>
              </w:rPr>
              <w:t>0</w:t>
            </w:r>
          </w:p>
        </w:tc>
      </w:tr>
    </w:tbl>
    <w:p w14:paraId="7F2F5EC3" w14:textId="044E2722" w:rsidR="00472B3E" w:rsidRPr="00693611" w:rsidRDefault="00693611">
      <w:pPr>
        <w:rPr>
          <w:b/>
          <w:bCs/>
          <w:u w:val="single"/>
        </w:rPr>
      </w:pPr>
      <w:r w:rsidRPr="00693611">
        <w:rPr>
          <w:b/>
          <w:bCs/>
          <w:u w:val="single"/>
        </w:rPr>
        <w:lastRenderedPageBreak/>
        <w:t xml:space="preserve">6. FINAL TABLE-3 </w:t>
      </w:r>
    </w:p>
    <w:tbl>
      <w:tblPr>
        <w:tblStyle w:val="GridTable5Dark-Accent1"/>
        <w:tblW w:w="0" w:type="auto"/>
        <w:tblLook w:val="04A0" w:firstRow="1" w:lastRow="0" w:firstColumn="1" w:lastColumn="0" w:noHBand="0" w:noVBand="1"/>
      </w:tblPr>
      <w:tblGrid>
        <w:gridCol w:w="829"/>
        <w:gridCol w:w="1552"/>
        <w:gridCol w:w="1014"/>
        <w:gridCol w:w="2183"/>
        <w:gridCol w:w="1190"/>
        <w:gridCol w:w="1878"/>
        <w:gridCol w:w="2144"/>
      </w:tblGrid>
      <w:tr w:rsidR="00693611" w:rsidRPr="00693611" w14:paraId="6D4F48AA" w14:textId="77777777" w:rsidTr="00693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B49AC" w14:textId="77777777" w:rsidR="00693611" w:rsidRPr="00693611" w:rsidRDefault="00693611" w:rsidP="00693611">
            <w:pPr>
              <w:spacing w:after="160" w:line="278" w:lineRule="auto"/>
              <w:rPr>
                <w:rFonts w:ascii="Segoe UI Symbol" w:hAnsi="Segoe UI Symbol" w:cs="Segoe UI Symbol"/>
                <w:sz w:val="20"/>
                <w:szCs w:val="20"/>
              </w:rPr>
            </w:pPr>
            <w:r w:rsidRPr="00693611">
              <w:rPr>
                <w:rFonts w:ascii="Segoe UI Symbol" w:hAnsi="Segoe UI Symbol" w:cs="Segoe UI Symbol"/>
                <w:sz w:val="20"/>
                <w:szCs w:val="20"/>
              </w:rPr>
              <w:t>Cluster</w:t>
            </w:r>
          </w:p>
        </w:tc>
        <w:tc>
          <w:tcPr>
            <w:tcW w:w="0" w:type="auto"/>
            <w:hideMark/>
          </w:tcPr>
          <w:p w14:paraId="222611B2"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Total Companies</w:t>
            </w:r>
          </w:p>
        </w:tc>
        <w:tc>
          <w:tcPr>
            <w:tcW w:w="0" w:type="auto"/>
            <w:hideMark/>
          </w:tcPr>
          <w:p w14:paraId="298194B6"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Bankrupt</w:t>
            </w:r>
          </w:p>
        </w:tc>
        <w:tc>
          <w:tcPr>
            <w:tcW w:w="0" w:type="auto"/>
            <w:hideMark/>
          </w:tcPr>
          <w:p w14:paraId="6B32C2B0"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TT</w:t>
            </w:r>
          </w:p>
        </w:tc>
        <w:tc>
          <w:tcPr>
            <w:tcW w:w="0" w:type="auto"/>
            <w:hideMark/>
          </w:tcPr>
          <w:p w14:paraId="1563B919"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TF</w:t>
            </w:r>
          </w:p>
        </w:tc>
        <w:tc>
          <w:tcPr>
            <w:tcW w:w="0" w:type="auto"/>
            <w:hideMark/>
          </w:tcPr>
          <w:p w14:paraId="2DC0C1EF"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Symbol" w:hAnsi="Segoe UI Symbol" w:cs="Segoe UI Symbol"/>
                <w:sz w:val="20"/>
                <w:szCs w:val="20"/>
              </w:rPr>
            </w:pPr>
            <w:proofErr w:type="spellStart"/>
            <w:r w:rsidRPr="00693611">
              <w:rPr>
                <w:rFonts w:ascii="Segoe UI Symbol" w:hAnsi="Segoe UI Symbol" w:cs="Segoe UI Symbol"/>
                <w:sz w:val="20"/>
                <w:szCs w:val="20"/>
              </w:rPr>
              <w:t>N_features</w:t>
            </w:r>
            <w:proofErr w:type="spellEnd"/>
          </w:p>
        </w:tc>
        <w:tc>
          <w:tcPr>
            <w:tcW w:w="0" w:type="auto"/>
            <w:hideMark/>
          </w:tcPr>
          <w:p w14:paraId="56DCBD19"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Member</w:t>
            </w:r>
          </w:p>
        </w:tc>
      </w:tr>
      <w:tr w:rsidR="00693611" w:rsidRPr="00693611" w14:paraId="1F8373DB" w14:textId="77777777" w:rsidTr="00693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380C5" w14:textId="77777777" w:rsidR="00693611" w:rsidRPr="00693611" w:rsidRDefault="00693611" w:rsidP="00693611">
            <w:pPr>
              <w:spacing w:after="160" w:line="278" w:lineRule="auto"/>
              <w:rPr>
                <w:rFonts w:ascii="Segoe UI Symbol" w:hAnsi="Segoe UI Symbol" w:cs="Segoe UI Symbol"/>
                <w:sz w:val="20"/>
                <w:szCs w:val="20"/>
              </w:rPr>
            </w:pPr>
            <w:r w:rsidRPr="00693611">
              <w:rPr>
                <w:rFonts w:ascii="Segoe UI Symbol" w:hAnsi="Segoe UI Symbol" w:cs="Segoe UI Symbol"/>
                <w:sz w:val="20"/>
                <w:szCs w:val="20"/>
              </w:rPr>
              <w:t>0</w:t>
            </w:r>
          </w:p>
        </w:tc>
        <w:tc>
          <w:tcPr>
            <w:tcW w:w="0" w:type="auto"/>
            <w:hideMark/>
          </w:tcPr>
          <w:p w14:paraId="3C8FC555"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1345</w:t>
            </w:r>
          </w:p>
        </w:tc>
        <w:tc>
          <w:tcPr>
            <w:tcW w:w="0" w:type="auto"/>
            <w:hideMark/>
          </w:tcPr>
          <w:p w14:paraId="72921775"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109</w:t>
            </w:r>
          </w:p>
        </w:tc>
        <w:tc>
          <w:tcPr>
            <w:tcW w:w="0" w:type="auto"/>
            <w:hideMark/>
          </w:tcPr>
          <w:p w14:paraId="699ACB94"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109</w:t>
            </w:r>
          </w:p>
        </w:tc>
        <w:tc>
          <w:tcPr>
            <w:tcW w:w="0" w:type="auto"/>
            <w:hideMark/>
          </w:tcPr>
          <w:p w14:paraId="7280D224"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107</w:t>
            </w:r>
          </w:p>
        </w:tc>
        <w:tc>
          <w:tcPr>
            <w:tcW w:w="0" w:type="auto"/>
            <w:hideMark/>
          </w:tcPr>
          <w:p w14:paraId="530AA610"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25</w:t>
            </w:r>
          </w:p>
        </w:tc>
        <w:tc>
          <w:tcPr>
            <w:tcW w:w="0" w:type="auto"/>
            <w:hideMark/>
          </w:tcPr>
          <w:p w14:paraId="5A919EBC"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Parth</w:t>
            </w:r>
          </w:p>
        </w:tc>
      </w:tr>
      <w:tr w:rsidR="00693611" w:rsidRPr="00693611" w14:paraId="457AC39D" w14:textId="77777777" w:rsidTr="00693611">
        <w:tc>
          <w:tcPr>
            <w:cnfStyle w:val="001000000000" w:firstRow="0" w:lastRow="0" w:firstColumn="1" w:lastColumn="0" w:oddVBand="0" w:evenVBand="0" w:oddHBand="0" w:evenHBand="0" w:firstRowFirstColumn="0" w:firstRowLastColumn="0" w:lastRowFirstColumn="0" w:lastRowLastColumn="0"/>
            <w:tcW w:w="0" w:type="auto"/>
            <w:hideMark/>
          </w:tcPr>
          <w:p w14:paraId="11005F12" w14:textId="77777777" w:rsidR="00693611" w:rsidRPr="00693611" w:rsidRDefault="00693611" w:rsidP="00693611">
            <w:pPr>
              <w:spacing w:after="160" w:line="278" w:lineRule="auto"/>
              <w:rPr>
                <w:rFonts w:ascii="Segoe UI Symbol" w:hAnsi="Segoe UI Symbol" w:cs="Segoe UI Symbol"/>
                <w:sz w:val="20"/>
                <w:szCs w:val="20"/>
              </w:rPr>
            </w:pPr>
            <w:r w:rsidRPr="00693611">
              <w:rPr>
                <w:rFonts w:ascii="Segoe UI Symbol" w:hAnsi="Segoe UI Symbol" w:cs="Segoe UI Symbol"/>
                <w:sz w:val="20"/>
                <w:szCs w:val="20"/>
              </w:rPr>
              <w:t>2</w:t>
            </w:r>
          </w:p>
        </w:tc>
        <w:tc>
          <w:tcPr>
            <w:tcW w:w="0" w:type="auto"/>
            <w:hideMark/>
          </w:tcPr>
          <w:p w14:paraId="564BE617"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1976</w:t>
            </w:r>
          </w:p>
        </w:tc>
        <w:tc>
          <w:tcPr>
            <w:tcW w:w="0" w:type="auto"/>
            <w:hideMark/>
          </w:tcPr>
          <w:p w14:paraId="38C6F52B"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4</w:t>
            </w:r>
          </w:p>
        </w:tc>
        <w:tc>
          <w:tcPr>
            <w:tcW w:w="0" w:type="auto"/>
            <w:hideMark/>
          </w:tcPr>
          <w:p w14:paraId="43B85347"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4</w:t>
            </w:r>
          </w:p>
        </w:tc>
        <w:tc>
          <w:tcPr>
            <w:tcW w:w="0" w:type="auto"/>
            <w:hideMark/>
          </w:tcPr>
          <w:p w14:paraId="115FB0C6"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0</w:t>
            </w:r>
          </w:p>
        </w:tc>
        <w:tc>
          <w:tcPr>
            <w:tcW w:w="0" w:type="auto"/>
            <w:hideMark/>
          </w:tcPr>
          <w:p w14:paraId="1F0D5793"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40</w:t>
            </w:r>
          </w:p>
        </w:tc>
        <w:tc>
          <w:tcPr>
            <w:tcW w:w="0" w:type="auto"/>
            <w:hideMark/>
          </w:tcPr>
          <w:p w14:paraId="5DE56C5B"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Dhanisha</w:t>
            </w:r>
          </w:p>
        </w:tc>
      </w:tr>
      <w:tr w:rsidR="00693611" w:rsidRPr="00693611" w14:paraId="6A157A29" w14:textId="77777777" w:rsidTr="00693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F2EBC" w14:textId="77777777" w:rsidR="00693611" w:rsidRPr="00693611" w:rsidRDefault="00693611" w:rsidP="00693611">
            <w:pPr>
              <w:spacing w:after="160" w:line="278" w:lineRule="auto"/>
              <w:rPr>
                <w:rFonts w:ascii="Segoe UI Symbol" w:hAnsi="Segoe UI Symbol" w:cs="Segoe UI Symbol"/>
                <w:sz w:val="20"/>
                <w:szCs w:val="20"/>
              </w:rPr>
            </w:pPr>
            <w:r w:rsidRPr="00693611">
              <w:rPr>
                <w:rFonts w:ascii="Segoe UI Symbol" w:hAnsi="Segoe UI Symbol" w:cs="Segoe UI Symbol"/>
                <w:sz w:val="20"/>
                <w:szCs w:val="20"/>
              </w:rPr>
              <w:t>3</w:t>
            </w:r>
          </w:p>
        </w:tc>
        <w:tc>
          <w:tcPr>
            <w:tcW w:w="0" w:type="auto"/>
            <w:hideMark/>
          </w:tcPr>
          <w:p w14:paraId="08A0ADD4"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2157</w:t>
            </w:r>
          </w:p>
        </w:tc>
        <w:tc>
          <w:tcPr>
            <w:tcW w:w="0" w:type="auto"/>
            <w:hideMark/>
          </w:tcPr>
          <w:p w14:paraId="17395517"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82</w:t>
            </w:r>
          </w:p>
        </w:tc>
        <w:tc>
          <w:tcPr>
            <w:tcW w:w="0" w:type="auto"/>
            <w:hideMark/>
          </w:tcPr>
          <w:p w14:paraId="0D821A3E"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82</w:t>
            </w:r>
          </w:p>
        </w:tc>
        <w:tc>
          <w:tcPr>
            <w:tcW w:w="0" w:type="auto"/>
            <w:hideMark/>
          </w:tcPr>
          <w:p w14:paraId="5335698E"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74</w:t>
            </w:r>
          </w:p>
        </w:tc>
        <w:tc>
          <w:tcPr>
            <w:tcW w:w="0" w:type="auto"/>
            <w:hideMark/>
          </w:tcPr>
          <w:p w14:paraId="431F4CCB"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13</w:t>
            </w:r>
          </w:p>
        </w:tc>
        <w:tc>
          <w:tcPr>
            <w:tcW w:w="0" w:type="auto"/>
            <w:hideMark/>
          </w:tcPr>
          <w:p w14:paraId="22D1EA47"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Lasya</w:t>
            </w:r>
          </w:p>
        </w:tc>
      </w:tr>
      <w:tr w:rsidR="00693611" w:rsidRPr="00693611" w14:paraId="3742DD37" w14:textId="77777777" w:rsidTr="00693611">
        <w:tc>
          <w:tcPr>
            <w:cnfStyle w:val="001000000000" w:firstRow="0" w:lastRow="0" w:firstColumn="1" w:lastColumn="0" w:oddVBand="0" w:evenVBand="0" w:oddHBand="0" w:evenHBand="0" w:firstRowFirstColumn="0" w:firstRowLastColumn="0" w:lastRowFirstColumn="0" w:lastRowLastColumn="0"/>
            <w:tcW w:w="0" w:type="auto"/>
            <w:hideMark/>
          </w:tcPr>
          <w:p w14:paraId="54FC64F7" w14:textId="77777777" w:rsidR="00693611" w:rsidRPr="00693611" w:rsidRDefault="00693611" w:rsidP="00693611">
            <w:pPr>
              <w:spacing w:after="160" w:line="278" w:lineRule="auto"/>
              <w:rPr>
                <w:rFonts w:ascii="Segoe UI Symbol" w:hAnsi="Segoe UI Symbol" w:cs="Segoe UI Symbol"/>
                <w:sz w:val="20"/>
                <w:szCs w:val="20"/>
              </w:rPr>
            </w:pPr>
            <w:r w:rsidRPr="00693611">
              <w:rPr>
                <w:rFonts w:ascii="Segoe UI Symbol" w:hAnsi="Segoe UI Symbol" w:cs="Segoe UI Symbol"/>
                <w:sz w:val="20"/>
                <w:szCs w:val="20"/>
              </w:rPr>
              <w:t>5</w:t>
            </w:r>
          </w:p>
        </w:tc>
        <w:tc>
          <w:tcPr>
            <w:tcW w:w="0" w:type="auto"/>
            <w:hideMark/>
          </w:tcPr>
          <w:p w14:paraId="71BA2B0C"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3</w:t>
            </w:r>
          </w:p>
        </w:tc>
        <w:tc>
          <w:tcPr>
            <w:tcW w:w="0" w:type="auto"/>
            <w:hideMark/>
          </w:tcPr>
          <w:p w14:paraId="0E126AF7"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3</w:t>
            </w:r>
          </w:p>
        </w:tc>
        <w:tc>
          <w:tcPr>
            <w:tcW w:w="0" w:type="auto"/>
            <w:hideMark/>
          </w:tcPr>
          <w:p w14:paraId="739E4617"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3</w:t>
            </w:r>
          </w:p>
        </w:tc>
        <w:tc>
          <w:tcPr>
            <w:tcW w:w="0" w:type="auto"/>
            <w:hideMark/>
          </w:tcPr>
          <w:p w14:paraId="19F3E1AF"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0</w:t>
            </w:r>
          </w:p>
        </w:tc>
        <w:tc>
          <w:tcPr>
            <w:tcW w:w="0" w:type="auto"/>
            <w:hideMark/>
          </w:tcPr>
          <w:p w14:paraId="3C25BDD5"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0</w:t>
            </w:r>
          </w:p>
        </w:tc>
        <w:tc>
          <w:tcPr>
            <w:tcW w:w="0" w:type="auto"/>
            <w:hideMark/>
          </w:tcPr>
          <w:p w14:paraId="0EF06441"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sz w:val="20"/>
                <w:szCs w:val="20"/>
              </w:rPr>
            </w:pPr>
            <w:proofErr w:type="spellStart"/>
            <w:r w:rsidRPr="00693611">
              <w:rPr>
                <w:rFonts w:ascii="Segoe UI Symbol" w:hAnsi="Segoe UI Symbol" w:cs="Segoe UI Symbol"/>
                <w:b/>
                <w:bCs/>
                <w:sz w:val="20"/>
                <w:szCs w:val="20"/>
              </w:rPr>
              <w:t>Premlata</w:t>
            </w:r>
            <w:proofErr w:type="spellEnd"/>
            <w:r w:rsidRPr="00693611">
              <w:rPr>
                <w:rFonts w:ascii="Segoe UI Symbol" w:hAnsi="Segoe UI Symbol" w:cs="Segoe UI Symbol"/>
                <w:b/>
                <w:bCs/>
                <w:sz w:val="20"/>
                <w:szCs w:val="20"/>
              </w:rPr>
              <w:t xml:space="preserve"> (Constant Model)</w:t>
            </w:r>
          </w:p>
        </w:tc>
      </w:tr>
      <w:tr w:rsidR="00693611" w:rsidRPr="00693611" w14:paraId="782F0AA8" w14:textId="77777777" w:rsidTr="00693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2D6B63" w14:textId="77777777" w:rsidR="00693611" w:rsidRPr="00693611" w:rsidRDefault="00693611" w:rsidP="00693611">
            <w:pPr>
              <w:spacing w:after="160" w:line="278" w:lineRule="auto"/>
              <w:rPr>
                <w:rFonts w:ascii="Segoe UI Symbol" w:hAnsi="Segoe UI Symbol" w:cs="Segoe UI Symbol"/>
                <w:sz w:val="20"/>
                <w:szCs w:val="20"/>
              </w:rPr>
            </w:pPr>
            <w:r w:rsidRPr="00693611">
              <w:rPr>
                <w:rFonts w:ascii="Segoe UI Symbol" w:hAnsi="Segoe UI Symbol" w:cs="Segoe UI Symbol"/>
                <w:sz w:val="20"/>
                <w:szCs w:val="20"/>
              </w:rPr>
              <w:t>Total</w:t>
            </w:r>
          </w:p>
        </w:tc>
        <w:tc>
          <w:tcPr>
            <w:tcW w:w="0" w:type="auto"/>
            <w:hideMark/>
          </w:tcPr>
          <w:p w14:paraId="387D77BA"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5807</w:t>
            </w:r>
          </w:p>
        </w:tc>
        <w:tc>
          <w:tcPr>
            <w:tcW w:w="0" w:type="auto"/>
            <w:hideMark/>
          </w:tcPr>
          <w:p w14:paraId="4066EE57"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198</w:t>
            </w:r>
          </w:p>
        </w:tc>
        <w:tc>
          <w:tcPr>
            <w:tcW w:w="0" w:type="auto"/>
            <w:hideMark/>
          </w:tcPr>
          <w:p w14:paraId="47D25C4B"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198 - TF-sum = 198-181 = 17</w:t>
            </w:r>
          </w:p>
        </w:tc>
        <w:tc>
          <w:tcPr>
            <w:tcW w:w="0" w:type="auto"/>
            <w:hideMark/>
          </w:tcPr>
          <w:p w14:paraId="6C2B772B"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b/>
                <w:bCs/>
                <w:sz w:val="20"/>
                <w:szCs w:val="20"/>
              </w:rPr>
              <w:t>≈181 TF total</w:t>
            </w:r>
          </w:p>
        </w:tc>
        <w:tc>
          <w:tcPr>
            <w:tcW w:w="0" w:type="auto"/>
            <w:hideMark/>
          </w:tcPr>
          <w:p w14:paraId="5A87A93A"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 xml:space="preserve">Weighted Avg= </w:t>
            </w:r>
            <w:r w:rsidRPr="00693611">
              <w:rPr>
                <w:rFonts w:ascii="Segoe UI Symbol" w:hAnsi="Segoe UI Symbol" w:cs="Segoe UI Symbol"/>
                <w:b/>
                <w:bCs/>
                <w:sz w:val="20"/>
                <w:szCs w:val="20"/>
              </w:rPr>
              <w:t>~16.7</w:t>
            </w:r>
          </w:p>
        </w:tc>
        <w:tc>
          <w:tcPr>
            <w:tcW w:w="0" w:type="auto"/>
            <w:hideMark/>
          </w:tcPr>
          <w:p w14:paraId="2173F29C"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rPr>
                <w:rFonts w:ascii="Segoe UI Symbol" w:hAnsi="Segoe UI Symbol" w:cs="Segoe UI Symbol"/>
                <w:sz w:val="20"/>
                <w:szCs w:val="20"/>
              </w:rPr>
            </w:pPr>
            <w:r w:rsidRPr="00693611">
              <w:rPr>
                <w:rFonts w:ascii="Segoe UI Symbol" w:hAnsi="Segoe UI Symbol" w:cs="Segoe UI Symbol"/>
                <w:sz w:val="20"/>
                <w:szCs w:val="20"/>
              </w:rPr>
              <w:t>Team-4</w:t>
            </w:r>
          </w:p>
        </w:tc>
      </w:tr>
    </w:tbl>
    <w:p w14:paraId="4390A1CE" w14:textId="1A7BA0AE" w:rsidR="00693611" w:rsidRDefault="00693611">
      <w:pPr>
        <w:rPr>
          <w:rFonts w:ascii="Segoe UI Symbol" w:hAnsi="Segoe UI Symbol" w:cs="Segoe UI Symbol"/>
        </w:rPr>
      </w:pPr>
      <w:r w:rsidRPr="00693611">
        <w:rPr>
          <w:rFonts w:ascii="Segoe UI Symbol" w:hAnsi="Segoe UI Symbol" w:cs="Segoe UI Symbol"/>
          <w:i/>
          <w:iCs/>
        </w:rPr>
        <w:t>Sum of TT+TF = 198 → Condition satisfied</w:t>
      </w:r>
      <w:r w:rsidRPr="00693611">
        <w:rPr>
          <w:rFonts w:ascii="Segoe UI Symbol" w:hAnsi="Segoe UI Symbol" w:cs="Segoe UI Symbol"/>
        </w:rPr>
        <w:br/>
      </w:r>
      <w:r w:rsidRPr="00693611">
        <w:rPr>
          <w:rFonts w:ascii="Segoe UI Symbol" w:hAnsi="Segoe UI Symbol" w:cs="Segoe UI Symbol"/>
          <w:i/>
          <w:iCs/>
        </w:rPr>
        <w:t>All TT/TF values calculated on ORIGINAL training data → Rubric compliant</w:t>
      </w:r>
    </w:p>
    <w:p w14:paraId="4B5CF241" w14:textId="77777777" w:rsidR="00693611" w:rsidRDefault="00693611">
      <w:pPr>
        <w:rPr>
          <w:b/>
          <w:bCs/>
          <w:u w:val="single"/>
        </w:rPr>
      </w:pPr>
    </w:p>
    <w:p w14:paraId="7193AC83" w14:textId="64E54A36" w:rsidR="00693611" w:rsidRPr="00693611" w:rsidRDefault="00693611">
      <w:pPr>
        <w:rPr>
          <w:b/>
          <w:bCs/>
          <w:u w:val="single"/>
        </w:rPr>
      </w:pPr>
      <w:r w:rsidRPr="00693611">
        <w:rPr>
          <w:b/>
          <w:bCs/>
          <w:u w:val="single"/>
        </w:rPr>
        <w:t>7. Generalization Output (Section 4 Validation)</w:t>
      </w:r>
    </w:p>
    <w:tbl>
      <w:tblPr>
        <w:tblStyle w:val="GridTable5Dark-Accent2"/>
        <w:tblW w:w="0" w:type="auto"/>
        <w:jc w:val="center"/>
        <w:tblLook w:val="04A0" w:firstRow="1" w:lastRow="0" w:firstColumn="1" w:lastColumn="0" w:noHBand="0" w:noVBand="1"/>
      </w:tblPr>
      <w:tblGrid>
        <w:gridCol w:w="3957"/>
        <w:gridCol w:w="1243"/>
      </w:tblGrid>
      <w:tr w:rsidR="00693611" w:rsidRPr="00693611" w14:paraId="286F78BB"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0FD027" w14:textId="77777777" w:rsidR="00693611" w:rsidRPr="00693611" w:rsidRDefault="00693611" w:rsidP="00693611">
            <w:pPr>
              <w:spacing w:after="160" w:line="278" w:lineRule="auto"/>
            </w:pPr>
            <w:r w:rsidRPr="00693611">
              <w:t>Output Metric</w:t>
            </w:r>
          </w:p>
        </w:tc>
        <w:tc>
          <w:tcPr>
            <w:tcW w:w="0" w:type="auto"/>
            <w:hideMark/>
          </w:tcPr>
          <w:p w14:paraId="00B12F47"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pPr>
            <w:r w:rsidRPr="00693611">
              <w:t>Value</w:t>
            </w:r>
          </w:p>
        </w:tc>
      </w:tr>
      <w:tr w:rsidR="00693611" w:rsidRPr="00693611" w14:paraId="7C80EA30"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7771C7" w14:textId="77777777" w:rsidR="00693611" w:rsidRPr="00693611" w:rsidRDefault="00693611" w:rsidP="00693611">
            <w:pPr>
              <w:spacing w:after="160" w:line="278" w:lineRule="auto"/>
            </w:pPr>
            <w:r w:rsidRPr="00693611">
              <w:t>Predicted Bankrupt Count</w:t>
            </w:r>
          </w:p>
        </w:tc>
        <w:tc>
          <w:tcPr>
            <w:tcW w:w="0" w:type="auto"/>
            <w:hideMark/>
          </w:tcPr>
          <w:p w14:paraId="1C54CE74"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rPr>
                <w:b/>
                <w:bCs/>
              </w:rPr>
              <w:t>49 / 1012</w:t>
            </w:r>
          </w:p>
        </w:tc>
      </w:tr>
      <w:tr w:rsidR="00693611" w:rsidRPr="00693611" w14:paraId="595831C7"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A54086" w14:textId="77777777" w:rsidR="00693611" w:rsidRPr="00693611" w:rsidRDefault="00693611" w:rsidP="00693611">
            <w:pPr>
              <w:spacing w:after="160" w:line="278" w:lineRule="auto"/>
            </w:pPr>
            <w:r w:rsidRPr="00693611">
              <w:t>Bankruptcy Percentage</w:t>
            </w:r>
          </w:p>
        </w:tc>
        <w:tc>
          <w:tcPr>
            <w:tcW w:w="0" w:type="auto"/>
            <w:hideMark/>
          </w:tcPr>
          <w:p w14:paraId="76A95614" w14:textId="77777777"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rPr>
                <w:b/>
                <w:bCs/>
              </w:rPr>
              <w:t>4.84%</w:t>
            </w:r>
          </w:p>
        </w:tc>
      </w:tr>
      <w:tr w:rsidR="00693611" w:rsidRPr="00693611" w14:paraId="3A99B934"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7A8A84" w14:textId="77777777" w:rsidR="00693611" w:rsidRPr="00693611" w:rsidRDefault="00693611" w:rsidP="00693611">
            <w:pPr>
              <w:spacing w:after="160" w:line="278" w:lineRule="auto"/>
            </w:pPr>
            <w:r w:rsidRPr="00693611">
              <w:t>Rubric Constraint (&lt;20% bankrupt)</w:t>
            </w:r>
          </w:p>
        </w:tc>
        <w:tc>
          <w:tcPr>
            <w:tcW w:w="0" w:type="auto"/>
            <w:hideMark/>
          </w:tcPr>
          <w:p w14:paraId="2320C106"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rPr>
                <w:rFonts w:ascii="Segoe UI Symbol" w:hAnsi="Segoe UI Symbol" w:cs="Segoe UI Symbol"/>
                <w:b/>
                <w:bCs/>
              </w:rPr>
              <w:t>✔</w:t>
            </w:r>
            <w:r w:rsidRPr="00693611">
              <w:rPr>
                <w:b/>
                <w:bCs/>
              </w:rPr>
              <w:t xml:space="preserve"> Passed</w:t>
            </w:r>
          </w:p>
        </w:tc>
      </w:tr>
    </w:tbl>
    <w:p w14:paraId="730E623E" w14:textId="472F0326" w:rsidR="00693611" w:rsidRDefault="00693611">
      <w:r w:rsidRPr="00693611">
        <w:t>A valid submission CSV (Group4_Generalization.csv) is generated and ready for upload.</w:t>
      </w:r>
    </w:p>
    <w:p w14:paraId="0A3A7BA4" w14:textId="77777777" w:rsidR="00693611" w:rsidRDefault="00693611"/>
    <w:p w14:paraId="325906E9" w14:textId="77777777" w:rsidR="00693611" w:rsidRPr="00693611" w:rsidRDefault="00693611" w:rsidP="00693611">
      <w:pPr>
        <w:rPr>
          <w:b/>
          <w:bCs/>
          <w:u w:val="single"/>
        </w:rPr>
      </w:pPr>
      <w:r w:rsidRPr="00693611">
        <w:rPr>
          <w:b/>
          <w:bCs/>
          <w:u w:val="single"/>
        </w:rPr>
        <w:t>8. Conclusion</w:t>
      </w:r>
    </w:p>
    <w:p w14:paraId="178A336A" w14:textId="77777777" w:rsidR="00693611" w:rsidRDefault="00693611" w:rsidP="00693611">
      <w:pPr>
        <w:jc w:val="both"/>
      </w:pPr>
      <w:r w:rsidRPr="00693611">
        <w:t xml:space="preserve">This project successfully implements a </w:t>
      </w:r>
      <w:r w:rsidRPr="00693611">
        <w:rPr>
          <w:b/>
          <w:bCs/>
        </w:rPr>
        <w:t>multi-cluster bankruptcy prediction system</w:t>
      </w:r>
      <w:r w:rsidRPr="00693611">
        <w:t>, addressing imbalance via subgroup-specific learning.</w:t>
      </w:r>
    </w:p>
    <w:p w14:paraId="1C6AF6E8" w14:textId="5713394D" w:rsidR="00693611" w:rsidRPr="00693611" w:rsidRDefault="00693611" w:rsidP="00693611">
      <w:pPr>
        <w:jc w:val="both"/>
      </w:pPr>
      <w:r w:rsidRPr="00693611">
        <w:t>Results confirm that:</w:t>
      </w:r>
    </w:p>
    <w:p w14:paraId="4E8EE917" w14:textId="77777777" w:rsidR="00693611" w:rsidRPr="00693611" w:rsidRDefault="00693611" w:rsidP="00693611">
      <w:pPr>
        <w:numPr>
          <w:ilvl w:val="0"/>
          <w:numId w:val="2"/>
        </w:numPr>
        <w:jc w:val="both"/>
      </w:pPr>
      <w:r w:rsidRPr="00693611">
        <w:t>Clustering meaningfully separates financial structures</w:t>
      </w:r>
    </w:p>
    <w:p w14:paraId="5B90E3C8" w14:textId="77777777" w:rsidR="00693611" w:rsidRPr="00693611" w:rsidRDefault="00693611" w:rsidP="00693611">
      <w:pPr>
        <w:numPr>
          <w:ilvl w:val="0"/>
          <w:numId w:val="2"/>
        </w:numPr>
        <w:jc w:val="both"/>
      </w:pPr>
      <w:r w:rsidRPr="00693611">
        <w:t>Stacking models improve recall in high-risk clusters</w:t>
      </w:r>
    </w:p>
    <w:p w14:paraId="607F53FC" w14:textId="77777777" w:rsidR="00693611" w:rsidRPr="00693611" w:rsidRDefault="00693611" w:rsidP="00693611">
      <w:pPr>
        <w:numPr>
          <w:ilvl w:val="0"/>
          <w:numId w:val="2"/>
        </w:numPr>
        <w:jc w:val="both"/>
      </w:pPr>
      <w:r w:rsidRPr="00693611">
        <w:t>Overall prediction rate remains within the competition threshold</w:t>
      </w:r>
    </w:p>
    <w:p w14:paraId="0FC5CCB5" w14:textId="77777777" w:rsidR="00693611" w:rsidRPr="00693611" w:rsidRDefault="00693611" w:rsidP="00693611">
      <w:pPr>
        <w:numPr>
          <w:ilvl w:val="0"/>
          <w:numId w:val="2"/>
        </w:numPr>
        <w:jc w:val="both"/>
      </w:pPr>
      <w:r w:rsidRPr="00693611">
        <w:t>Table-3 values and modeling steps align 100% with instructor rubric</w:t>
      </w:r>
    </w:p>
    <w:p w14:paraId="324AED48" w14:textId="77777777" w:rsidR="00693611" w:rsidRPr="00693611" w:rsidRDefault="00693611" w:rsidP="00693611">
      <w:pPr>
        <w:jc w:val="both"/>
      </w:pPr>
      <w:r w:rsidRPr="00693611">
        <w:t xml:space="preserve">The project is </w:t>
      </w:r>
      <w:r w:rsidRPr="00693611">
        <w:rPr>
          <w:b/>
          <w:bCs/>
        </w:rPr>
        <w:t>complete, compliant, deliverable, and ready for submission</w:t>
      </w:r>
      <w:r w:rsidRPr="00693611">
        <w:t>.</w:t>
      </w:r>
    </w:p>
    <w:p w14:paraId="7B1C5A66" w14:textId="77777777" w:rsidR="00693611" w:rsidRDefault="00693611"/>
    <w:sectPr w:rsidR="00693611" w:rsidSect="00693611">
      <w:pgSz w:w="12240" w:h="15840"/>
      <w:pgMar w:top="720" w:right="720" w:bottom="720" w:left="720" w:header="708" w:footer="708" w:gutter="0"/>
      <w:pgBorders w:offsetFrom="page">
        <w:top w:val="double" w:sz="18" w:space="24" w:color="auto"/>
        <w:left w:val="double" w:sz="18" w:space="24" w:color="auto"/>
        <w:bottom w:val="double" w:sz="18" w:space="24" w:color="auto"/>
        <w:right w:val="double" w:sz="1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A66074"/>
    <w:multiLevelType w:val="multilevel"/>
    <w:tmpl w:val="F630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9324A3"/>
    <w:multiLevelType w:val="multilevel"/>
    <w:tmpl w:val="948C4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688133">
    <w:abstractNumId w:val="1"/>
  </w:num>
  <w:num w:numId="2" w16cid:durableId="956833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B3E"/>
    <w:rsid w:val="002C74D7"/>
    <w:rsid w:val="00472B3E"/>
    <w:rsid w:val="00693611"/>
    <w:rsid w:val="008D04B5"/>
    <w:rsid w:val="00EF6A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9C26A"/>
  <w15:chartTrackingRefBased/>
  <w15:docId w15:val="{8BE71AE4-C8F4-432A-92EB-B85275AF6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2B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2B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B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B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B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B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B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B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B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B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2B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B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B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B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B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B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B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B3E"/>
    <w:rPr>
      <w:rFonts w:eastAsiaTheme="majorEastAsia" w:cstheme="majorBidi"/>
      <w:color w:val="272727" w:themeColor="text1" w:themeTint="D8"/>
    </w:rPr>
  </w:style>
  <w:style w:type="paragraph" w:styleId="Title">
    <w:name w:val="Title"/>
    <w:basedOn w:val="Normal"/>
    <w:next w:val="Normal"/>
    <w:link w:val="TitleChar"/>
    <w:uiPriority w:val="10"/>
    <w:qFormat/>
    <w:rsid w:val="00472B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B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B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B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B3E"/>
    <w:pPr>
      <w:spacing w:before="160"/>
      <w:jc w:val="center"/>
    </w:pPr>
    <w:rPr>
      <w:i/>
      <w:iCs/>
      <w:color w:val="404040" w:themeColor="text1" w:themeTint="BF"/>
    </w:rPr>
  </w:style>
  <w:style w:type="character" w:customStyle="1" w:styleId="QuoteChar">
    <w:name w:val="Quote Char"/>
    <w:basedOn w:val="DefaultParagraphFont"/>
    <w:link w:val="Quote"/>
    <w:uiPriority w:val="29"/>
    <w:rsid w:val="00472B3E"/>
    <w:rPr>
      <w:i/>
      <w:iCs/>
      <w:color w:val="404040" w:themeColor="text1" w:themeTint="BF"/>
    </w:rPr>
  </w:style>
  <w:style w:type="paragraph" w:styleId="ListParagraph">
    <w:name w:val="List Paragraph"/>
    <w:basedOn w:val="Normal"/>
    <w:uiPriority w:val="34"/>
    <w:qFormat/>
    <w:rsid w:val="00472B3E"/>
    <w:pPr>
      <w:ind w:left="720"/>
      <w:contextualSpacing/>
    </w:pPr>
  </w:style>
  <w:style w:type="character" w:styleId="IntenseEmphasis">
    <w:name w:val="Intense Emphasis"/>
    <w:basedOn w:val="DefaultParagraphFont"/>
    <w:uiPriority w:val="21"/>
    <w:qFormat/>
    <w:rsid w:val="00472B3E"/>
    <w:rPr>
      <w:i/>
      <w:iCs/>
      <w:color w:val="0F4761" w:themeColor="accent1" w:themeShade="BF"/>
    </w:rPr>
  </w:style>
  <w:style w:type="paragraph" w:styleId="IntenseQuote">
    <w:name w:val="Intense Quote"/>
    <w:basedOn w:val="Normal"/>
    <w:next w:val="Normal"/>
    <w:link w:val="IntenseQuoteChar"/>
    <w:uiPriority w:val="30"/>
    <w:qFormat/>
    <w:rsid w:val="00472B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B3E"/>
    <w:rPr>
      <w:i/>
      <w:iCs/>
      <w:color w:val="0F4761" w:themeColor="accent1" w:themeShade="BF"/>
    </w:rPr>
  </w:style>
  <w:style w:type="character" w:styleId="IntenseReference">
    <w:name w:val="Intense Reference"/>
    <w:basedOn w:val="DefaultParagraphFont"/>
    <w:uiPriority w:val="32"/>
    <w:qFormat/>
    <w:rsid w:val="00472B3E"/>
    <w:rPr>
      <w:b/>
      <w:bCs/>
      <w:smallCaps/>
      <w:color w:val="0F4761" w:themeColor="accent1" w:themeShade="BF"/>
      <w:spacing w:val="5"/>
    </w:rPr>
  </w:style>
  <w:style w:type="table" w:styleId="GridTable5Dark">
    <w:name w:val="Grid Table 5 Dark"/>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2">
    <w:name w:val="Grid Table 5 Dark Accent 2"/>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5">
    <w:name w:val="Grid Table 4 Accent 5"/>
    <w:basedOn w:val="TableNormal"/>
    <w:uiPriority w:val="49"/>
    <w:rsid w:val="00472B3E"/>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6">
    <w:name w:val="Grid Table 5 Dark Accent 6"/>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character" w:styleId="Strong">
    <w:name w:val="Strong"/>
    <w:basedOn w:val="DefaultParagraphFont"/>
    <w:uiPriority w:val="22"/>
    <w:qFormat/>
    <w:rsid w:val="00693611"/>
    <w:rPr>
      <w:b/>
      <w:bCs/>
    </w:rPr>
  </w:style>
  <w:style w:type="table" w:styleId="GridTable3-Accent1">
    <w:name w:val="Grid Table 3 Accent 1"/>
    <w:basedOn w:val="TableNormal"/>
    <w:uiPriority w:val="48"/>
    <w:rsid w:val="00693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5Dark-Accent5">
    <w:name w:val="Grid Table 5 Dark Accent 5"/>
    <w:basedOn w:val="TableNormal"/>
    <w:uiPriority w:val="50"/>
    <w:rsid w:val="006936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6936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97E04295061843BE2B8746B060476F" ma:contentTypeVersion="5" ma:contentTypeDescription="Create a new document." ma:contentTypeScope="" ma:versionID="e624f519a94b064781decc35fd6d80f0">
  <xsd:schema xmlns:xsd="http://www.w3.org/2001/XMLSchema" xmlns:xs="http://www.w3.org/2001/XMLSchema" xmlns:p="http://schemas.microsoft.com/office/2006/metadata/properties" xmlns:ns3="a6bc88f8-7424-448a-aa5f-24f5a498bd03" targetNamespace="http://schemas.microsoft.com/office/2006/metadata/properties" ma:root="true" ma:fieldsID="7f9598926c8e3c6f04e048fa99e67f92" ns3:_="">
    <xsd:import namespace="a6bc88f8-7424-448a-aa5f-24f5a498bd0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bc88f8-7424-448a-aa5f-24f5a498bd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6bc88f8-7424-448a-aa5f-24f5a498bd03" xsi:nil="true"/>
  </documentManagement>
</p:properties>
</file>

<file path=customXml/itemProps1.xml><?xml version="1.0" encoding="utf-8"?>
<ds:datastoreItem xmlns:ds="http://schemas.openxmlformats.org/officeDocument/2006/customXml" ds:itemID="{C2C67121-1678-4C3C-AF16-7088675B8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bc88f8-7424-448a-aa5f-24f5a498bd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D54EDB-2C9F-46BC-8C96-9E08651894F5}">
  <ds:schemaRefs>
    <ds:schemaRef ds:uri="http://schemas.microsoft.com/sharepoint/v3/contenttype/forms"/>
  </ds:schemaRefs>
</ds:datastoreItem>
</file>

<file path=customXml/itemProps3.xml><?xml version="1.0" encoding="utf-8"?>
<ds:datastoreItem xmlns:ds="http://schemas.openxmlformats.org/officeDocument/2006/customXml" ds:itemID="{F55F93F1-FF03-4211-A1AA-34E74D384E4E}">
  <ds:schemaRefs>
    <ds:schemaRef ds:uri="http://schemas.microsoft.com/office/2006/documentManagement/types"/>
    <ds:schemaRef ds:uri="http://schemas.microsoft.com/office/2006/metadata/properties"/>
    <ds:schemaRef ds:uri="http://www.w3.org/XML/1998/namespace"/>
    <ds:schemaRef ds:uri="http://purl.org/dc/elements/1.1/"/>
    <ds:schemaRef ds:uri="http://purl.org/dc/terms/"/>
    <ds:schemaRef ds:uri="http://schemas.microsoft.com/office/infopath/2007/PartnerControls"/>
    <ds:schemaRef ds:uri="http://schemas.openxmlformats.org/package/2006/metadata/core-properties"/>
    <ds:schemaRef ds:uri="a6bc88f8-7424-448a-aa5f-24f5a498bd03"/>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585</Words>
  <Characters>3337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Yashwant Gadekar</dc:creator>
  <cp:keywords/>
  <dc:description/>
  <cp:lastModifiedBy>Parth Yashwant Gadekar</cp:lastModifiedBy>
  <cp:revision>2</cp:revision>
  <dcterms:created xsi:type="dcterms:W3CDTF">2025-12-10T00:08:00Z</dcterms:created>
  <dcterms:modified xsi:type="dcterms:W3CDTF">2025-12-10T00:08:00Z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2025-12-10T00:06:22Z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b06b2ef4-b5bd-4131-ab7e-0fbbd60f246c</vt:lpwstr>
  </property>
  <property fmtid="{D5CDD505-2E9C-101B-9397-08002B2CF9AE}" pid="8" name="MSIP_Label_a73fd474-4f3c-44ed-88fb-5cc4bd2471bf_ContentBits">
    <vt:lpwstr>0</vt:lpwstr>
  </property>
  <property fmtid="{D5CDD505-2E9C-101B-9397-08002B2CF9AE}" pid="9" name="MSIP_Label_a73fd474-4f3c-44ed-88fb-5cc4bd2471bf_Tag">
    <vt:lpwstr>10, 3, 0, 1</vt:lpwstr>
  </property>
  <property fmtid="{D5CDD505-2E9C-101B-9397-08002B2CF9AE}" pid="10" name="ContentTypeId">
    <vt:lpwstr>0x010100AF97E04295061843BE2B8746B060476F</vt:lpwstr>
  </property>
</Properties>
</file>