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rPr>
        <w:t xml:space="preserve">Layer 2: Preprocessing</w:t>
      </w:r>
    </w:p>
    <w:p>
      <w:pPr>
        <w:spacing w:after="100"/>
      </w:pPr>
      <w:r>
        <w:rPr>
          <w:rFonts w:ascii="Arial" w:cs="Arial" w:eastAsia="Arial" w:hAnsi="Arial"/>
          <w:b w:val="false"/>
          <w:bCs w:val="false"/>
          <w:i w:val="false"/>
          <w:iCs w:val="false"/>
          <w:color w:val="555555"/>
          <w:sz w:val="22"/>
          <w:szCs w:val="22"/>
        </w:rPr>
        <w:t xml:space="preserve">Computer Vision Pipeline — Architecture Documentation</w:t>
      </w:r>
    </w:p>
    <w:p>
      <w:pPr>
        <w:spacing w:after="80"/>
      </w:pPr>
      <w:r>
        <w:t xml:space="preserve"/>
      </w:r>
    </w:p>
    <w:p>
      <w:pPr>
        <w:pBdr>
          <w:bottom w:val="single" w:color="CCCCCC" w:sz="4" w:space="1"/>
        </w:pBdr>
      </w:pPr>
      <w:r>
        <w:t xml:space="preserve"/>
      </w:r>
    </w:p>
    <w:p>
      <w:pPr>
        <w:spacing w:after="80"/>
      </w:pPr>
      <w:r>
        <w:t xml:space="preserve"/>
      </w:r>
    </w:p>
    <w:p>
      <w:pPr>
        <w:pStyle w:val="Heading2"/>
      </w:pPr>
      <w:r>
        <w:rPr>
          <w:rFonts w:ascii="Arial" w:cs="Arial" w:eastAsia="Arial" w:hAnsi="Arial"/>
        </w:rPr>
        <w:t xml:space="preserve">1. What Is This Layer</w:t>
      </w:r>
    </w:p>
    <w:p>
      <w:pPr>
        <w:spacing w:after="100"/>
      </w:pPr>
      <w:r>
        <w:rPr>
          <w:rFonts w:ascii="Arial" w:cs="Arial" w:eastAsia="Arial" w:hAnsi="Arial"/>
          <w:b w:val="false"/>
          <w:bCs w:val="false"/>
          <w:i w:val="false"/>
          <w:iCs w:val="false"/>
          <w:color w:val="1A1A1A"/>
          <w:sz w:val="22"/>
          <w:szCs w:val="22"/>
        </w:rPr>
        <w:t xml:space="preserve">The Preprocessing Layer sits between the Ingestion Layer (Layer 1) and the Detection Layer (Layer 3). Its job is not to clean data in the data-engineering sense. The correct framing is: </w:t>
      </w:r>
      <w:r>
        <w:rPr>
          <w:rFonts w:ascii="Arial" w:cs="Arial" w:eastAsia="Arial" w:hAnsi="Arial"/>
          <w:b/>
          <w:bCs/>
          <w:i w:val="false"/>
          <w:iCs w:val="false"/>
          <w:color w:val="1A1A1A"/>
          <w:sz w:val="22"/>
          <w:szCs w:val="22"/>
        </w:rPr>
        <w:t xml:space="preserve">it transforms a raw decoded frame into a tensor that a specific downstream model can legally ingest.</w:t>
      </w:r>
    </w:p>
    <w:p>
      <w:pPr>
        <w:spacing w:after="80"/>
      </w:pPr>
      <w:r>
        <w:t xml:space="preserve"/>
      </w:r>
    </w:p>
    <w:p>
      <w:pPr>
        <w:spacing w:after="100"/>
      </w:pPr>
      <w:r>
        <w:rPr>
          <w:rFonts w:ascii="Arial" w:cs="Arial" w:eastAsia="Arial" w:hAnsi="Arial"/>
          <w:b w:val="false"/>
          <w:bCs w:val="false"/>
          <w:i w:val="false"/>
          <w:iCs w:val="false"/>
          <w:color w:val="1A1A1A"/>
          <w:sz w:val="22"/>
          <w:szCs w:val="22"/>
        </w:rPr>
        <w:t xml:space="preserve">Every downstream model — whether it is YOLOv8, MediaPipe, InsightFace, DeepFace, or a custom PyTorch network — has a hard contract on the shape, dtype, color order, value range, and array format it accepts. The preprocessing layer fulfills that contract before any model is called.</w:t>
      </w:r>
    </w:p>
    <w:p>
      <w:pPr>
        <w:spacing w:after="80"/>
      </w:pPr>
      <w:r>
        <w:t xml:space="preserve"/>
      </w:r>
    </w:p>
    <w:p>
      <w:pPr>
        <w:pStyle w:val="Heading2"/>
      </w:pPr>
      <w:r>
        <w:rPr>
          <w:rFonts w:ascii="Arial" w:cs="Arial" w:eastAsia="Arial" w:hAnsi="Arial"/>
        </w:rPr>
        <w:t xml:space="preserve">2. Exact Input</w:t>
      </w:r>
    </w:p>
    <w:p>
      <w:pPr>
        <w:spacing w:after="100"/>
      </w:pPr>
      <w:r>
        <w:rPr>
          <w:rFonts w:ascii="Arial" w:cs="Arial" w:eastAsia="Arial" w:hAnsi="Arial"/>
          <w:b/>
          <w:bCs/>
          <w:i w:val="false"/>
          <w:iCs w:val="false"/>
          <w:color w:val="1A1A1A"/>
          <w:sz w:val="22"/>
          <w:szCs w:val="22"/>
        </w:rPr>
        <w:t xml:space="preserve">Source: </w:t>
      </w:r>
      <w:r>
        <w:rPr>
          <w:rFonts w:ascii="Arial" w:cs="Arial" w:eastAsia="Arial" w:hAnsi="Arial"/>
          <w:b w:val="false"/>
          <w:bCs w:val="false"/>
          <w:i w:val="false"/>
          <w:iCs w:val="false"/>
          <w:color w:val="1A1A1A"/>
          <w:sz w:val="22"/>
          <w:szCs w:val="22"/>
        </w:rPr>
        <w:t xml:space="preserve">Output of Layer 1 (Ingestion)</w:t>
      </w:r>
    </w:p>
    <w:p>
      <w:pPr>
        <w:spacing w:after="80"/>
      </w:pPr>
      <w:r>
        <w:t xml:space="preserve"/>
      </w:r>
    </w:p>
    <w:p>
      <w:pPr>
        <w:spacing w:after="100"/>
      </w:pPr>
      <w:r>
        <w:rPr>
          <w:rFonts w:ascii="Arial" w:cs="Arial" w:eastAsia="Arial" w:hAnsi="Arial"/>
          <w:b w:val="false"/>
          <w:bCs w:val="false"/>
          <w:i w:val="false"/>
          <w:iCs w:val="false"/>
          <w:color w:val="1A1A1A"/>
          <w:sz w:val="22"/>
          <w:szCs w:val="22"/>
        </w:rPr>
        <w:t xml:space="preserve">A NumPy array with the following properties:</w:t>
      </w:r>
    </w:p>
    <w:p>
      <w:pPr>
        <w:pStyle w:val="ListParagraph"/>
        <w:numPr>
          <w:ilvl w:val="0"/>
          <w:numId w:val="2"/>
        </w:numPr>
        <w:spacing w:after="80"/>
      </w:pPr>
      <w:r>
        <w:rPr>
          <w:rFonts w:ascii="Arial" w:cs="Arial" w:eastAsia="Arial" w:hAnsi="Arial"/>
          <w:color w:val="1A1A1A"/>
          <w:sz w:val="21"/>
          <w:szCs w:val="21"/>
        </w:rPr>
        <w:t xml:space="preserve">Shape: (H, W, 3)  —  height × width × 3 color channels</w:t>
      </w:r>
    </w:p>
    <w:p>
      <w:pPr>
        <w:pStyle w:val="ListParagraph"/>
        <w:numPr>
          <w:ilvl w:val="0"/>
          <w:numId w:val="2"/>
        </w:numPr>
        <w:spacing w:after="80"/>
      </w:pPr>
      <w:r>
        <w:rPr>
          <w:rFonts w:ascii="Arial" w:cs="Arial" w:eastAsia="Arial" w:hAnsi="Arial"/>
          <w:color w:val="1A1A1A"/>
          <w:sz w:val="21"/>
          <w:szCs w:val="21"/>
        </w:rPr>
        <w:t xml:space="preserve">dtype: uint8</w:t>
      </w:r>
    </w:p>
    <w:p>
      <w:pPr>
        <w:pStyle w:val="ListParagraph"/>
        <w:numPr>
          <w:ilvl w:val="0"/>
          <w:numId w:val="2"/>
        </w:numPr>
        <w:spacing w:after="80"/>
      </w:pPr>
      <w:r>
        <w:rPr>
          <w:rFonts w:ascii="Arial" w:cs="Arial" w:eastAsia="Arial" w:hAnsi="Arial"/>
          <w:color w:val="1A1A1A"/>
          <w:sz w:val="21"/>
          <w:szCs w:val="21"/>
        </w:rPr>
        <w:t xml:space="preserve">Value range: 0 to 255</w:t>
      </w:r>
    </w:p>
    <w:p>
      <w:pPr>
        <w:pStyle w:val="ListParagraph"/>
        <w:numPr>
          <w:ilvl w:val="0"/>
          <w:numId w:val="2"/>
        </w:numPr>
        <w:spacing w:after="80"/>
      </w:pPr>
      <w:r>
        <w:rPr>
          <w:rFonts w:ascii="Arial" w:cs="Arial" w:eastAsia="Arial" w:hAnsi="Arial"/>
          <w:color w:val="1A1A1A"/>
          <w:sz w:val="21"/>
          <w:szCs w:val="21"/>
        </w:rPr>
        <w:t xml:space="preserve">Color order: BGR  —  OpenCV reads all frames in Blue-Green-Red order by default</w:t>
      </w:r>
    </w:p>
    <w:p>
      <w:pPr>
        <w:pStyle w:val="ListParagraph"/>
        <w:numPr>
          <w:ilvl w:val="0"/>
          <w:numId w:val="2"/>
        </w:numPr>
        <w:spacing w:after="80"/>
      </w:pPr>
      <w:r>
        <w:rPr>
          <w:rFonts w:ascii="Arial" w:cs="Arial" w:eastAsia="Arial" w:hAnsi="Arial"/>
          <w:color w:val="1A1A1A"/>
          <w:sz w:val="21"/>
          <w:szCs w:val="21"/>
        </w:rPr>
        <w:t xml:space="preserve">Dimensions H and W: variable — whatever the source camera or video file uses (e.g. 1920×1080, 1280×720, 640×480)</w:t>
      </w:r>
    </w:p>
    <w:p>
      <w:pPr>
        <w:spacing w:after="80"/>
      </w:pPr>
      <w:r>
        <w:t xml:space="preserve"/>
      </w:r>
    </w:p>
    <w:p>
      <w:pPr>
        <w:spacing w:after="100"/>
      </w:pPr>
      <w:r>
        <w:rPr>
          <w:rFonts w:ascii="Arial" w:cs="Arial" w:eastAsia="Arial" w:hAnsi="Arial"/>
          <w:b/>
          <w:bCs/>
          <w:color w:val="C55A11"/>
          <w:sz w:val="21"/>
          <w:szCs w:val="21"/>
        </w:rPr>
        <w:t xml:space="preserve">Note: </w:t>
      </w:r>
      <w:r>
        <w:rPr>
          <w:rFonts w:ascii="Arial" w:cs="Arial" w:eastAsia="Arial" w:hAnsi="Arial"/>
          <w:color w:val="C55A11"/>
          <w:sz w:val="21"/>
          <w:szCs w:val="21"/>
        </w:rPr>
        <w:t xml:space="preserve">The frame has no concept of where faces are. It is the full scene exactly as the camera captured it. No cropping, no detection, no face awareness at this stage.</w:t>
      </w:r>
    </w:p>
    <w:p>
      <w:pPr>
        <w:spacing w:after="80"/>
      </w:pPr>
      <w:r>
        <w:t xml:space="preserve"/>
      </w:r>
    </w:p>
    <w:p>
      <w:pPr>
        <w:pStyle w:val="Heading2"/>
      </w:pPr>
      <w:r>
        <w:rPr>
          <w:rFonts w:ascii="Arial" w:cs="Arial" w:eastAsia="Arial" w:hAnsi="Arial"/>
        </w:rPr>
        <w:t xml:space="preserve">3. Objectives of This Layer</w:t>
      </w:r>
    </w:p>
    <w:p>
      <w:pPr>
        <w:spacing w:after="100"/>
      </w:pPr>
      <w:r>
        <w:rPr>
          <w:rFonts w:ascii="Arial" w:cs="Arial" w:eastAsia="Arial" w:hAnsi="Arial"/>
          <w:b w:val="false"/>
          <w:bCs w:val="false"/>
          <w:i w:val="false"/>
          <w:iCs w:val="false"/>
          <w:color w:val="1A1A1A"/>
          <w:sz w:val="22"/>
          <w:szCs w:val="22"/>
        </w:rPr>
        <w:t xml:space="preserve">The layer has five mandatory objectives and two conditional ones.</w:t>
      </w:r>
    </w:p>
    <w:p>
      <w:pPr>
        <w:spacing w:after="80"/>
      </w:pPr>
      <w:r>
        <w:t xml:space="preserve"/>
      </w:r>
    </w:p>
    <w:p>
      <w:pPr>
        <w:pStyle w:val="Heading3"/>
      </w:pPr>
      <w:r>
        <w:rPr>
          <w:rFonts w:ascii="Arial" w:cs="Arial" w:eastAsia="Arial" w:hAnsi="Arial"/>
        </w:rPr>
        <w:t xml:space="preserve">3.1  BGR → RGB Conversion  (mandatory)</w:t>
      </w:r>
    </w:p>
    <w:p>
      <w:pPr>
        <w:spacing w:after="100"/>
      </w:pPr>
      <w:r>
        <w:rPr>
          <w:rFonts w:ascii="Arial" w:cs="Arial" w:eastAsia="Arial" w:hAnsi="Arial"/>
          <w:b w:val="false"/>
          <w:bCs w:val="false"/>
          <w:i w:val="false"/>
          <w:iCs w:val="false"/>
          <w:color w:val="1A1A1A"/>
          <w:sz w:val="22"/>
          <w:szCs w:val="22"/>
        </w:rPr>
        <w:t xml:space="preserve">OpenCV decodes all frames in BGR channel order for historical reasons — it was designed in the early 1990s when certain hardware vendors stored pixels in that order. Nearly every modern deep learning model (PyTorch, TensorFlow, MediaPipe, YOLOv8) was trained on RGB data. Feeding a BGR frame into an RGB-expecting model silently swaps red and blue channels, which measurably degrades detection and recognition accuracy because skin tones, lips, and eye colors shift.</w:t>
      </w:r>
    </w:p>
    <w:p>
      <w:pPr>
        <w:spacing w:after="80"/>
      </w:pPr>
      <w:r>
        <w:t xml:space="preserve"/>
      </w:r>
    </w:p>
    <w:p>
      <w:pPr>
        <w:spacing w:after="100"/>
      </w:pPr>
      <w:r>
        <w:rPr>
          <w:rFonts w:ascii="Arial" w:cs="Arial" w:eastAsia="Arial" w:hAnsi="Arial"/>
          <w:b/>
          <w:bCs/>
          <w:i w:val="false"/>
          <w:iCs w:val="false"/>
          <w:color w:val="1A1A1A"/>
          <w:sz w:val="22"/>
          <w:szCs w:val="22"/>
        </w:rPr>
        <w:t xml:space="preserve">Done with: </w:t>
      </w:r>
      <w:r>
        <w:rPr>
          <w:rFonts w:ascii="Arial" w:cs="Arial" w:eastAsia="Arial" w:hAnsi="Arial"/>
          <w:b w:val="false"/>
          <w:bCs w:val="false"/>
          <w:i w:val="false"/>
          <w:iCs w:val="false"/>
          <w:color w:val="1A1A1A"/>
          <w:sz w:val="22"/>
          <w:szCs w:val="22"/>
        </w:rPr>
        <w:t xml:space="preserve">cv2.cvtColor(frame, cv2.COLOR_BGR2RGB)</w:t>
      </w:r>
    </w:p>
    <w:p>
      <w:pPr>
        <w:spacing w:after="80"/>
      </w:pPr>
      <w:r>
        <w:t xml:space="preserve"/>
      </w:r>
    </w:p>
    <w:p>
      <w:pPr>
        <w:spacing w:after="100"/>
      </w:pPr>
      <w:r>
        <w:rPr>
          <w:rFonts w:ascii="Arial" w:cs="Arial" w:eastAsia="Arial" w:hAnsi="Arial"/>
          <w:b/>
          <w:bCs/>
          <w:color w:val="C55A11"/>
          <w:sz w:val="21"/>
          <w:szCs w:val="21"/>
        </w:rPr>
        <w:t xml:space="preserve">Note: </w:t>
      </w:r>
      <w:r>
        <w:rPr>
          <w:rFonts w:ascii="Arial" w:cs="Arial" w:eastAsia="Arial" w:hAnsi="Arial"/>
          <w:color w:val="C55A11"/>
          <w:sz w:val="21"/>
          <w:szCs w:val="21"/>
        </w:rPr>
        <w:t xml:space="preserve">Critical exception: InsightFace expects BGR, not RGB. It is the one major model in this pipeline that was built around OpenCV conventions. Do NOT convert to RGB before passing to InsightFace. This is a well-known source of confusion in the community and is confirmed by InsightFace's own example code using cv2.imread() directly. See Table 2 for the full per-model breakdown.</w:t>
      </w:r>
    </w:p>
    <w:p>
      <w:pPr>
        <w:spacing w:after="80"/>
      </w:pPr>
      <w:r>
        <w:t xml:space="preserve"/>
      </w:r>
    </w:p>
    <w:p>
      <w:pPr>
        <w:pStyle w:val="Heading3"/>
      </w:pPr>
      <w:r>
        <w:rPr>
          <w:rFonts w:ascii="Arial" w:cs="Arial" w:eastAsia="Arial" w:hAnsi="Arial"/>
        </w:rPr>
        <w:t xml:space="preserve">3.2  Resize  (mandatory)</w:t>
      </w:r>
    </w:p>
    <w:p>
      <w:pPr>
        <w:spacing w:after="100"/>
      </w:pPr>
      <w:r>
        <w:rPr>
          <w:rFonts w:ascii="Arial" w:cs="Arial" w:eastAsia="Arial" w:hAnsi="Arial"/>
          <w:b w:val="false"/>
          <w:bCs w:val="false"/>
          <w:i w:val="false"/>
          <w:iCs w:val="false"/>
          <w:color w:val="1A1A1A"/>
          <w:sz w:val="22"/>
          <w:szCs w:val="22"/>
        </w:rPr>
        <w:t xml:space="preserve">Every detection model has a fixed input resolution baked into its architecture weights. YOLOv8 defaults to 640×640. If you feed a 1080p frame directly, the model either raises a shape error or silently produces incorrect predictions. You resize to the model's expected input size.</w:t>
      </w:r>
    </w:p>
    <w:p>
      <w:pPr>
        <w:spacing w:after="80"/>
      </w:pPr>
      <w:r>
        <w:t xml:space="preserve"/>
      </w:r>
    </w:p>
    <w:p>
      <w:pPr>
        <w:spacing w:after="100"/>
      </w:pPr>
      <w:r>
        <w:rPr>
          <w:rFonts w:ascii="Arial" w:cs="Arial" w:eastAsia="Arial" w:hAnsi="Arial"/>
          <w:b w:val="false"/>
          <w:bCs w:val="false"/>
          <w:i w:val="false"/>
          <w:iCs w:val="false"/>
          <w:color w:val="1A1A1A"/>
          <w:sz w:val="22"/>
          <w:szCs w:val="22"/>
        </w:rPr>
        <w:t xml:space="preserve">Two interpolation modes matter:</w:t>
      </w:r>
    </w:p>
    <w:p>
      <w:pPr>
        <w:pStyle w:val="ListParagraph"/>
        <w:numPr>
          <w:ilvl w:val="0"/>
          <w:numId w:val="2"/>
        </w:numPr>
        <w:spacing w:after="80"/>
      </w:pPr>
      <w:r>
        <w:rPr>
          <w:rFonts w:ascii="Arial" w:cs="Arial" w:eastAsia="Arial" w:hAnsi="Arial"/>
          <w:color w:val="1A1A1A"/>
          <w:sz w:val="21"/>
          <w:szCs w:val="21"/>
        </w:rPr>
        <w:t xml:space="preserve">INTER_LINEAR — bilinear interpolation, fast, good quality for upscaling and moderate downscaling</w:t>
      </w:r>
    </w:p>
    <w:p>
      <w:pPr>
        <w:pStyle w:val="ListParagraph"/>
        <w:numPr>
          <w:ilvl w:val="0"/>
          <w:numId w:val="2"/>
        </w:numPr>
        <w:spacing w:after="80"/>
      </w:pPr>
      <w:r>
        <w:rPr>
          <w:rFonts w:ascii="Arial" w:cs="Arial" w:eastAsia="Arial" w:hAnsi="Arial"/>
          <w:color w:val="1A1A1A"/>
          <w:sz w:val="21"/>
          <w:szCs w:val="21"/>
        </w:rPr>
        <w:t xml:space="preserve">INTER_AREA — better for significant downscaling (e.g. 1080p → 640p), reduces aliasing artifacts that can hurt detection at low resolution</w:t>
      </w:r>
    </w:p>
    <w:p>
      <w:pPr>
        <w:spacing w:after="80"/>
      </w:pPr>
      <w:r>
        <w:t xml:space="preserve"/>
      </w:r>
    </w:p>
    <w:p>
      <w:pPr>
        <w:spacing w:after="100"/>
      </w:pPr>
      <w:r>
        <w:rPr>
          <w:rFonts w:ascii="Arial" w:cs="Arial" w:eastAsia="Arial" w:hAnsi="Arial"/>
          <w:b/>
          <w:bCs/>
          <w:i w:val="false"/>
          <w:iCs w:val="false"/>
          <w:color w:val="1A1A1A"/>
          <w:sz w:val="22"/>
          <w:szCs w:val="22"/>
        </w:rPr>
        <w:t xml:space="preserve">Important: </w:t>
      </w:r>
      <w:r>
        <w:rPr>
          <w:rFonts w:ascii="Arial" w:cs="Arial" w:eastAsia="Arial" w:hAnsi="Arial"/>
          <w:b w:val="false"/>
          <w:bCs w:val="false"/>
          <w:i w:val="false"/>
          <w:iCs w:val="false"/>
          <w:color w:val="1A1A1A"/>
          <w:sz w:val="22"/>
          <w:szCs w:val="22"/>
        </w:rPr>
        <w:t xml:space="preserve">after resizing, the bounding box coordinates that detection models return are in the resized frame's coordinate space, not the original frame's space. You must carry the original H and W as metadata to map coordinates back. This is addressed in the Frame Context Object section below.</w:t>
      </w:r>
    </w:p>
    <w:p>
      <w:pPr>
        <w:spacing w:after="80"/>
      </w:pPr>
      <w:r>
        <w:t xml:space="preserve"/>
      </w:r>
    </w:p>
    <w:p>
      <w:pPr>
        <w:pStyle w:val="Heading3"/>
      </w:pPr>
      <w:r>
        <w:rPr>
          <w:rFonts w:ascii="Arial" w:cs="Arial" w:eastAsia="Arial" w:hAnsi="Arial"/>
        </w:rPr>
        <w:t xml:space="preserve">3.3  dtype Conversion: uint8 → float32  (mandatory)</w:t>
      </w:r>
    </w:p>
    <w:p>
      <w:pPr>
        <w:spacing w:after="100"/>
      </w:pPr>
      <w:r>
        <w:rPr>
          <w:rFonts w:ascii="Arial" w:cs="Arial" w:eastAsia="Arial" w:hAnsi="Arial"/>
          <w:b w:val="false"/>
          <w:bCs w:val="false"/>
          <w:i w:val="false"/>
          <w:iCs w:val="false"/>
          <w:color w:val="1A1A1A"/>
          <w:sz w:val="22"/>
          <w:szCs w:val="22"/>
        </w:rPr>
        <w:t xml:space="preserve">The raw NumPy array from ingestion is uint8. Neural networks require float32 inputs — you cannot perform meaningful floating-point math on integers. This step must happen </w:t>
      </w:r>
      <w:r>
        <w:rPr>
          <w:rFonts w:ascii="Arial" w:cs="Arial" w:eastAsia="Arial" w:hAnsi="Arial"/>
          <w:b/>
          <w:bCs/>
          <w:i w:val="false"/>
          <w:iCs w:val="false"/>
          <w:color w:val="1A1A1A"/>
          <w:sz w:val="22"/>
          <w:szCs w:val="22"/>
        </w:rPr>
        <w:t xml:space="preserve">before</w:t>
      </w:r>
      <w:r>
        <w:rPr>
          <w:rFonts w:ascii="Arial" w:cs="Arial" w:eastAsia="Arial" w:hAnsi="Arial"/>
          <w:b w:val="false"/>
          <w:bCs w:val="false"/>
          <w:i w:val="false"/>
          <w:iCs w:val="false"/>
          <w:color w:val="1A1A1A"/>
          <w:sz w:val="22"/>
          <w:szCs w:val="22"/>
        </w:rPr>
        <w:t xml:space="preserve"> normalization, not after.</w:t>
      </w:r>
    </w:p>
    <w:p>
      <w:pPr>
        <w:spacing w:after="80"/>
      </w:pPr>
      <w:r>
        <w:t xml:space="preserve"/>
      </w:r>
    </w:p>
    <w:p>
      <w:pPr>
        <w:spacing w:after="100"/>
      </w:pPr>
      <w:r>
        <w:rPr>
          <w:rFonts w:ascii="Arial" w:cs="Arial" w:eastAsia="Arial" w:hAnsi="Arial"/>
          <w:b/>
          <w:bCs/>
          <w:i w:val="false"/>
          <w:iCs w:val="false"/>
          <w:color w:val="1A1A1A"/>
          <w:sz w:val="22"/>
          <w:szCs w:val="22"/>
        </w:rPr>
        <w:t xml:space="preserve">Done with: </w:t>
      </w:r>
      <w:r>
        <w:rPr>
          <w:rFonts w:ascii="Arial" w:cs="Arial" w:eastAsia="Arial" w:hAnsi="Arial"/>
          <w:b w:val="false"/>
          <w:bCs w:val="false"/>
          <w:i w:val="false"/>
          <w:iCs w:val="false"/>
          <w:color w:val="1A1A1A"/>
          <w:sz w:val="22"/>
          <w:szCs w:val="22"/>
        </w:rPr>
        <w:t xml:space="preserve">frame.astype(np.float32)</w:t>
      </w:r>
    </w:p>
    <w:p>
      <w:pPr>
        <w:spacing w:after="80"/>
      </w:pPr>
      <w:r>
        <w:t xml:space="preserve"/>
      </w:r>
    </w:p>
    <w:p>
      <w:pPr>
        <w:spacing w:after="100"/>
      </w:pPr>
      <w:r>
        <w:rPr>
          <w:rFonts w:ascii="Arial" w:cs="Arial" w:eastAsia="Arial" w:hAnsi="Arial"/>
          <w:b w:val="false"/>
          <w:bCs w:val="false"/>
          <w:i w:val="false"/>
          <w:iCs w:val="false"/>
          <w:color w:val="1A1A1A"/>
          <w:sz w:val="22"/>
          <w:szCs w:val="22"/>
        </w:rPr>
        <w:t xml:space="preserve">This is a step commonly missing from beginner implementations. Skipping it means the normalization division operates on uint8 values and produces wrong results depending on NumPy's dtype casting rules.</w:t>
      </w:r>
    </w:p>
    <w:p>
      <w:pPr>
        <w:spacing w:after="80"/>
      </w:pPr>
      <w:r>
        <w:t xml:space="preserve"/>
      </w:r>
    </w:p>
    <w:p>
      <w:pPr>
        <w:pStyle w:val="Heading3"/>
      </w:pPr>
      <w:r>
        <w:rPr>
          <w:rFonts w:ascii="Arial" w:cs="Arial" w:eastAsia="Arial" w:hAnsi="Arial"/>
        </w:rPr>
        <w:t xml:space="preserve">3.4  Normalization  (mandatory, but model-specific)</w:t>
      </w:r>
    </w:p>
    <w:p>
      <w:pPr>
        <w:spacing w:after="100"/>
      </w:pPr>
      <w:r>
        <w:rPr>
          <w:rFonts w:ascii="Arial" w:cs="Arial" w:eastAsia="Arial" w:hAnsi="Arial"/>
          <w:b w:val="false"/>
          <w:bCs w:val="false"/>
          <w:i w:val="false"/>
          <w:iCs w:val="false"/>
          <w:color w:val="1A1A1A"/>
          <w:sz w:val="22"/>
          <w:szCs w:val="22"/>
        </w:rPr>
        <w:t xml:space="preserve">There are two distinct forms of normalization and they are not interchangeable:</w:t>
      </w:r>
    </w:p>
    <w:p>
      <w:pPr>
        <w:spacing w:after="80"/>
      </w:pPr>
      <w:r>
        <w:t xml:space="preserve"/>
      </w:r>
    </w:p>
    <w:p>
      <w:pPr>
        <w:spacing w:after="100"/>
      </w:pPr>
      <w:r>
        <w:rPr>
          <w:rFonts w:ascii="Arial" w:cs="Arial" w:eastAsia="Arial" w:hAnsi="Arial"/>
          <w:b/>
          <w:bCs/>
          <w:i w:val="false"/>
          <w:iCs w:val="false"/>
          <w:color w:val="1A1A1A"/>
          <w:sz w:val="22"/>
          <w:szCs w:val="22"/>
        </w:rPr>
        <w:t xml:space="preserve">Pixel scaling (0–255 → 0.0–1.0):</w:t>
      </w:r>
      <w:r>
        <w:rPr>
          <w:rFonts w:ascii="Arial" w:cs="Arial" w:eastAsia="Arial" w:hAnsi="Arial"/>
          <w:b w:val="false"/>
          <w:bCs w:val="false"/>
          <w:i w:val="false"/>
          <w:iCs w:val="false"/>
          <w:color w:val="1A1A1A"/>
          <w:sz w:val="22"/>
          <w:szCs w:val="22"/>
        </w:rPr>
        <w:t xml:space="preserve">  Divide the float32 array by 255.0. Used when feeding into most neural networks that expect inputs in a bounded float range. This is the correct step for the majority of models in this pipeline.</w:t>
      </w:r>
    </w:p>
    <w:p>
      <w:pPr>
        <w:spacing w:after="80"/>
      </w:pPr>
      <w:r>
        <w:t xml:space="preserve"/>
      </w:r>
    </w:p>
    <w:p>
      <w:pPr>
        <w:spacing w:after="100"/>
      </w:pPr>
      <w:r>
        <w:rPr>
          <w:rFonts w:ascii="Arial" w:cs="Arial" w:eastAsia="Arial" w:hAnsi="Arial"/>
          <w:b/>
          <w:bCs/>
          <w:i w:val="false"/>
          <w:iCs w:val="false"/>
          <w:color w:val="1A1A1A"/>
          <w:sz w:val="22"/>
          <w:szCs w:val="22"/>
        </w:rPr>
        <w:t xml:space="preserve">Mean/std normalization:</w:t>
      </w:r>
      <w:r>
        <w:rPr>
          <w:rFonts w:ascii="Arial" w:cs="Arial" w:eastAsia="Arial" w:hAnsi="Arial"/>
          <w:b w:val="false"/>
          <w:bCs w:val="false"/>
          <w:i w:val="false"/>
          <w:iCs w:val="false"/>
          <w:color w:val="1A1A1A"/>
          <w:sz w:val="22"/>
          <w:szCs w:val="22"/>
        </w:rPr>
        <w:t xml:space="preserve">  Applied on top of pixel scaling. Subtracts the channel mean and divides by the channel std. Example for ImageNet-pretrained models: mean [0.485, 0.456, 0.406], std [0.229, 0.224, 0.225]. This is only required when using models whose backbones were pretrained on ImageNet — which covers the majority of PyTorch-based architectures. Applying the wrong mean/std to a model shifts its input distribution away from training conditions and degrades accuracy.</w:t>
      </w:r>
    </w:p>
    <w:p>
      <w:pPr>
        <w:spacing w:after="80"/>
      </w:pPr>
      <w:r>
        <w:t xml:space="preserve"/>
      </w:r>
    </w:p>
    <w:p>
      <w:pPr>
        <w:spacing w:after="100"/>
      </w:pPr>
      <w:r>
        <w:rPr>
          <w:rFonts w:ascii="Arial" w:cs="Arial" w:eastAsia="Arial" w:hAnsi="Arial"/>
          <w:b/>
          <w:bCs/>
          <w:color w:val="C55A11"/>
          <w:sz w:val="21"/>
          <w:szCs w:val="21"/>
        </w:rPr>
        <w:t xml:space="preserve">Note: </w:t>
      </w:r>
      <w:r>
        <w:rPr>
          <w:rFonts w:ascii="Arial" w:cs="Arial" w:eastAsia="Arial" w:hAnsi="Arial"/>
          <w:color w:val="C55A11"/>
          <w:sz w:val="21"/>
          <w:szCs w:val="21"/>
        </w:rPr>
        <w:t xml:space="preserve">YOLOv8 and MediaPipe handle normalization internally. DeepFace handles it per its normalization parameter (base, Facenet, ArcFace modes). Do NOT pre-normalize before passing to these models — double-normalizing produces out-of-distribution inputs. Custom PyTorch models require manual normalization. See Table 2.</w:t>
      </w:r>
    </w:p>
    <w:p>
      <w:pPr>
        <w:spacing w:after="80"/>
      </w:pPr>
      <w:r>
        <w:t xml:space="preserve"/>
      </w:r>
    </w:p>
    <w:p>
      <w:pPr>
        <w:pStyle w:val="Heading3"/>
      </w:pPr>
      <w:r>
        <w:rPr>
          <w:rFonts w:ascii="Arial" w:cs="Arial" w:eastAsia="Arial" w:hAnsi="Arial"/>
        </w:rPr>
        <w:t xml:space="preserve">3.5  Channel Reordering: HWC → CHW  (mandatory for PyTorch only)</w:t>
      </w:r>
    </w:p>
    <w:p>
      <w:pPr>
        <w:spacing w:after="100"/>
      </w:pPr>
      <w:r>
        <w:rPr>
          <w:rFonts w:ascii="Arial" w:cs="Arial" w:eastAsia="Arial" w:hAnsi="Arial"/>
          <w:b w:val="false"/>
          <w:bCs w:val="false"/>
          <w:i w:val="false"/>
          <w:iCs w:val="false"/>
          <w:color w:val="1A1A1A"/>
          <w:sz w:val="22"/>
          <w:szCs w:val="22"/>
        </w:rPr>
        <w:t xml:space="preserve">NumPy and OpenCV store images in HWC format: (height, width, channels). PyTorch models expect CHW format: (channels, height, width). Without this transpose, PyTorch raises a tensor shape error.</w:t>
      </w:r>
    </w:p>
    <w:p>
      <w:pPr>
        <w:spacing w:after="80"/>
      </w:pPr>
      <w:r>
        <w:t xml:space="preserve"/>
      </w:r>
    </w:p>
    <w:p>
      <w:pPr>
        <w:spacing w:after="100"/>
      </w:pPr>
      <w:r>
        <w:rPr>
          <w:rFonts w:ascii="Arial" w:cs="Arial" w:eastAsia="Arial" w:hAnsi="Arial"/>
          <w:b/>
          <w:bCs/>
          <w:i w:val="false"/>
          <w:iCs w:val="false"/>
          <w:color w:val="1A1A1A"/>
          <w:sz w:val="22"/>
          <w:szCs w:val="22"/>
        </w:rPr>
        <w:t xml:space="preserve">Done with: </w:t>
      </w:r>
      <w:r>
        <w:rPr>
          <w:rFonts w:ascii="Arial" w:cs="Arial" w:eastAsia="Arial" w:hAnsi="Arial"/>
          <w:b w:val="false"/>
          <w:bCs w:val="false"/>
          <w:i w:val="false"/>
          <w:iCs w:val="false"/>
          <w:color w:val="1A1A1A"/>
          <w:sz w:val="22"/>
          <w:szCs w:val="22"/>
        </w:rPr>
        <w:t xml:space="preserve">np.transpose(frame, (2, 0, 1))  or  frame.transpose(2, 0, 1)</w:t>
      </w:r>
    </w:p>
    <w:p>
      <w:pPr>
        <w:spacing w:after="80"/>
      </w:pPr>
      <w:r>
        <w:t xml:space="preserve"/>
      </w:r>
    </w:p>
    <w:p>
      <w:pPr>
        <w:spacing w:after="100"/>
      </w:pPr>
      <w:r>
        <w:rPr>
          <w:rFonts w:ascii="Arial" w:cs="Arial" w:eastAsia="Arial" w:hAnsi="Arial"/>
          <w:b w:val="false"/>
          <w:bCs w:val="false"/>
          <w:i w:val="false"/>
          <w:iCs w:val="false"/>
          <w:color w:val="1A1A1A"/>
          <w:sz w:val="22"/>
          <w:szCs w:val="22"/>
        </w:rPr>
        <w:t xml:space="preserve">TensorFlow, MediaPipe, DeepFace, and InsightFace all accept HWC — no transpose needed for them. You must know which format each specific model expects.</w:t>
      </w:r>
    </w:p>
    <w:p>
      <w:pPr>
        <w:spacing w:after="80"/>
      </w:pPr>
      <w:r>
        <w:t xml:space="preserve"/>
      </w:r>
    </w:p>
    <w:p>
      <w:pPr>
        <w:pStyle w:val="Heading3"/>
      </w:pPr>
      <w:r>
        <w:rPr>
          <w:rFonts w:ascii="Arial" w:cs="Arial" w:eastAsia="Arial" w:hAnsi="Arial"/>
        </w:rPr>
        <w:t xml:space="preserve">3.6  Batch Dimension Expansion  (mandatory for PyTorch / TF, not for others)</w:t>
      </w:r>
    </w:p>
    <w:p>
      <w:pPr>
        <w:spacing w:after="100"/>
      </w:pPr>
      <w:r>
        <w:rPr>
          <w:rFonts w:ascii="Arial" w:cs="Arial" w:eastAsia="Arial" w:hAnsi="Arial"/>
          <w:b w:val="false"/>
          <w:bCs w:val="false"/>
          <w:i w:val="false"/>
          <w:iCs w:val="false"/>
          <w:color w:val="1A1A1A"/>
          <w:sz w:val="22"/>
          <w:szCs w:val="22"/>
        </w:rPr>
        <w:t xml:space="preserve">PyTorch and TensorFlow models expect input tensors of shape (batch, channels, H, W) or (batch, H, W, channels). A single frame is shape (3, H, W) or (H, W, 3) and will cause a dimension mismatch error. You add the batch dimension:</w:t>
      </w:r>
    </w:p>
    <w:p>
      <w:pPr>
        <w:spacing w:after="80"/>
      </w:pPr>
      <w:r>
        <w:t xml:space="preserve"/>
      </w:r>
    </w:p>
    <w:p>
      <w:pPr>
        <w:spacing w:after="100"/>
      </w:pPr>
      <w:r>
        <w:rPr>
          <w:rFonts w:ascii="Arial" w:cs="Arial" w:eastAsia="Arial" w:hAnsi="Arial"/>
          <w:b/>
          <w:bCs/>
          <w:i w:val="false"/>
          <w:iCs w:val="false"/>
          <w:color w:val="1A1A1A"/>
          <w:sz w:val="22"/>
          <w:szCs w:val="22"/>
        </w:rPr>
        <w:t xml:space="preserve">Done with: </w:t>
      </w:r>
      <w:r>
        <w:rPr>
          <w:rFonts w:ascii="Arial" w:cs="Arial" w:eastAsia="Arial" w:hAnsi="Arial"/>
          <w:b w:val="false"/>
          <w:bCs w:val="false"/>
          <w:i w:val="false"/>
          <w:iCs w:val="false"/>
          <w:color w:val="1A1A1A"/>
          <w:sz w:val="22"/>
          <w:szCs w:val="22"/>
        </w:rPr>
        <w:t xml:space="preserve">np.expand_dims(frame, axis=0)  or  frame[np.newaxis, ...]  or  tensor.unsqueeze(0)</w:t>
      </w:r>
    </w:p>
    <w:p>
      <w:pPr>
        <w:spacing w:after="80"/>
      </w:pPr>
      <w:r>
        <w:t xml:space="preserve"/>
      </w:r>
    </w:p>
    <w:p>
      <w:pPr>
        <w:pStyle w:val="Heading3"/>
      </w:pPr>
      <w:r>
        <w:rPr>
          <w:rFonts w:ascii="Arial" w:cs="Arial" w:eastAsia="Arial" w:hAnsi="Arial"/>
        </w:rPr>
        <w:t xml:space="preserve">3.7  Noise Reduction / Contrast Adjustment  (conditional — not always applied)</w:t>
      </w:r>
    </w:p>
    <w:p>
      <w:pPr>
        <w:spacing w:after="100"/>
      </w:pPr>
      <w:r>
        <w:rPr>
          <w:rFonts w:ascii="Arial" w:cs="Arial" w:eastAsia="Arial" w:hAnsi="Arial"/>
          <w:b w:val="false"/>
          <w:bCs w:val="false"/>
          <w:i w:val="false"/>
          <w:iCs w:val="false"/>
          <w:color w:val="1A1A1A"/>
          <w:sz w:val="22"/>
          <w:szCs w:val="22"/>
        </w:rPr>
        <w:t xml:space="preserve">Apply only when a frame quality check indicates poor lighting or sensor noise — not by default. Applying these unconditionally can slightly soften facial features and reduce recognition accuracy in good-lighting conditions.</w:t>
      </w:r>
    </w:p>
    <w:p>
      <w:pPr>
        <w:spacing w:after="80"/>
      </w:pPr>
      <w:r>
        <w:t xml:space="preserve"/>
      </w:r>
    </w:p>
    <w:p>
      <w:pPr>
        <w:pStyle w:val="ListParagraph"/>
        <w:numPr>
          <w:ilvl w:val="0"/>
          <w:numId w:val="2"/>
        </w:numPr>
        <w:spacing w:after="80"/>
      </w:pPr>
      <w:r>
        <w:rPr>
          <w:rFonts w:ascii="Arial" w:cs="Arial" w:eastAsia="Arial" w:hAnsi="Arial"/>
          <w:color w:val="1A1A1A"/>
          <w:sz w:val="21"/>
          <w:szCs w:val="21"/>
        </w:rPr>
        <w:t xml:space="preserve">GaussianBlur — reduces high-frequency sensor noise. cv2.GaussianBlur(frame, (5,5), 0)</w:t>
      </w:r>
    </w:p>
    <w:p>
      <w:pPr>
        <w:pStyle w:val="ListParagraph"/>
        <w:numPr>
          <w:ilvl w:val="0"/>
          <w:numId w:val="2"/>
        </w:numPr>
        <w:spacing w:after="80"/>
      </w:pPr>
      <w:r>
        <w:rPr>
          <w:rFonts w:ascii="Arial" w:cs="Arial" w:eastAsia="Arial" w:hAnsi="Arial"/>
          <w:color w:val="1A1A1A"/>
          <w:sz w:val="21"/>
          <w:szCs w:val="21"/>
        </w:rPr>
        <w:t xml:space="preserve">CLAHE (Contrast Limited Adaptive Histogram Equalization) — improves local contrast in underexposed frames. Preferred over basic equalizeHist because it prevents over-amplification in already-bright regions.</w:t>
      </w:r>
    </w:p>
    <w:p>
      <w:pPr>
        <w:spacing w:after="80"/>
      </w:pPr>
      <w:r>
        <w:t xml:space="preserve"/>
      </w:r>
    </w:p>
    <w:p>
      <w:pPr>
        <w:spacing w:after="100"/>
      </w:pPr>
      <w:r>
        <w:rPr>
          <w:rFonts w:ascii="Arial" w:cs="Arial" w:eastAsia="Arial" w:hAnsi="Arial"/>
          <w:b w:val="false"/>
          <w:bCs w:val="false"/>
          <w:i w:val="false"/>
          <w:iCs w:val="false"/>
          <w:color w:val="1A1A1A"/>
          <w:sz w:val="22"/>
          <w:szCs w:val="22"/>
        </w:rPr>
        <w:t xml:space="preserve">Trigger condition: a simple per-frame brightness/variance check is enough. If mean pixel value &lt; threshold or Laplacian variance (blur score) &lt; threshold, apply enhancement. Otherwise pass the frame through as-is.</w:t>
      </w:r>
    </w:p>
    <w:p>
      <w:pPr>
        <w:spacing w:after="80"/>
      </w:pPr>
      <w:r>
        <w:t xml:space="preserve"/>
      </w:r>
    </w:p>
    <w:p>
      <w:pPr>
        <w:pBdr>
          <w:bottom w:val="single" w:color="CCCCCC" w:sz="4" w:space="1"/>
        </w:pBdr>
      </w:pPr>
      <w:r>
        <w:t xml:space="preserve"/>
      </w:r>
    </w:p>
    <w:p>
      <w:pPr>
        <w:spacing w:after="80"/>
      </w:pPr>
      <w:r>
        <w:t xml:space="preserve"/>
      </w:r>
    </w:p>
    <w:p>
      <w:pPr>
        <w:pStyle w:val="Heading2"/>
      </w:pPr>
      <w:r>
        <w:rPr>
          <w:rFonts w:ascii="Arial" w:cs="Arial" w:eastAsia="Arial" w:hAnsi="Arial"/>
        </w:rPr>
        <w:t xml:space="preserve">4. Tech Stack — Why Each Tool and Which Downstream Models It Supports</w:t>
      </w:r>
    </w:p>
    <w:p>
      <w:pPr>
        <w:spacing w:after="100"/>
      </w:pPr>
      <w:r>
        <w:rPr>
          <w:rFonts w:ascii="Arial" w:cs="Arial" w:eastAsia="Arial" w:hAnsi="Arial"/>
          <w:b w:val="false"/>
          <w:bCs w:val="false"/>
          <w:i w:val="false"/>
          <w:iCs w:val="false"/>
          <w:color w:val="1A1A1A"/>
          <w:sz w:val="22"/>
          <w:szCs w:val="22"/>
        </w:rPr>
        <w:t xml:space="preserve">An important clarification: the tech stack choice in Layer 2 is </w:t>
      </w:r>
      <w:r>
        <w:rPr>
          <w:rFonts w:ascii="Arial" w:cs="Arial" w:eastAsia="Arial" w:hAnsi="Arial"/>
          <w:b/>
          <w:bCs/>
          <w:i w:val="false"/>
          <w:iCs w:val="false"/>
          <w:color w:val="1A1A1A"/>
          <w:sz w:val="22"/>
          <w:szCs w:val="22"/>
        </w:rPr>
        <w:t xml:space="preserve">directly determined by which models you use in Layers 3, 4, and 5.</w:t>
      </w:r>
      <w:r>
        <w:rPr>
          <w:rFonts w:ascii="Arial" w:cs="Arial" w:eastAsia="Arial" w:hAnsi="Arial"/>
          <w:b w:val="false"/>
          <w:bCs w:val="false"/>
          <w:i w:val="false"/>
          <w:iCs w:val="false"/>
          <w:color w:val="1A1A1A"/>
          <w:sz w:val="22"/>
          <w:szCs w:val="22"/>
        </w:rPr>
        <w:t xml:space="preserve"> There is no single universal preprocessing format. Different models have incompatible input contracts, so your preprocessing must branch based on the model being called. The table below maps each tool to the models it serves.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560"/>
        <w:gridCol w:w="1000"/>
        <w:gridCol w:w="1200"/>
        <w:gridCol w:w="1700"/>
      </w:tblGrid>
      <w:tr>
        <w:trPr>
          <w:tblHeader/>
        </w:trPr>
        <w:tc>
          <w:tcPr>
            <w:tcW w:type="dxa" w:w="13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Tool</w:t>
            </w:r>
          </w:p>
        </w:tc>
        <w:tc>
          <w:tcPr>
            <w:tcW w:type="dxa" w:w="16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Role in Layer 2</w:t>
            </w:r>
          </w:p>
        </w:tc>
        <w:tc>
          <w:tcPr>
            <w:tcW w:type="dxa" w:w="25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Compatible With (Layer 3+)</w:t>
            </w:r>
          </w:p>
        </w:tc>
        <w:tc>
          <w:tcPr>
            <w:tcW w:type="dxa" w:w="1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Offline</w:t>
            </w:r>
          </w:p>
        </w:tc>
        <w:tc>
          <w:tcPr>
            <w:tcW w:type="dxa" w:w="12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Sends Data Outside</w:t>
            </w:r>
          </w:p>
        </w:tc>
        <w:tc>
          <w:tcPr>
            <w:tcW w:type="dxa" w:w="17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Cyber Safe</w:t>
            </w:r>
          </w:p>
        </w:tc>
      </w:tr>
      <w:tr>
        <w:tc>
          <w:tcPr>
            <w:tcW w:type="dxa" w:w="13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1A1A1A"/>
                <w:sz w:val="19"/>
                <w:szCs w:val="19"/>
              </w:rPr>
              <w:t xml:space="preserve">NumPy</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1A1A1A"/>
                <w:sz w:val="19"/>
                <w:szCs w:val="19"/>
              </w:rPr>
              <w:t xml:space="preserve">dtype cast (uint8 → float32), normalization math, axis ops, batch dim expansion</w:t>
            </w:r>
          </w:p>
        </w:tc>
        <w:tc>
          <w:tcPr>
            <w:tcW w:type="dxa" w:w="2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1A1A1A"/>
                <w:sz w:val="19"/>
                <w:szCs w:val="19"/>
              </w:rPr>
              <w:t xml:space="preserve">All models — universal array format. Every downstream library reads NumPy arrays.</w:t>
            </w:r>
          </w:p>
        </w:tc>
        <w:tc>
          <w:tcPr>
            <w:tcW w:type="dxa" w:w="1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1A1A1A"/>
                <w:sz w:val="19"/>
                <w:szCs w:val="19"/>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1A1A1A"/>
                <w:sz w:val="19"/>
                <w:szCs w:val="19"/>
              </w:rPr>
              <w:t xml:space="preserve">No</w:t>
            </w:r>
          </w:p>
        </w:tc>
        <w:tc>
          <w:tcPr>
            <w:tcW w:type="dxa" w:w="17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1A1A1A"/>
                <w:sz w:val="19"/>
                <w:szCs w:val="19"/>
              </w:rPr>
              <w:t xml:space="preserve">✅ Local only</w:t>
            </w:r>
          </w:p>
        </w:tc>
      </w:tr>
      <w:tr>
        <w:tc>
          <w:tcPr>
            <w:tcW w:type="dxa" w:w="1300"/>
            <w:tcBorders>
              <w:top w:val="single" w:color="CCCCCC" w:sz="1"/>
              <w:left w:val="single" w:color="CCCCCC" w:sz="1"/>
              <w:bottom w:val="single" w:color="CCCCCC" w:sz="1"/>
              <w:right w:val="single" w:color="CCCCCC" w:sz="1"/>
            </w:tcBorders>
            <w:shd w:fill="EBF3FB" w:val="clear"/>
            <w:tcMar>
              <w:top w:type="dxa" w:w="90"/>
              <w:left w:type="dxa" w:w="120"/>
              <w:bottom w:type="dxa" w:w="90"/>
              <w:right w:type="dxa" w:w="120"/>
            </w:tcMar>
          </w:tcPr>
          <w:p>
            <w:r>
              <w:rPr>
                <w:rFonts w:ascii="Arial" w:cs="Arial" w:eastAsia="Arial" w:hAnsi="Arial"/>
                <w:color w:val="1A1A1A"/>
                <w:sz w:val="19"/>
                <w:szCs w:val="19"/>
              </w:rPr>
              <w:t xml:space="preserve">OpenCV (cv2)</w:t>
            </w:r>
          </w:p>
        </w:tc>
        <w:tc>
          <w:tcPr>
            <w:tcW w:type="dxa" w:w="1600"/>
            <w:tcBorders>
              <w:top w:val="single" w:color="CCCCCC" w:sz="1"/>
              <w:left w:val="single" w:color="CCCCCC" w:sz="1"/>
              <w:bottom w:val="single" w:color="CCCCCC" w:sz="1"/>
              <w:right w:val="single" w:color="CCCCCC" w:sz="1"/>
            </w:tcBorders>
            <w:shd w:fill="EBF3FB" w:val="clear"/>
            <w:tcMar>
              <w:top w:type="dxa" w:w="90"/>
              <w:left w:type="dxa" w:w="120"/>
              <w:bottom w:type="dxa" w:w="90"/>
              <w:right w:type="dxa" w:w="120"/>
            </w:tcMar>
          </w:tcPr>
          <w:p>
            <w:r>
              <w:rPr>
                <w:rFonts w:ascii="Arial" w:cs="Arial" w:eastAsia="Arial" w:hAnsi="Arial"/>
                <w:color w:val="1A1A1A"/>
                <w:sz w:val="19"/>
                <w:szCs w:val="19"/>
              </w:rPr>
              <w:t xml:space="preserve">BGR→RGB conversion, resize (INTER_LINEAR / INTER_AREA), CLAHE contrast, GaussianBlur noise reduction</w:t>
            </w:r>
          </w:p>
        </w:tc>
        <w:tc>
          <w:tcPr>
            <w:tcW w:type="dxa" w:w="2560"/>
            <w:tcBorders>
              <w:top w:val="single" w:color="CCCCCC" w:sz="1"/>
              <w:left w:val="single" w:color="CCCCCC" w:sz="1"/>
              <w:bottom w:val="single" w:color="CCCCCC" w:sz="1"/>
              <w:right w:val="single" w:color="CCCCCC" w:sz="1"/>
            </w:tcBorders>
            <w:shd w:fill="EBF3FB" w:val="clear"/>
            <w:tcMar>
              <w:top w:type="dxa" w:w="90"/>
              <w:left w:type="dxa" w:w="120"/>
              <w:bottom w:type="dxa" w:w="90"/>
              <w:right w:type="dxa" w:w="120"/>
            </w:tcMar>
          </w:tcPr>
          <w:p>
            <w:r>
              <w:rPr>
                <w:rFonts w:ascii="Arial" w:cs="Arial" w:eastAsia="Arial" w:hAnsi="Arial"/>
                <w:color w:val="1A1A1A"/>
                <w:sz w:val="19"/>
                <w:szCs w:val="19"/>
              </w:rPr>
              <w:t xml:space="preserve">YOLOv8, MediaPipe, DeepFace, InsightFace — all accept OpenCV-sourced arrays</w:t>
            </w:r>
          </w:p>
        </w:tc>
        <w:tc>
          <w:tcPr>
            <w:tcW w:type="dxa" w:w="1000"/>
            <w:tcBorders>
              <w:top w:val="single" w:color="CCCCCC" w:sz="1"/>
              <w:left w:val="single" w:color="CCCCCC" w:sz="1"/>
              <w:bottom w:val="single" w:color="CCCCCC" w:sz="1"/>
              <w:right w:val="single" w:color="CCCCCC" w:sz="1"/>
            </w:tcBorders>
            <w:shd w:fill="EBF3FB" w:val="clear"/>
            <w:tcMar>
              <w:top w:type="dxa" w:w="90"/>
              <w:left w:type="dxa" w:w="120"/>
              <w:bottom w:type="dxa" w:w="90"/>
              <w:right w:type="dxa" w:w="120"/>
            </w:tcMar>
          </w:tcPr>
          <w:p>
            <w:r>
              <w:rPr>
                <w:rFonts w:ascii="Arial" w:cs="Arial" w:eastAsia="Arial" w:hAnsi="Arial"/>
                <w:color w:val="1A1A1A"/>
                <w:sz w:val="19"/>
                <w:szCs w:val="19"/>
              </w:rPr>
              <w:t xml:space="preserve">Yes</w:t>
            </w:r>
          </w:p>
        </w:tc>
        <w:tc>
          <w:tcPr>
            <w:tcW w:type="dxa" w:w="1200"/>
            <w:tcBorders>
              <w:top w:val="single" w:color="CCCCCC" w:sz="1"/>
              <w:left w:val="single" w:color="CCCCCC" w:sz="1"/>
              <w:bottom w:val="single" w:color="CCCCCC" w:sz="1"/>
              <w:right w:val="single" w:color="CCCCCC" w:sz="1"/>
            </w:tcBorders>
            <w:shd w:fill="EBF3FB" w:val="clear"/>
            <w:tcMar>
              <w:top w:type="dxa" w:w="90"/>
              <w:left w:type="dxa" w:w="120"/>
              <w:bottom w:type="dxa" w:w="90"/>
              <w:right w:type="dxa" w:w="120"/>
            </w:tcMar>
          </w:tcPr>
          <w:p>
            <w:r>
              <w:rPr>
                <w:rFonts w:ascii="Arial" w:cs="Arial" w:eastAsia="Arial" w:hAnsi="Arial"/>
                <w:color w:val="1A1A1A"/>
                <w:sz w:val="19"/>
                <w:szCs w:val="19"/>
              </w:rPr>
              <w:t xml:space="preserve">No</w:t>
            </w:r>
          </w:p>
        </w:tc>
        <w:tc>
          <w:tcPr>
            <w:tcW w:type="dxa" w:w="1700"/>
            <w:tcBorders>
              <w:top w:val="single" w:color="CCCCCC" w:sz="1"/>
              <w:left w:val="single" w:color="CCCCCC" w:sz="1"/>
              <w:bottom w:val="single" w:color="CCCCCC" w:sz="1"/>
              <w:right w:val="single" w:color="CCCCCC" w:sz="1"/>
            </w:tcBorders>
            <w:shd w:fill="EBF3FB" w:val="clear"/>
            <w:tcMar>
              <w:top w:type="dxa" w:w="90"/>
              <w:left w:type="dxa" w:w="120"/>
              <w:bottom w:type="dxa" w:w="90"/>
              <w:right w:type="dxa" w:w="120"/>
            </w:tcMar>
          </w:tcPr>
          <w:p>
            <w:r>
              <w:rPr>
                <w:rFonts w:ascii="Arial" w:cs="Arial" w:eastAsia="Arial" w:hAnsi="Arial"/>
                <w:color w:val="1A1A1A"/>
                <w:sz w:val="19"/>
                <w:szCs w:val="19"/>
              </w:rPr>
              <w:t xml:space="preserve">✅ Local only</w:t>
            </w:r>
          </w:p>
        </w:tc>
      </w:tr>
      <w:tr>
        <w:tc>
          <w:tcPr>
            <w:tcW w:type="dxa" w:w="13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1A1A1A"/>
                <w:sz w:val="19"/>
                <w:szCs w:val="19"/>
              </w:rPr>
              <w:t xml:space="preserve">torchvision.transforms</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1A1A1A"/>
                <w:sz w:val="19"/>
                <w:szCs w:val="19"/>
              </w:rPr>
              <w:t xml:space="preserve">Composable transforms: ToTensor, Normalize (mean/std), Resize — used when model is a PyTorch backbone</w:t>
            </w:r>
          </w:p>
        </w:tc>
        <w:tc>
          <w:tcPr>
            <w:tcW w:type="dxa" w:w="2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1A1A1A"/>
                <w:sz w:val="19"/>
                <w:szCs w:val="19"/>
              </w:rPr>
              <w:t xml:space="preserve">Custom PyTorch models (Layer 5 production path). Not needed for MVP DeepFace path.</w:t>
            </w:r>
          </w:p>
        </w:tc>
        <w:tc>
          <w:tcPr>
            <w:tcW w:type="dxa" w:w="1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1A1A1A"/>
                <w:sz w:val="19"/>
                <w:szCs w:val="19"/>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1A1A1A"/>
                <w:sz w:val="19"/>
                <w:szCs w:val="19"/>
              </w:rPr>
              <w:t xml:space="preserve">No</w:t>
            </w:r>
          </w:p>
        </w:tc>
        <w:tc>
          <w:tcPr>
            <w:tcW w:type="dxa" w:w="17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1A1A1A"/>
                <w:sz w:val="19"/>
                <w:szCs w:val="19"/>
              </w:rPr>
              <w:t xml:space="preserve">✅ Local only</w:t>
            </w:r>
          </w:p>
        </w:tc>
      </w:tr>
      <w:tr>
        <w:tc>
          <w:tcPr>
            <w:tcW w:type="dxa" w:w="1300"/>
            <w:tcBorders>
              <w:top w:val="single" w:color="CCCCCC" w:sz="1"/>
              <w:left w:val="single" w:color="CCCCCC" w:sz="1"/>
              <w:bottom w:val="single" w:color="CCCCCC" w:sz="1"/>
              <w:right w:val="single" w:color="CCCCCC" w:sz="1"/>
            </w:tcBorders>
            <w:shd w:fill="EBF3FB" w:val="clear"/>
            <w:tcMar>
              <w:top w:type="dxa" w:w="90"/>
              <w:left w:type="dxa" w:w="120"/>
              <w:bottom w:type="dxa" w:w="90"/>
              <w:right w:type="dxa" w:w="120"/>
            </w:tcMar>
          </w:tcPr>
          <w:p>
            <w:r>
              <w:rPr>
                <w:rFonts w:ascii="Arial" w:cs="Arial" w:eastAsia="Arial" w:hAnsi="Arial"/>
                <w:color w:val="1A1A1A"/>
                <w:sz w:val="19"/>
                <w:szCs w:val="19"/>
              </w:rPr>
              <w:t xml:space="preserve">Albumentations</w:t>
            </w:r>
          </w:p>
        </w:tc>
        <w:tc>
          <w:tcPr>
            <w:tcW w:type="dxa" w:w="1600"/>
            <w:tcBorders>
              <w:top w:val="single" w:color="CCCCCC" w:sz="1"/>
              <w:left w:val="single" w:color="CCCCCC" w:sz="1"/>
              <w:bottom w:val="single" w:color="CCCCCC" w:sz="1"/>
              <w:right w:val="single" w:color="CCCCCC" w:sz="1"/>
            </w:tcBorders>
            <w:shd w:fill="EBF3FB" w:val="clear"/>
            <w:tcMar>
              <w:top w:type="dxa" w:w="90"/>
              <w:left w:type="dxa" w:w="120"/>
              <w:bottom w:type="dxa" w:w="90"/>
              <w:right w:type="dxa" w:w="120"/>
            </w:tcMar>
          </w:tcPr>
          <w:p>
            <w:r>
              <w:rPr>
                <w:rFonts w:ascii="Arial" w:cs="Arial" w:eastAsia="Arial" w:hAnsi="Arial"/>
                <w:color w:val="1A1A1A"/>
                <w:sz w:val="19"/>
                <w:szCs w:val="19"/>
              </w:rPr>
              <w:t xml:space="preserve">Augmentation pipeline for training data only (flip, rotation, color jitter, cutout)</w:t>
            </w:r>
          </w:p>
        </w:tc>
        <w:tc>
          <w:tcPr>
            <w:tcW w:type="dxa" w:w="2560"/>
            <w:tcBorders>
              <w:top w:val="single" w:color="CCCCCC" w:sz="1"/>
              <w:left w:val="single" w:color="CCCCCC" w:sz="1"/>
              <w:bottom w:val="single" w:color="CCCCCC" w:sz="1"/>
              <w:right w:val="single" w:color="CCCCCC" w:sz="1"/>
            </w:tcBorders>
            <w:shd w:fill="EBF3FB" w:val="clear"/>
            <w:tcMar>
              <w:top w:type="dxa" w:w="90"/>
              <w:left w:type="dxa" w:w="120"/>
              <w:bottom w:type="dxa" w:w="90"/>
              <w:right w:type="dxa" w:w="120"/>
            </w:tcMar>
          </w:tcPr>
          <w:p>
            <w:r>
              <w:rPr>
                <w:rFonts w:ascii="Arial" w:cs="Arial" w:eastAsia="Arial" w:hAnsi="Arial"/>
                <w:color w:val="1A1A1A"/>
                <w:sz w:val="19"/>
                <w:szCs w:val="19"/>
              </w:rPr>
              <w:t xml:space="preserve">Training-time only — feeds into any PyTorch model during training. NOT used during live inference.</w:t>
            </w:r>
          </w:p>
        </w:tc>
        <w:tc>
          <w:tcPr>
            <w:tcW w:type="dxa" w:w="1000"/>
            <w:tcBorders>
              <w:top w:val="single" w:color="CCCCCC" w:sz="1"/>
              <w:left w:val="single" w:color="CCCCCC" w:sz="1"/>
              <w:bottom w:val="single" w:color="CCCCCC" w:sz="1"/>
              <w:right w:val="single" w:color="CCCCCC" w:sz="1"/>
            </w:tcBorders>
            <w:shd w:fill="EBF3FB" w:val="clear"/>
            <w:tcMar>
              <w:top w:type="dxa" w:w="90"/>
              <w:left w:type="dxa" w:w="120"/>
              <w:bottom w:type="dxa" w:w="90"/>
              <w:right w:type="dxa" w:w="120"/>
            </w:tcMar>
          </w:tcPr>
          <w:p>
            <w:r>
              <w:rPr>
                <w:rFonts w:ascii="Arial" w:cs="Arial" w:eastAsia="Arial" w:hAnsi="Arial"/>
                <w:color w:val="1A1A1A"/>
                <w:sz w:val="19"/>
                <w:szCs w:val="19"/>
              </w:rPr>
              <w:t xml:space="preserve">Yes</w:t>
            </w:r>
          </w:p>
        </w:tc>
        <w:tc>
          <w:tcPr>
            <w:tcW w:type="dxa" w:w="1200"/>
            <w:tcBorders>
              <w:top w:val="single" w:color="CCCCCC" w:sz="1"/>
              <w:left w:val="single" w:color="CCCCCC" w:sz="1"/>
              <w:bottom w:val="single" w:color="CCCCCC" w:sz="1"/>
              <w:right w:val="single" w:color="CCCCCC" w:sz="1"/>
            </w:tcBorders>
            <w:shd w:fill="EBF3FB" w:val="clear"/>
            <w:tcMar>
              <w:top w:type="dxa" w:w="90"/>
              <w:left w:type="dxa" w:w="120"/>
              <w:bottom w:type="dxa" w:w="90"/>
              <w:right w:type="dxa" w:w="120"/>
            </w:tcMar>
          </w:tcPr>
          <w:p>
            <w:r>
              <w:rPr>
                <w:rFonts w:ascii="Arial" w:cs="Arial" w:eastAsia="Arial" w:hAnsi="Arial"/>
                <w:color w:val="1A1A1A"/>
                <w:sz w:val="19"/>
                <w:szCs w:val="19"/>
              </w:rPr>
              <w:t xml:space="preserve">No</w:t>
            </w:r>
          </w:p>
        </w:tc>
        <w:tc>
          <w:tcPr>
            <w:tcW w:type="dxa" w:w="1700"/>
            <w:tcBorders>
              <w:top w:val="single" w:color="CCCCCC" w:sz="1"/>
              <w:left w:val="single" w:color="CCCCCC" w:sz="1"/>
              <w:bottom w:val="single" w:color="CCCCCC" w:sz="1"/>
              <w:right w:val="single" w:color="CCCCCC" w:sz="1"/>
            </w:tcBorders>
            <w:shd w:fill="EBF3FB" w:val="clear"/>
            <w:tcMar>
              <w:top w:type="dxa" w:w="90"/>
              <w:left w:type="dxa" w:w="120"/>
              <w:bottom w:type="dxa" w:w="90"/>
              <w:right w:type="dxa" w:w="120"/>
            </w:tcMar>
          </w:tcPr>
          <w:p>
            <w:r>
              <w:rPr>
                <w:rFonts w:ascii="Arial" w:cs="Arial" w:eastAsia="Arial" w:hAnsi="Arial"/>
                <w:color w:val="1A1A1A"/>
                <w:sz w:val="19"/>
                <w:szCs w:val="19"/>
              </w:rPr>
              <w:t xml:space="preserve">✅ Local only</w:t>
            </w:r>
          </w:p>
        </w:tc>
      </w:tr>
      <w:tr>
        <w:tc>
          <w:tcPr>
            <w:tcW w:type="dxa" w:w="13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1A1A1A"/>
                <w:sz w:val="19"/>
                <w:szCs w:val="19"/>
              </w:rPr>
              <w:t xml:space="preserve">Pillow (PIL)</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1A1A1A"/>
                <w:sz w:val="19"/>
                <w:szCs w:val="19"/>
              </w:rPr>
              <w:t xml:space="preserve">Format bridge: NumPy array → PIL Image when a model requires PIL input instead of raw array</w:t>
            </w:r>
          </w:p>
        </w:tc>
        <w:tc>
          <w:tcPr>
            <w:tcW w:type="dxa" w:w="2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1A1A1A"/>
                <w:sz w:val="19"/>
                <w:szCs w:val="19"/>
              </w:rPr>
              <w:t xml:space="preserve">Older HuggingFace models, some MTCNN implementations. Avoid in the real-time hot path — adds conversion overhead.</w:t>
            </w:r>
          </w:p>
        </w:tc>
        <w:tc>
          <w:tcPr>
            <w:tcW w:type="dxa" w:w="1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1A1A1A"/>
                <w:sz w:val="19"/>
                <w:szCs w:val="19"/>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1A1A1A"/>
                <w:sz w:val="19"/>
                <w:szCs w:val="19"/>
              </w:rPr>
              <w:t xml:space="preserve">No</w:t>
            </w:r>
          </w:p>
        </w:tc>
        <w:tc>
          <w:tcPr>
            <w:tcW w:type="dxa" w:w="17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1A1A1A"/>
                <w:sz w:val="19"/>
                <w:szCs w:val="19"/>
              </w:rPr>
              <w:t xml:space="preserve">✅ Local only</w:t>
            </w:r>
          </w:p>
        </w:tc>
      </w:tr>
    </w:tbl>
    <w:p>
      <w:pPr>
        <w:spacing w:after="80"/>
      </w:pPr>
      <w:r>
        <w:t xml:space="preserve"/>
      </w:r>
    </w:p>
    <w:p>
      <w:pPr>
        <w:spacing w:after="100"/>
      </w:pPr>
      <w:r>
        <w:rPr>
          <w:rFonts w:ascii="Arial" w:cs="Arial" w:eastAsia="Arial" w:hAnsi="Arial"/>
          <w:b/>
          <w:bCs/>
          <w:color w:val="C55A11"/>
          <w:sz w:val="21"/>
          <w:szCs w:val="21"/>
        </w:rPr>
        <w:t xml:space="preserve">Note: </w:t>
      </w:r>
      <w:r>
        <w:rPr>
          <w:rFonts w:ascii="Arial" w:cs="Arial" w:eastAsia="Arial" w:hAnsi="Arial"/>
          <w:color w:val="C55A11"/>
          <w:sz w:val="21"/>
          <w:szCs w:val="21"/>
        </w:rPr>
        <w:t xml:space="preserve">None of these tools make network calls. All processing stays in local process memory. There is no telemetry, no data exfiltration, and no outbound traffic at this layer from any of the listed tools.</w:t>
      </w:r>
    </w:p>
    <w:p>
      <w:pPr>
        <w:spacing w:after="80"/>
      </w:pPr>
      <w:r>
        <w:t xml:space="preserve"/>
      </w:r>
    </w:p>
    <w:p>
      <w:pPr>
        <w:pBdr>
          <w:bottom w:val="single" w:color="CCCCCC" w:sz="4" w:space="1"/>
        </w:pBdr>
      </w:pPr>
      <w:r>
        <w:t xml:space="preserve"/>
      </w:r>
    </w:p>
    <w:p>
      <w:pPr>
        <w:spacing w:after="80"/>
      </w:pPr>
      <w:r>
        <w:t xml:space="preserve"/>
      </w:r>
    </w:p>
    <w:p>
      <w:pPr>
        <w:pStyle w:val="Heading2"/>
      </w:pPr>
      <w:r>
        <w:rPr>
          <w:rFonts w:ascii="Arial" w:cs="Arial" w:eastAsia="Arial" w:hAnsi="Arial"/>
        </w:rPr>
        <w:t xml:space="preserve">5. Per-Model Preprocessing Contract</w:t>
      </w:r>
    </w:p>
    <w:p>
      <w:pPr>
        <w:spacing w:after="100"/>
      </w:pPr>
      <w:r>
        <w:rPr>
          <w:rFonts w:ascii="Arial" w:cs="Arial" w:eastAsia="Arial" w:hAnsi="Arial"/>
          <w:b w:val="false"/>
          <w:bCs w:val="false"/>
          <w:i w:val="false"/>
          <w:iCs w:val="false"/>
          <w:color w:val="1A1A1A"/>
          <w:sz w:val="22"/>
          <w:szCs w:val="22"/>
        </w:rPr>
        <w:t xml:space="preserve">This is the most critical table in this document. Each downstream model has specific, non-negotiable input requirements. Violating any one of these silently degrades model performance or causes a runtime error.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80"/>
        <w:gridCol w:w="1000"/>
        <w:gridCol w:w="1300"/>
        <w:gridCol w:w="2000"/>
        <w:gridCol w:w="1280"/>
        <w:gridCol w:w="1600"/>
      </w:tblGrid>
      <w:tr>
        <w:trPr>
          <w:tblHeader/>
        </w:trPr>
        <w:tc>
          <w:tcPr>
            <w:tcW w:type="dxa" w:w="14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Downstream Model</w:t>
            </w:r>
          </w:p>
        </w:tc>
        <w:tc>
          <w:tcPr>
            <w:tcW w:type="dxa" w:w="78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1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Color Order</w:t>
            </w:r>
          </w:p>
        </w:tc>
        <w:tc>
          <w:tcPr>
            <w:tcW w:type="dxa" w:w="13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Input Size</w:t>
            </w:r>
          </w:p>
        </w:tc>
        <w:tc>
          <w:tcPr>
            <w:tcW w:type="dxa" w:w="2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Normalization</w:t>
            </w:r>
          </w:p>
        </w:tc>
        <w:tc>
          <w:tcPr>
            <w:tcW w:type="dxa" w:w="128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Array Format</w:t>
            </w:r>
          </w:p>
        </w:tc>
        <w:tc>
          <w:tcPr>
            <w:tcW w:type="dxa" w:w="16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Batch Dim Required</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1A1A1A"/>
                <w:sz w:val="19"/>
                <w:szCs w:val="19"/>
              </w:rPr>
              <w:t xml:space="preserve">YOLOv8 (face detection)</w:t>
            </w:r>
          </w:p>
        </w:tc>
        <w:tc>
          <w:tcPr>
            <w:tcW w:type="dxa" w:w="7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1A1A1A"/>
                <w:sz w:val="19"/>
                <w:szCs w:val="19"/>
              </w:rPr>
              <w:t xml:space="preserve">3</w:t>
            </w:r>
          </w:p>
        </w:tc>
        <w:tc>
          <w:tcPr>
            <w:tcW w:type="dxa" w:w="1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1A1A1A"/>
                <w:sz w:val="19"/>
                <w:szCs w:val="19"/>
              </w:rPr>
              <w:t xml:space="preserve">RGB</w:t>
            </w:r>
          </w:p>
        </w:tc>
        <w:tc>
          <w:tcPr>
            <w:tcW w:type="dxa" w:w="13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1A1A1A"/>
                <w:sz w:val="19"/>
                <w:szCs w:val="19"/>
              </w:rPr>
              <w:t xml:space="preserve">640×640 (default)</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1A1A1A"/>
                <w:sz w:val="19"/>
                <w:szCs w:val="19"/>
              </w:rPr>
              <w:t xml:space="preserve">Handled internally — Ultralytics normalizes 0–255 to 0.0–1.0 inside the model. No manual norm needed.</w:t>
            </w:r>
          </w:p>
        </w:tc>
        <w:tc>
          <w:tcPr>
            <w:tcW w:type="dxa" w:w="1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1A1A1A"/>
                <w:sz w:val="19"/>
                <w:szCs w:val="19"/>
              </w:rPr>
              <w:t xml:space="preserve">HWC NumPy or raw frame</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1A1A1A"/>
                <w:sz w:val="19"/>
                <w:szCs w:val="19"/>
              </w:rPr>
              <w:t xml:space="preserve">No — model handles internally</w:t>
            </w:r>
          </w:p>
        </w:tc>
      </w:tr>
      <w:tr>
        <w:tc>
          <w:tcPr>
            <w:tcW w:type="dxa" w:w="1400"/>
            <w:tcBorders>
              <w:top w:val="single" w:color="CCCCCC" w:sz="1"/>
              <w:left w:val="single" w:color="CCCCCC" w:sz="1"/>
              <w:bottom w:val="single" w:color="CCCCCC" w:sz="1"/>
              <w:right w:val="single" w:color="CCCCCC" w:sz="1"/>
            </w:tcBorders>
            <w:shd w:fill="EBF3FB" w:val="clear"/>
            <w:tcMar>
              <w:top w:type="dxa" w:w="90"/>
              <w:left w:type="dxa" w:w="120"/>
              <w:bottom w:type="dxa" w:w="90"/>
              <w:right w:type="dxa" w:w="120"/>
            </w:tcMar>
          </w:tcPr>
          <w:p>
            <w:r>
              <w:rPr>
                <w:rFonts w:ascii="Arial" w:cs="Arial" w:eastAsia="Arial" w:hAnsi="Arial"/>
                <w:color w:val="1A1A1A"/>
                <w:sz w:val="19"/>
                <w:szCs w:val="19"/>
              </w:rPr>
              <w:t xml:space="preserve">MediaPipe (face detection)</w:t>
            </w:r>
          </w:p>
        </w:tc>
        <w:tc>
          <w:tcPr>
            <w:tcW w:type="dxa" w:w="780"/>
            <w:tcBorders>
              <w:top w:val="single" w:color="CCCCCC" w:sz="1"/>
              <w:left w:val="single" w:color="CCCCCC" w:sz="1"/>
              <w:bottom w:val="single" w:color="CCCCCC" w:sz="1"/>
              <w:right w:val="single" w:color="CCCCCC" w:sz="1"/>
            </w:tcBorders>
            <w:shd w:fill="EBF3FB" w:val="clear"/>
            <w:tcMar>
              <w:top w:type="dxa" w:w="90"/>
              <w:left w:type="dxa" w:w="120"/>
              <w:bottom w:type="dxa" w:w="90"/>
              <w:right w:type="dxa" w:w="120"/>
            </w:tcMar>
          </w:tcPr>
          <w:p>
            <w:r>
              <w:rPr>
                <w:rFonts w:ascii="Arial" w:cs="Arial" w:eastAsia="Arial" w:hAnsi="Arial"/>
                <w:color w:val="1A1A1A"/>
                <w:sz w:val="19"/>
                <w:szCs w:val="19"/>
              </w:rPr>
              <w:t xml:space="preserve">3</w:t>
            </w:r>
          </w:p>
        </w:tc>
        <w:tc>
          <w:tcPr>
            <w:tcW w:type="dxa" w:w="1000"/>
            <w:tcBorders>
              <w:top w:val="single" w:color="CCCCCC" w:sz="1"/>
              <w:left w:val="single" w:color="CCCCCC" w:sz="1"/>
              <w:bottom w:val="single" w:color="CCCCCC" w:sz="1"/>
              <w:right w:val="single" w:color="CCCCCC" w:sz="1"/>
            </w:tcBorders>
            <w:shd w:fill="EBF3FB" w:val="clear"/>
            <w:tcMar>
              <w:top w:type="dxa" w:w="90"/>
              <w:left w:type="dxa" w:w="120"/>
              <w:bottom w:type="dxa" w:w="90"/>
              <w:right w:type="dxa" w:w="120"/>
            </w:tcMar>
          </w:tcPr>
          <w:p>
            <w:r>
              <w:rPr>
                <w:rFonts w:ascii="Arial" w:cs="Arial" w:eastAsia="Arial" w:hAnsi="Arial"/>
                <w:color w:val="1A1A1A"/>
                <w:sz w:val="19"/>
                <w:szCs w:val="19"/>
              </w:rPr>
              <w:t xml:space="preserve">RGB</w:t>
            </w:r>
          </w:p>
        </w:tc>
        <w:tc>
          <w:tcPr>
            <w:tcW w:type="dxa" w:w="1300"/>
            <w:tcBorders>
              <w:top w:val="single" w:color="CCCCCC" w:sz="1"/>
              <w:left w:val="single" w:color="CCCCCC" w:sz="1"/>
              <w:bottom w:val="single" w:color="CCCCCC" w:sz="1"/>
              <w:right w:val="single" w:color="CCCCCC" w:sz="1"/>
            </w:tcBorders>
            <w:shd w:fill="EBF3FB" w:val="clear"/>
            <w:tcMar>
              <w:top w:type="dxa" w:w="90"/>
              <w:left w:type="dxa" w:w="120"/>
              <w:bottom w:type="dxa" w:w="90"/>
              <w:right w:type="dxa" w:w="120"/>
            </w:tcMar>
          </w:tcPr>
          <w:p>
            <w:r>
              <w:rPr>
                <w:rFonts w:ascii="Arial" w:cs="Arial" w:eastAsia="Arial" w:hAnsi="Arial"/>
                <w:color w:val="1A1A1A"/>
                <w:sz w:val="19"/>
                <w:szCs w:val="19"/>
              </w:rPr>
              <w:t xml:space="preserve">Dynamic (auto-handled)</w:t>
            </w:r>
          </w:p>
        </w:tc>
        <w:tc>
          <w:tcPr>
            <w:tcW w:type="dxa" w:w="2000"/>
            <w:tcBorders>
              <w:top w:val="single" w:color="CCCCCC" w:sz="1"/>
              <w:left w:val="single" w:color="CCCCCC" w:sz="1"/>
              <w:bottom w:val="single" w:color="CCCCCC" w:sz="1"/>
              <w:right w:val="single" w:color="CCCCCC" w:sz="1"/>
            </w:tcBorders>
            <w:shd w:fill="EBF3FB" w:val="clear"/>
            <w:tcMar>
              <w:top w:type="dxa" w:w="90"/>
              <w:left w:type="dxa" w:w="120"/>
              <w:bottom w:type="dxa" w:w="90"/>
              <w:right w:type="dxa" w:w="120"/>
            </w:tcMar>
          </w:tcPr>
          <w:p>
            <w:r>
              <w:rPr>
                <w:rFonts w:ascii="Arial" w:cs="Arial" w:eastAsia="Arial" w:hAnsi="Arial"/>
                <w:color w:val="1A1A1A"/>
                <w:sz w:val="19"/>
                <w:szCs w:val="19"/>
              </w:rPr>
              <w:t xml:space="preserve">Normalizes internally. Pass raw uint8 RGB array — do NOT pre-normalize.</w:t>
            </w:r>
          </w:p>
        </w:tc>
        <w:tc>
          <w:tcPr>
            <w:tcW w:type="dxa" w:w="1280"/>
            <w:tcBorders>
              <w:top w:val="single" w:color="CCCCCC" w:sz="1"/>
              <w:left w:val="single" w:color="CCCCCC" w:sz="1"/>
              <w:bottom w:val="single" w:color="CCCCCC" w:sz="1"/>
              <w:right w:val="single" w:color="CCCCCC" w:sz="1"/>
            </w:tcBorders>
            <w:shd w:fill="EBF3FB" w:val="clear"/>
            <w:tcMar>
              <w:top w:type="dxa" w:w="90"/>
              <w:left w:type="dxa" w:w="120"/>
              <w:bottom w:type="dxa" w:w="90"/>
              <w:right w:type="dxa" w:w="120"/>
            </w:tcMar>
          </w:tcPr>
          <w:p>
            <w:r>
              <w:rPr>
                <w:rFonts w:ascii="Arial" w:cs="Arial" w:eastAsia="Arial" w:hAnsi="Arial"/>
                <w:color w:val="1A1A1A"/>
                <w:sz w:val="19"/>
                <w:szCs w:val="19"/>
              </w:rPr>
              <w:t xml:space="preserve">HWC NumPy uint8</w:t>
            </w:r>
          </w:p>
        </w:tc>
        <w:tc>
          <w:tcPr>
            <w:tcW w:type="dxa" w:w="1600"/>
            <w:tcBorders>
              <w:top w:val="single" w:color="CCCCCC" w:sz="1"/>
              <w:left w:val="single" w:color="CCCCCC" w:sz="1"/>
              <w:bottom w:val="single" w:color="CCCCCC" w:sz="1"/>
              <w:right w:val="single" w:color="CCCCCC" w:sz="1"/>
            </w:tcBorders>
            <w:shd w:fill="EBF3FB" w:val="clear"/>
            <w:tcMar>
              <w:top w:type="dxa" w:w="90"/>
              <w:left w:type="dxa" w:w="120"/>
              <w:bottom w:type="dxa" w:w="90"/>
              <w:right w:type="dxa" w:w="120"/>
            </w:tcMar>
          </w:tcPr>
          <w:p>
            <w:r>
              <w:rPr>
                <w:rFonts w:ascii="Arial" w:cs="Arial" w:eastAsia="Arial" w:hAnsi="Arial"/>
                <w:color w:val="1A1A1A"/>
                <w:sz w:val="19"/>
                <w:szCs w:val="19"/>
              </w:rPr>
              <w:t xml:space="preserve">No</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1A1A1A"/>
                <w:sz w:val="19"/>
                <w:szCs w:val="19"/>
              </w:rPr>
              <w:t xml:space="preserve">InsightFace (identity)</w:t>
            </w:r>
          </w:p>
        </w:tc>
        <w:tc>
          <w:tcPr>
            <w:tcW w:type="dxa" w:w="7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1A1A1A"/>
                <w:sz w:val="19"/>
                <w:szCs w:val="19"/>
              </w:rPr>
              <w:t xml:space="preserve">4</w:t>
            </w:r>
          </w:p>
        </w:tc>
        <w:tc>
          <w:tcPr>
            <w:tcW w:type="dxa" w:w="1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1A1A1A"/>
                <w:sz w:val="19"/>
                <w:szCs w:val="19"/>
              </w:rPr>
              <w:t xml:space="preserve">BGR</w:t>
            </w:r>
          </w:p>
        </w:tc>
        <w:tc>
          <w:tcPr>
            <w:tcW w:type="dxa" w:w="13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1A1A1A"/>
                <w:sz w:val="19"/>
                <w:szCs w:val="19"/>
              </w:rPr>
              <w:t xml:space="preserve">Det size configurable (e.g. 640×640)</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1A1A1A"/>
                <w:sz w:val="19"/>
                <w:szCs w:val="19"/>
              </w:rPr>
              <w:t xml:space="preserve">Normalizes internally. Expects BGR NumPy array — this is the one major model that does NOT want RGB conversion.</w:t>
            </w:r>
          </w:p>
        </w:tc>
        <w:tc>
          <w:tcPr>
            <w:tcW w:type="dxa" w:w="1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1A1A1A"/>
                <w:sz w:val="19"/>
                <w:szCs w:val="19"/>
              </w:rPr>
              <w:t xml:space="preserve">HWC NumPy uint8 BGR</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1A1A1A"/>
                <w:sz w:val="19"/>
                <w:szCs w:val="19"/>
              </w:rPr>
              <w:t xml:space="preserve">No</w:t>
            </w:r>
          </w:p>
        </w:tc>
      </w:tr>
      <w:tr>
        <w:tc>
          <w:tcPr>
            <w:tcW w:type="dxa" w:w="1400"/>
            <w:tcBorders>
              <w:top w:val="single" w:color="CCCCCC" w:sz="1"/>
              <w:left w:val="single" w:color="CCCCCC" w:sz="1"/>
              <w:bottom w:val="single" w:color="CCCCCC" w:sz="1"/>
              <w:right w:val="single" w:color="CCCCCC" w:sz="1"/>
            </w:tcBorders>
            <w:shd w:fill="EBF3FB" w:val="clear"/>
            <w:tcMar>
              <w:top w:type="dxa" w:w="90"/>
              <w:left w:type="dxa" w:w="120"/>
              <w:bottom w:type="dxa" w:w="90"/>
              <w:right w:type="dxa" w:w="120"/>
            </w:tcMar>
          </w:tcPr>
          <w:p>
            <w:r>
              <w:rPr>
                <w:rFonts w:ascii="Arial" w:cs="Arial" w:eastAsia="Arial" w:hAnsi="Arial"/>
                <w:color w:val="1A1A1A"/>
                <w:sz w:val="19"/>
                <w:szCs w:val="19"/>
              </w:rPr>
              <w:t xml:space="preserve">DeepFace (expression, MVP)</w:t>
            </w:r>
          </w:p>
        </w:tc>
        <w:tc>
          <w:tcPr>
            <w:tcW w:type="dxa" w:w="780"/>
            <w:tcBorders>
              <w:top w:val="single" w:color="CCCCCC" w:sz="1"/>
              <w:left w:val="single" w:color="CCCCCC" w:sz="1"/>
              <w:bottom w:val="single" w:color="CCCCCC" w:sz="1"/>
              <w:right w:val="single" w:color="CCCCCC" w:sz="1"/>
            </w:tcBorders>
            <w:shd w:fill="EBF3FB" w:val="clear"/>
            <w:tcMar>
              <w:top w:type="dxa" w:w="90"/>
              <w:left w:type="dxa" w:w="120"/>
              <w:bottom w:type="dxa" w:w="90"/>
              <w:right w:type="dxa" w:w="120"/>
            </w:tcMar>
          </w:tcPr>
          <w:p>
            <w:r>
              <w:rPr>
                <w:rFonts w:ascii="Arial" w:cs="Arial" w:eastAsia="Arial" w:hAnsi="Arial"/>
                <w:color w:val="1A1A1A"/>
                <w:sz w:val="19"/>
                <w:szCs w:val="19"/>
              </w:rPr>
              <w:t xml:space="preserve">5</w:t>
            </w:r>
          </w:p>
        </w:tc>
        <w:tc>
          <w:tcPr>
            <w:tcW w:type="dxa" w:w="1000"/>
            <w:tcBorders>
              <w:top w:val="single" w:color="CCCCCC" w:sz="1"/>
              <w:left w:val="single" w:color="CCCCCC" w:sz="1"/>
              <w:bottom w:val="single" w:color="CCCCCC" w:sz="1"/>
              <w:right w:val="single" w:color="CCCCCC" w:sz="1"/>
            </w:tcBorders>
            <w:shd w:fill="EBF3FB" w:val="clear"/>
            <w:tcMar>
              <w:top w:type="dxa" w:w="90"/>
              <w:left w:type="dxa" w:w="120"/>
              <w:bottom w:type="dxa" w:w="90"/>
              <w:right w:type="dxa" w:w="120"/>
            </w:tcMar>
          </w:tcPr>
          <w:p>
            <w:r>
              <w:rPr>
                <w:rFonts w:ascii="Arial" w:cs="Arial" w:eastAsia="Arial" w:hAnsi="Arial"/>
                <w:color w:val="1A1A1A"/>
                <w:sz w:val="19"/>
                <w:szCs w:val="19"/>
              </w:rPr>
              <w:t xml:space="preserve">BGR or RGB</w:t>
            </w:r>
          </w:p>
        </w:tc>
        <w:tc>
          <w:tcPr>
            <w:tcW w:type="dxa" w:w="1300"/>
            <w:tcBorders>
              <w:top w:val="single" w:color="CCCCCC" w:sz="1"/>
              <w:left w:val="single" w:color="CCCCCC" w:sz="1"/>
              <w:bottom w:val="single" w:color="CCCCCC" w:sz="1"/>
              <w:right w:val="single" w:color="CCCCCC" w:sz="1"/>
            </w:tcBorders>
            <w:shd w:fill="EBF3FB" w:val="clear"/>
            <w:tcMar>
              <w:top w:type="dxa" w:w="90"/>
              <w:left w:type="dxa" w:w="120"/>
              <w:bottom w:type="dxa" w:w="90"/>
              <w:right w:type="dxa" w:w="120"/>
            </w:tcMar>
          </w:tcPr>
          <w:p>
            <w:r>
              <w:rPr>
                <w:rFonts w:ascii="Arial" w:cs="Arial" w:eastAsia="Arial" w:hAnsi="Arial"/>
                <w:color w:val="1A1A1A"/>
                <w:sz w:val="19"/>
                <w:szCs w:val="19"/>
              </w:rPr>
              <w:t xml:space="preserve">Model-dependent (e.g. 48×48 for emotion)</w:t>
            </w:r>
          </w:p>
        </w:tc>
        <w:tc>
          <w:tcPr>
            <w:tcW w:type="dxa" w:w="2000"/>
            <w:tcBorders>
              <w:top w:val="single" w:color="CCCCCC" w:sz="1"/>
              <w:left w:val="single" w:color="CCCCCC" w:sz="1"/>
              <w:bottom w:val="single" w:color="CCCCCC" w:sz="1"/>
              <w:right w:val="single" w:color="CCCCCC" w:sz="1"/>
            </w:tcBorders>
            <w:shd w:fill="EBF3FB" w:val="clear"/>
            <w:tcMar>
              <w:top w:type="dxa" w:w="90"/>
              <w:left w:type="dxa" w:w="120"/>
              <w:bottom w:type="dxa" w:w="90"/>
              <w:right w:type="dxa" w:w="120"/>
            </w:tcMar>
          </w:tcPr>
          <w:p>
            <w:r>
              <w:rPr>
                <w:rFonts w:ascii="Arial" w:cs="Arial" w:eastAsia="Arial" w:hAnsi="Arial"/>
                <w:color w:val="1A1A1A"/>
                <w:sz w:val="19"/>
                <w:szCs w:val="19"/>
              </w:rPr>
              <w:t xml:space="preserve">Handles normalization internally per model (base, Facenet, ArcFace options). Pass raw array.</w:t>
            </w:r>
          </w:p>
        </w:tc>
        <w:tc>
          <w:tcPr>
            <w:tcW w:type="dxa" w:w="1280"/>
            <w:tcBorders>
              <w:top w:val="single" w:color="CCCCCC" w:sz="1"/>
              <w:left w:val="single" w:color="CCCCCC" w:sz="1"/>
              <w:bottom w:val="single" w:color="CCCCCC" w:sz="1"/>
              <w:right w:val="single" w:color="CCCCCC" w:sz="1"/>
            </w:tcBorders>
            <w:shd w:fill="EBF3FB" w:val="clear"/>
            <w:tcMar>
              <w:top w:type="dxa" w:w="90"/>
              <w:left w:type="dxa" w:w="120"/>
              <w:bottom w:type="dxa" w:w="90"/>
              <w:right w:type="dxa" w:w="120"/>
            </w:tcMar>
          </w:tcPr>
          <w:p>
            <w:r>
              <w:rPr>
                <w:rFonts w:ascii="Arial" w:cs="Arial" w:eastAsia="Arial" w:hAnsi="Arial"/>
                <w:color w:val="1A1A1A"/>
                <w:sz w:val="19"/>
                <w:szCs w:val="19"/>
              </w:rPr>
              <w:t xml:space="preserve">HWC NumPy</w:t>
            </w:r>
          </w:p>
        </w:tc>
        <w:tc>
          <w:tcPr>
            <w:tcW w:type="dxa" w:w="1600"/>
            <w:tcBorders>
              <w:top w:val="single" w:color="CCCCCC" w:sz="1"/>
              <w:left w:val="single" w:color="CCCCCC" w:sz="1"/>
              <w:bottom w:val="single" w:color="CCCCCC" w:sz="1"/>
              <w:right w:val="single" w:color="CCCCCC" w:sz="1"/>
            </w:tcBorders>
            <w:shd w:fill="EBF3FB" w:val="clear"/>
            <w:tcMar>
              <w:top w:type="dxa" w:w="90"/>
              <w:left w:type="dxa" w:w="120"/>
              <w:bottom w:type="dxa" w:w="90"/>
              <w:right w:type="dxa" w:w="120"/>
            </w:tcMar>
          </w:tcPr>
          <w:p>
            <w:r>
              <w:rPr>
                <w:rFonts w:ascii="Arial" w:cs="Arial" w:eastAsia="Arial" w:hAnsi="Arial"/>
                <w:color w:val="1A1A1A"/>
                <w:sz w:val="19"/>
                <w:szCs w:val="19"/>
              </w:rPr>
              <w:t xml:space="preserve">No</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1A1A1A"/>
                <w:sz w:val="19"/>
                <w:szCs w:val="19"/>
              </w:rPr>
              <w:t xml:space="preserve">Custom PyTorch model (expression, production)</w:t>
            </w:r>
          </w:p>
        </w:tc>
        <w:tc>
          <w:tcPr>
            <w:tcW w:type="dxa" w:w="7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1A1A1A"/>
                <w:sz w:val="19"/>
                <w:szCs w:val="19"/>
              </w:rPr>
              <w:t xml:space="preserve">5</w:t>
            </w:r>
          </w:p>
        </w:tc>
        <w:tc>
          <w:tcPr>
            <w:tcW w:type="dxa" w:w="1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1A1A1A"/>
                <w:sz w:val="19"/>
                <w:szCs w:val="19"/>
              </w:rPr>
              <w:t xml:space="preserve">RGB</w:t>
            </w:r>
          </w:p>
        </w:tc>
        <w:tc>
          <w:tcPr>
            <w:tcW w:type="dxa" w:w="13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1A1A1A"/>
                <w:sz w:val="19"/>
                <w:szCs w:val="19"/>
              </w:rPr>
              <w:t xml:space="preserve">Model-defined (e.g. 224×224)</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1A1A1A"/>
                <w:sz w:val="19"/>
                <w:szCs w:val="19"/>
              </w:rPr>
              <w:t xml:space="preserve">Manual: divide by 255.0 then apply ImageNet mean [0.485, 0.456, 0.406] std [0.229, 0.224, 0.225]</w:t>
            </w:r>
          </w:p>
        </w:tc>
        <w:tc>
          <w:tcPr>
            <w:tcW w:type="dxa" w:w="1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1A1A1A"/>
                <w:sz w:val="19"/>
                <w:szCs w:val="19"/>
              </w:rPr>
              <w:t xml:space="preserve">CHW float32 tensor (PyTorch)</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1A1A1A"/>
                <w:sz w:val="19"/>
                <w:szCs w:val="19"/>
              </w:rPr>
              <w:t xml:space="preserve">Yes — unsqueeze(0) to add batch dim</w:t>
            </w:r>
          </w:p>
        </w:tc>
      </w:tr>
    </w:tbl>
    <w:p>
      <w:pPr>
        <w:spacing w:after="80"/>
      </w:pPr>
      <w:r>
        <w:t xml:space="preserve"/>
      </w:r>
    </w:p>
    <w:p>
      <w:pPr>
        <w:spacing w:after="100"/>
      </w:pPr>
      <w:r>
        <w:rPr>
          <w:rFonts w:ascii="Arial" w:cs="Arial" w:eastAsia="Arial" w:hAnsi="Arial"/>
          <w:b/>
          <w:bCs/>
          <w:color w:val="C55A11"/>
          <w:sz w:val="21"/>
          <w:szCs w:val="21"/>
        </w:rPr>
        <w:t xml:space="preserve">Note: </w:t>
      </w:r>
      <w:r>
        <w:rPr>
          <w:rFonts w:ascii="Arial" w:cs="Arial" w:eastAsia="Arial" w:hAnsi="Arial"/>
          <w:color w:val="C55A11"/>
          <w:sz w:val="21"/>
          <w:szCs w:val="21"/>
        </w:rPr>
        <w:t xml:space="preserve">The most common bug in this pipeline is double-normalization: pre-normalizing the frame in Layer 2 and then passing it to a model that also normalizes internally (YOLOv8, MediaPipe, DeepFace). This produces out-of-distribution inputs and significantly reduces accuracy without raising an error.</w:t>
      </w:r>
    </w:p>
    <w:p>
      <w:pPr>
        <w:spacing w:after="80"/>
      </w:pPr>
      <w:r>
        <w:t xml:space="preserve"/>
      </w:r>
    </w:p>
    <w:p>
      <w:pPr>
        <w:pBdr>
          <w:bottom w:val="single" w:color="CCCCCC" w:sz="4" w:space="1"/>
        </w:pBdr>
      </w:pPr>
      <w:r>
        <w:t xml:space="preserve"/>
      </w:r>
    </w:p>
    <w:p>
      <w:pPr>
        <w:spacing w:after="80"/>
      </w:pPr>
      <w:r>
        <w:t xml:space="preserve"/>
      </w:r>
    </w:p>
    <w:p>
      <w:pPr>
        <w:pStyle w:val="Heading2"/>
      </w:pPr>
      <w:r>
        <w:rPr>
          <w:rFonts w:ascii="Arial" w:cs="Arial" w:eastAsia="Arial" w:hAnsi="Arial"/>
        </w:rPr>
        <w:t xml:space="preserve">6. Output: The Frame Context Object</w:t>
      </w:r>
    </w:p>
    <w:p>
      <w:pPr>
        <w:spacing w:after="100"/>
      </w:pPr>
      <w:r>
        <w:rPr>
          <w:rFonts w:ascii="Arial" w:cs="Arial" w:eastAsia="Arial" w:hAnsi="Arial"/>
          <w:b w:val="false"/>
          <w:bCs w:val="false"/>
          <w:i w:val="false"/>
          <w:iCs w:val="false"/>
          <w:color w:val="1A1A1A"/>
          <w:sz w:val="22"/>
          <w:szCs w:val="22"/>
        </w:rPr>
        <w:t xml:space="preserve">The output of this layer is not just a preprocessed array. In a production pipeline, you wrap the preprocessed tensor alongside metadata into a </w:t>
      </w:r>
      <w:r>
        <w:rPr>
          <w:rFonts w:ascii="Arial" w:cs="Arial" w:eastAsia="Arial" w:hAnsi="Arial"/>
          <w:b/>
          <w:bCs/>
          <w:i w:val="false"/>
          <w:iCs w:val="false"/>
          <w:color w:val="1A1A1A"/>
          <w:sz w:val="22"/>
          <w:szCs w:val="22"/>
        </w:rPr>
        <w:t xml:space="preserve">Frame Context Object.</w:t>
      </w:r>
      <w:r>
        <w:rPr>
          <w:rFonts w:ascii="Arial" w:cs="Arial" w:eastAsia="Arial" w:hAnsi="Arial"/>
          <w:b w:val="false"/>
          <w:bCs w:val="false"/>
          <w:i w:val="false"/>
          <w:iCs w:val="false"/>
          <w:color w:val="1A1A1A"/>
          <w:sz w:val="22"/>
          <w:szCs w:val="22"/>
        </w:rPr>
        <w:t xml:space="preserve"> This is a Python dataclass or dict that travels through all downstream layers together.</w:t>
      </w:r>
    </w:p>
    <w:p>
      <w:pPr>
        <w:spacing w:after="80"/>
      </w:pPr>
      <w:r>
        <w:t xml:space="preserve"/>
      </w:r>
    </w:p>
    <w:p>
      <w:pPr>
        <w:spacing w:after="100"/>
      </w:pPr>
      <w:r>
        <w:rPr>
          <w:rFonts w:ascii="Arial" w:cs="Arial" w:eastAsia="Arial" w:hAnsi="Arial"/>
          <w:b w:val="false"/>
          <w:bCs w:val="false"/>
          <w:i w:val="false"/>
          <w:iCs w:val="false"/>
          <w:color w:val="1A1A1A"/>
          <w:sz w:val="22"/>
          <w:szCs w:val="22"/>
        </w:rPr>
        <w:t xml:space="preserve">The Frame Context Object contains:</w:t>
      </w:r>
    </w:p>
    <w:p>
      <w:pPr>
        <w:pStyle w:val="ListParagraph"/>
        <w:numPr>
          <w:ilvl w:val="0"/>
          <w:numId w:val="2"/>
        </w:numPr>
        <w:spacing w:after="80"/>
      </w:pPr>
      <w:r>
        <w:rPr>
          <w:rFonts w:ascii="Arial" w:cs="Arial" w:eastAsia="Arial" w:hAnsi="Arial"/>
          <w:color w:val="1A1A1A"/>
          <w:sz w:val="21"/>
          <w:szCs w:val="21"/>
        </w:rPr>
        <w:t xml:space="preserve">preprocessed_frame — the NumPy array or PyTorch tensor ready for the next model</w:t>
      </w:r>
    </w:p>
    <w:p>
      <w:pPr>
        <w:pStyle w:val="ListParagraph"/>
        <w:numPr>
          <w:ilvl w:val="0"/>
          <w:numId w:val="2"/>
        </w:numPr>
        <w:spacing w:after="80"/>
      </w:pPr>
      <w:r>
        <w:rPr>
          <w:rFonts w:ascii="Arial" w:cs="Arial" w:eastAsia="Arial" w:hAnsi="Arial"/>
          <w:color w:val="1A1A1A"/>
          <w:sz w:val="21"/>
          <w:szCs w:val="21"/>
        </w:rPr>
        <w:t xml:space="preserve">original_frame — the raw BGR frame from ingestion, preserved for final visualization and overlay</w:t>
      </w:r>
    </w:p>
    <w:p>
      <w:pPr>
        <w:pStyle w:val="ListParagraph"/>
        <w:numPr>
          <w:ilvl w:val="0"/>
          <w:numId w:val="2"/>
        </w:numPr>
        <w:spacing w:after="80"/>
      </w:pPr>
      <w:r>
        <w:rPr>
          <w:rFonts w:ascii="Arial" w:cs="Arial" w:eastAsia="Arial" w:hAnsi="Arial"/>
          <w:color w:val="1A1A1A"/>
          <w:sz w:val="21"/>
          <w:szCs w:val="21"/>
        </w:rPr>
        <w:t xml:space="preserve">original_shape — tuple of (H, W) of the original frame before resize</w:t>
      </w:r>
    </w:p>
    <w:p>
      <w:pPr>
        <w:pStyle w:val="ListParagraph"/>
        <w:numPr>
          <w:ilvl w:val="0"/>
          <w:numId w:val="2"/>
        </w:numPr>
        <w:spacing w:after="80"/>
      </w:pPr>
      <w:r>
        <w:rPr>
          <w:rFonts w:ascii="Arial" w:cs="Arial" w:eastAsia="Arial" w:hAnsi="Arial"/>
          <w:color w:val="1A1A1A"/>
          <w:sz w:val="21"/>
          <w:szCs w:val="21"/>
        </w:rPr>
        <w:t xml:space="preserve">resized_shape — tuple of (H_model, W_model) that was fed into the model</w:t>
      </w:r>
    </w:p>
    <w:p>
      <w:pPr>
        <w:pStyle w:val="ListParagraph"/>
        <w:numPr>
          <w:ilvl w:val="0"/>
          <w:numId w:val="2"/>
        </w:numPr>
        <w:spacing w:after="80"/>
      </w:pPr>
      <w:r>
        <w:rPr>
          <w:rFonts w:ascii="Arial" w:cs="Arial" w:eastAsia="Arial" w:hAnsi="Arial"/>
          <w:color w:val="1A1A1A"/>
          <w:sz w:val="21"/>
          <w:szCs w:val="21"/>
        </w:rPr>
        <w:t xml:space="preserve">camera_id — identifier for which camera this frame came from</w:t>
      </w:r>
    </w:p>
    <w:p>
      <w:pPr>
        <w:pStyle w:val="ListParagraph"/>
        <w:numPr>
          <w:ilvl w:val="0"/>
          <w:numId w:val="2"/>
        </w:numPr>
        <w:spacing w:after="80"/>
      </w:pPr>
      <w:r>
        <w:rPr>
          <w:rFonts w:ascii="Arial" w:cs="Arial" w:eastAsia="Arial" w:hAnsi="Arial"/>
          <w:color w:val="1A1A1A"/>
          <w:sz w:val="21"/>
          <w:szCs w:val="21"/>
        </w:rPr>
        <w:t xml:space="preserve">timestamp — Unix timestamp of when the frame was captured</w:t>
      </w:r>
    </w:p>
    <w:p>
      <w:pPr>
        <w:pStyle w:val="ListParagraph"/>
        <w:numPr>
          <w:ilvl w:val="0"/>
          <w:numId w:val="2"/>
        </w:numPr>
        <w:spacing w:after="80"/>
      </w:pPr>
      <w:r>
        <w:rPr>
          <w:rFonts w:ascii="Arial" w:cs="Arial" w:eastAsia="Arial" w:hAnsi="Arial"/>
          <w:color w:val="1A1A1A"/>
          <w:sz w:val="21"/>
          <w:szCs w:val="21"/>
        </w:rPr>
        <w:t xml:space="preserve">frame_seq — monotonically increasing frame sequence number for ordering and gap detection</w:t>
      </w:r>
    </w:p>
    <w:p>
      <w:pPr>
        <w:spacing w:after="80"/>
      </w:pPr>
      <w:r>
        <w:t xml:space="preserve"/>
      </w:r>
    </w:p>
    <w:p>
      <w:pPr>
        <w:spacing w:after="100"/>
      </w:pPr>
      <w:r>
        <w:rPr>
          <w:rFonts w:ascii="Arial" w:cs="Arial" w:eastAsia="Arial" w:hAnsi="Arial"/>
          <w:b/>
          <w:bCs/>
          <w:i w:val="false"/>
          <w:iCs w:val="false"/>
          <w:color w:val="1A1A1A"/>
          <w:sz w:val="22"/>
          <w:szCs w:val="22"/>
        </w:rPr>
        <w:t xml:space="preserve">Why original_shape is critical: </w:t>
      </w:r>
      <w:r>
        <w:rPr>
          <w:rFonts w:ascii="Arial" w:cs="Arial" w:eastAsia="Arial" w:hAnsi="Arial"/>
          <w:b w:val="false"/>
          <w:bCs w:val="false"/>
          <w:i w:val="false"/>
          <w:iCs w:val="false"/>
          <w:color w:val="1A1A1A"/>
          <w:sz w:val="22"/>
          <w:szCs w:val="22"/>
        </w:rPr>
        <w:t xml:space="preserve">when YOLOv8 or MediaPipe returns bounding box coordinates, those coordinates are in the resized space (e.g. 640×640). To draw the bounding box on the original 1080p frame, or to store pixel-accurate coordinates in your database, you must scale those coordinates back using the ratio of original_shape to resized_shape. Without this metadata traveling alongside the frame, you cannot correctly place the box.</w:t>
      </w:r>
    </w:p>
    <w:p>
      <w:pPr>
        <w:spacing w:after="80"/>
      </w:pPr>
      <w:r>
        <w:t xml:space="preserve"/>
      </w:r>
    </w:p>
    <w:p>
      <w:pPr>
        <w:pBdr>
          <w:bottom w:val="single" w:color="CCCCCC" w:sz="4" w:space="1"/>
        </w:pBdr>
      </w:pPr>
      <w:r>
        <w:t xml:space="preserve"/>
      </w:r>
    </w:p>
    <w:p>
      <w:pPr>
        <w:spacing w:after="80"/>
      </w:pPr>
      <w:r>
        <w:t xml:space="preserve"/>
      </w:r>
    </w:p>
    <w:p>
      <w:pPr>
        <w:pStyle w:val="Heading2"/>
      </w:pPr>
      <w:r>
        <w:rPr>
          <w:rFonts w:ascii="Arial" w:cs="Arial" w:eastAsia="Arial" w:hAnsi="Arial"/>
        </w:rPr>
        <w:t xml:space="preserve">7. Exact Output</w:t>
      </w:r>
    </w:p>
    <w:p>
      <w:pPr>
        <w:spacing w:after="100"/>
      </w:pPr>
      <w:r>
        <w:rPr>
          <w:rFonts w:ascii="Arial" w:cs="Arial" w:eastAsia="Arial" w:hAnsi="Arial"/>
          <w:b w:val="false"/>
          <w:bCs w:val="false"/>
          <w:i w:val="false"/>
          <w:iCs w:val="false"/>
          <w:color w:val="1A1A1A"/>
          <w:sz w:val="22"/>
          <w:szCs w:val="22"/>
        </w:rPr>
        <w:t xml:space="preserve">A Frame Context Object containing a preprocessed tensor with these properties (values differ by downstream model — see Table 2):</w:t>
      </w:r>
    </w:p>
    <w:p>
      <w:pPr>
        <w:spacing w:after="80"/>
      </w:pPr>
      <w:r>
        <w:t xml:space="preserve"/>
      </w:r>
    </w:p>
    <w:p>
      <w:pPr>
        <w:pStyle w:val="ListParagraph"/>
        <w:numPr>
          <w:ilvl w:val="0"/>
          <w:numId w:val="2"/>
        </w:numPr>
        <w:spacing w:after="80"/>
      </w:pPr>
      <w:r>
        <w:rPr>
          <w:rFonts w:ascii="Arial" w:cs="Arial" w:eastAsia="Arial" w:hAnsi="Arial"/>
          <w:color w:val="1A1A1A"/>
          <w:sz w:val="21"/>
          <w:szCs w:val="21"/>
        </w:rPr>
        <w:t xml:space="preserve">Shape (PyTorch path): (1, 3, H_model, W_model)  —  batch × channels × height × width</w:t>
      </w:r>
    </w:p>
    <w:p>
      <w:pPr>
        <w:pStyle w:val="ListParagraph"/>
        <w:numPr>
          <w:ilvl w:val="0"/>
          <w:numId w:val="2"/>
        </w:numPr>
        <w:spacing w:after="80"/>
      </w:pPr>
      <w:r>
        <w:rPr>
          <w:rFonts w:ascii="Arial" w:cs="Arial" w:eastAsia="Arial" w:hAnsi="Arial"/>
          <w:color w:val="1A1A1A"/>
          <w:sz w:val="21"/>
          <w:szCs w:val="21"/>
        </w:rPr>
        <w:t xml:space="preserve">Shape (TF / MediaPipe / DeepFace path): (1, H_model, W_model, 3)  —  batch × height × width × channels</w:t>
      </w:r>
    </w:p>
    <w:p>
      <w:pPr>
        <w:pStyle w:val="ListParagraph"/>
        <w:numPr>
          <w:ilvl w:val="0"/>
          <w:numId w:val="2"/>
        </w:numPr>
        <w:spacing w:after="80"/>
      </w:pPr>
      <w:r>
        <w:rPr>
          <w:rFonts w:ascii="Arial" w:cs="Arial" w:eastAsia="Arial" w:hAnsi="Arial"/>
          <w:color w:val="1A1A1A"/>
          <w:sz w:val="21"/>
          <w:szCs w:val="21"/>
        </w:rPr>
        <w:t xml:space="preserve">Shape (InsightFace path): (H_model, W_model, 3) uint8 BGR  —  no batch dim, no normalization, no channel swap</w:t>
      </w:r>
    </w:p>
    <w:p>
      <w:pPr>
        <w:pStyle w:val="ListParagraph"/>
        <w:numPr>
          <w:ilvl w:val="0"/>
          <w:numId w:val="2"/>
        </w:numPr>
        <w:spacing w:after="80"/>
      </w:pPr>
      <w:r>
        <w:rPr>
          <w:rFonts w:ascii="Arial" w:cs="Arial" w:eastAsia="Arial" w:hAnsi="Arial"/>
          <w:color w:val="1A1A1A"/>
          <w:sz w:val="21"/>
          <w:szCs w:val="21"/>
        </w:rPr>
        <w:t xml:space="preserve">dtype: float32  (except InsightFace which takes uint8)</w:t>
      </w:r>
    </w:p>
    <w:p>
      <w:pPr>
        <w:pStyle w:val="ListParagraph"/>
        <w:numPr>
          <w:ilvl w:val="0"/>
          <w:numId w:val="2"/>
        </w:numPr>
        <w:spacing w:after="80"/>
      </w:pPr>
      <w:r>
        <w:rPr>
          <w:rFonts w:ascii="Arial" w:cs="Arial" w:eastAsia="Arial" w:hAnsi="Arial"/>
          <w:color w:val="1A1A1A"/>
          <w:sz w:val="21"/>
          <w:szCs w:val="21"/>
        </w:rPr>
        <w:t xml:space="preserve">Value range: 0.0–1.0 for most models; ~-2.0 to ~2.0 for ImageNet mean/std normalized models</w:t>
      </w:r>
    </w:p>
    <w:p>
      <w:pPr>
        <w:pStyle w:val="ListParagraph"/>
        <w:numPr>
          <w:ilvl w:val="0"/>
          <w:numId w:val="2"/>
        </w:numPr>
        <w:spacing w:after="80"/>
      </w:pPr>
      <w:r>
        <w:rPr>
          <w:rFonts w:ascii="Arial" w:cs="Arial" w:eastAsia="Arial" w:hAnsi="Arial"/>
          <w:color w:val="1A1A1A"/>
          <w:sz w:val="21"/>
          <w:szCs w:val="21"/>
        </w:rPr>
        <w:t xml:space="preserve">Accompanied by: original_frame, original_shape, resized_shape, camera_id, timestamp, frame_seq</w:t>
      </w:r>
    </w:p>
    <w:p>
      <w:pPr>
        <w:spacing w:after="80"/>
      </w:pPr>
      <w:r>
        <w:t xml:space="preserve"/>
      </w:r>
    </w:p>
    <w:p>
      <w:pPr>
        <w:spacing w:after="100"/>
      </w:pPr>
      <w:r>
        <w:rPr>
          <w:rFonts w:ascii="Arial" w:cs="Arial" w:eastAsia="Arial" w:hAnsi="Arial"/>
          <w:b w:val="false"/>
          <w:bCs w:val="false"/>
          <w:i w:val="false"/>
          <w:iCs w:val="false"/>
          <w:color w:val="1A1A1A"/>
          <w:sz w:val="22"/>
          <w:szCs w:val="22"/>
        </w:rPr>
        <w:t xml:space="preserve">This object is passed to Layer 3 (Detection). The detection model reads the preprocessed_frame field, runs inference, and adds bounding box coordinates and confidence scores back into the context object. All subsequent layers (Identity, Expression, Analytics) receive the same object with progressively more fields populated.</w:t>
      </w:r>
    </w:p>
    <w:p>
      <w:pPr>
        <w:spacing w:after="80"/>
      </w:pPr>
      <w:r>
        <w:t xml:space="preserve"/>
      </w:r>
    </w:p>
    <w:p>
      <w:pPr>
        <w:pBdr>
          <w:bottom w:val="single" w:color="CCCCCC" w:sz="4" w:space="1"/>
        </w:pBdr>
      </w:pPr>
      <w:r>
        <w:t xml:space="preserve"/>
      </w:r>
    </w:p>
    <w:p>
      <w:pPr>
        <w:spacing w:after="80"/>
      </w:pPr>
      <w:r>
        <w:t xml:space="preserve"/>
      </w:r>
    </w:p>
    <w:p>
      <w:pPr>
        <w:pStyle w:val="Heading2"/>
      </w:pPr>
      <w:r>
        <w:rPr>
          <w:rFonts w:ascii="Arial" w:cs="Arial" w:eastAsia="Arial" w:hAnsi="Arial"/>
        </w:rPr>
        <w:t xml:space="preserve">8. What Does NOT Happen in This Layer</w:t>
      </w:r>
    </w:p>
    <w:p>
      <w:pPr>
        <w:spacing w:after="100"/>
      </w:pPr>
      <w:r>
        <w:rPr>
          <w:rFonts w:ascii="Arial" w:cs="Arial" w:eastAsia="Arial" w:hAnsi="Arial"/>
          <w:b w:val="false"/>
          <w:bCs w:val="false"/>
          <w:i w:val="false"/>
          <w:iCs w:val="false"/>
          <w:color w:val="1A1A1A"/>
          <w:sz w:val="22"/>
          <w:szCs w:val="22"/>
        </w:rPr>
        <w:t xml:space="preserve">Common mistakes to avoid:</w:t>
      </w:r>
    </w:p>
    <w:p>
      <w:pPr>
        <w:pStyle w:val="ListParagraph"/>
        <w:numPr>
          <w:ilvl w:val="0"/>
          <w:numId w:val="2"/>
        </w:numPr>
        <w:spacing w:after="80"/>
      </w:pPr>
      <w:r>
        <w:rPr>
          <w:rFonts w:ascii="Arial" w:cs="Arial" w:eastAsia="Arial" w:hAnsi="Arial"/>
          <w:color w:val="1A1A1A"/>
          <w:sz w:val="21"/>
          <w:szCs w:val="21"/>
        </w:rPr>
        <w:t xml:space="preserve">No face detection — faces are not yet located at this stage; Layer 3 does that</w:t>
      </w:r>
    </w:p>
    <w:p>
      <w:pPr>
        <w:pStyle w:val="ListParagraph"/>
        <w:numPr>
          <w:ilvl w:val="0"/>
          <w:numId w:val="2"/>
        </w:numPr>
        <w:spacing w:after="80"/>
      </w:pPr>
      <w:r>
        <w:rPr>
          <w:rFonts w:ascii="Arial" w:cs="Arial" w:eastAsia="Arial" w:hAnsi="Arial"/>
          <w:color w:val="1A1A1A"/>
          <w:sz w:val="21"/>
          <w:szCs w:val="21"/>
        </w:rPr>
        <w:t xml:space="preserve">No face cropping — cropping happens after Layer 3 returns bounding boxes, not before</w:t>
      </w:r>
    </w:p>
    <w:p>
      <w:pPr>
        <w:pStyle w:val="ListParagraph"/>
        <w:numPr>
          <w:ilvl w:val="0"/>
          <w:numId w:val="2"/>
        </w:numPr>
        <w:spacing w:after="80"/>
      </w:pPr>
      <w:r>
        <w:rPr>
          <w:rFonts w:ascii="Arial" w:cs="Arial" w:eastAsia="Arial" w:hAnsi="Arial"/>
          <w:color w:val="1A1A1A"/>
          <w:sz w:val="21"/>
          <w:szCs w:val="21"/>
        </w:rPr>
        <w:t xml:space="preserve">No face alignment — alignment (rotating faces to canonical upright position) is done post-detection</w:t>
      </w:r>
    </w:p>
    <w:p>
      <w:pPr>
        <w:pStyle w:val="ListParagraph"/>
        <w:numPr>
          <w:ilvl w:val="0"/>
          <w:numId w:val="2"/>
        </w:numPr>
        <w:spacing w:after="80"/>
      </w:pPr>
      <w:r>
        <w:rPr>
          <w:rFonts w:ascii="Arial" w:cs="Arial" w:eastAsia="Arial" w:hAnsi="Arial"/>
          <w:color w:val="1A1A1A"/>
          <w:sz w:val="21"/>
          <w:szCs w:val="21"/>
        </w:rPr>
        <w:t xml:space="preserve">No identity matching — that is Layer 4</w:t>
      </w:r>
    </w:p>
    <w:p>
      <w:pPr>
        <w:pStyle w:val="ListParagraph"/>
        <w:numPr>
          <w:ilvl w:val="0"/>
          <w:numId w:val="2"/>
        </w:numPr>
        <w:spacing w:after="80"/>
      </w:pPr>
      <w:r>
        <w:rPr>
          <w:rFonts w:ascii="Arial" w:cs="Arial" w:eastAsia="Arial" w:hAnsi="Arial"/>
          <w:color w:val="1A1A1A"/>
          <w:sz w:val="21"/>
          <w:szCs w:val="21"/>
        </w:rPr>
        <w:t xml:space="preserve">No expression inference — that is Layer 5</w:t>
      </w:r>
    </w:p>
    <w:p>
      <w:pPr>
        <w:pStyle w:val="ListParagraph"/>
        <w:numPr>
          <w:ilvl w:val="0"/>
          <w:numId w:val="2"/>
        </w:numPr>
        <w:spacing w:after="80"/>
      </w:pPr>
      <w:r>
        <w:rPr>
          <w:rFonts w:ascii="Arial" w:cs="Arial" w:eastAsia="Arial" w:hAnsi="Arial"/>
          <w:color w:val="1A1A1A"/>
          <w:sz w:val="21"/>
          <w:szCs w:val="21"/>
        </w:rPr>
        <w:t xml:space="preserve">No augmentation during inference — Albumentations is only used at training time; it must not run in the live pipeline hot path</w:t>
      </w:r>
    </w:p>
    <w:p>
      <w:pPr>
        <w:spacing w:after="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2026-06-25T08:38:28.314Z</dcterms:created>
  <dcterms:modified xsi:type="dcterms:W3CDTF">2026-06-25T08:38:28.327Z</dcterms:modified>
</cp:coreProperties>
</file>

<file path=docProps/custom.xml><?xml version="1.0" encoding="utf-8"?>
<Properties xmlns="http://schemas.openxmlformats.org/officeDocument/2006/custom-properties" xmlns:vt="http://schemas.openxmlformats.org/officeDocument/2006/docPropsVTypes"/>
</file>