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Jordan Reyes</w:t>
      </w:r>
    </w:p>
    <w:p>
      <w:r>
        <w:t>HIST 115 - The Modern World</w:t>
      </w:r>
    </w:p>
    <w:p>
      <w:r>
        <w:t>Prof. Abernathy</w:t>
      </w:r>
    </w:p>
    <w:p>
      <w:r>
        <w:t>Response Paper #3</w:t>
      </w:r>
    </w:p>
    <w:p/>
    <w:p>
      <w:r>
        <w:t>Small Hands, Big Machines: Child Workers in the Lancashire Cotton Mills</w:t>
      </w:r>
    </w:p>
    <w:p/>
    <w:p>
      <w:r>
        <w:t>By 1833, children under the age of fourteen made up close to a fifth of the workforce in the cotton factories around Manchester. They were valued precisely because they were small: a nine-year-old could crawl beneath a moving spinning mule to gather loose cotton or tie a broken thread without the machine being stopped. Factory owners argued that this work was light and that families depended on the wages. Testimony gathered by the Sadler Committee in 1832 tells a different story.</w:t>
      </w:r>
    </w:p>
    <w:p/>
    <w:p>
      <w:r>
        <w:t>Witnesses described shifts that began at five or six in the morning and ran until eight or nine at night, with a single break for a meal eaten standing. Overlookers carried leather straps to keep drowsy children awake. Elizabeth Bentley, who started at the mill at age six, told the committee that she had become deformed from years of bending over the frames. Many children suffered from lung disease caused by cotton dust, and injuries from unguarded machinery were common.</w:t>
      </w:r>
    </w:p>
    <w:p/>
    <w:p>
      <w:r>
        <w:t>The response from Parliament was slow and partial. The Factory Act of 1833 banned employment of children under nine in textile mills, limited those aged nine to thirteen to nine hours a day, and, crucially, created paid inspectors to enforce the rules. Only four inspectors were appointed for the whole country, so enforcement was patchy, but the principle that the state could regulate working conditions was established.</w:t>
      </w:r>
    </w:p>
    <w:p/>
    <w:p>
      <w:r>
        <w:t>It is worth asking why reform came at all. Part of the answer is moral pressure from evangelicals like Richard Oastler, who compared mill conditions to the slavery that Britain had just abolished. Part of it was workers' own organizing through the Ten Hours Movement. And part was economic: as machines improved, the specific advantage of tiny workers declined.</w:t>
      </w:r>
    </w:p>
    <w:p/>
    <w:p>
      <w:r>
        <w:t>The mills of Lancashire built enormous wealth, but that wealth was partly extracted from the bodies of children. The slow legislative response shows how hard it is to reform a system that is profitable for those in power.</w:t>
      </w:r>
    </w:p>
    <w:p/>
    <w:p>
      <w:r>
        <w:t>Works Cited</w:t>
      </w:r>
    </w:p>
    <w:p>
      <w:r>
        <w:t>Report of the Select Committee on the Factories Bill (Sadler Report), 1832.</w:t>
      </w:r>
    </w:p>
    <w:p>
      <w:r>
        <w:t>Humphries, Jane. Childhood and Child Labour in the British Industrial Revolution. Cambridge UP, 2010.</w:t>
      </w:r>
    </w:p>
    <w:p>
      <w:r>
        <w:t>Thompson, E. P. The Making of the English Working Class. 1963.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