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83F60"/>
          <w:sz w:val="48"/>
        </w:rPr>
        <w:t>AquaTrace | Counterfactual Testing Build Pack</w:t>
      </w:r>
    </w:p>
    <w:p>
      <w:pPr>
        <w:jc w:val="center"/>
      </w:pPr>
      <w:r>
        <w:rPr>
          <w:i/>
          <w:color w:val="5A646E"/>
          <w:sz w:val="20"/>
        </w:rPr>
        <w:t>Focused real-data engine + judge-facing UI blueprint for Antigravity</w:t>
      </w:r>
    </w:p>
    <w:p>
      <w:pPr>
        <w:pStyle w:val="Heading1"/>
      </w:pPr>
      <w:r>
        <w:t>Executive Direction</w:t>
      </w:r>
    </w:p>
    <w:p>
      <w:r>
        <w:t>Rebuild the counterfactual workspace as a focused scientific workstation, not a general 12-stage dashboard. The judge should understand one flow: candidate vessel → plausible release → real forcing → particle transport → observed-vs-predicted comparison → uncertainty → verdict. The repository inspiration is useful as a reference for operations-console density, but AquaTrace should be cleaner, more geographically legible, and more explicit about what is observed, derived, and simulated.</w:t>
      </w:r>
    </w:p>
    <w:p>
      <w:pPr>
        <w:pStyle w:val="Heading1"/>
      </w:pPr>
      <w:r>
        <w:t>What We Already Have</w:t>
      </w:r>
    </w:p>
    <w:p>
      <w:r>
        <w:t>The current AquaTrace counterfactual implementation is already a dynamic mathematical execution: the backend exposes POST /api/simulation/counterfactual, the engine performs candidate-specific Lagrangian particle advection, and the UI surfaces computed spatial/directional metrics. The current Case 0004 German Bight view is a prototype baseline and must not be presented as a validated real-world attribution result.</w:t>
      </w:r>
    </w:p>
    <w:p>
      <w:pPr>
        <w:pStyle w:val="Heading1"/>
      </w:pPr>
      <w:r>
        <w:t>Target End State</w:t>
      </w:r>
    </w:p>
    <w:p>
      <w:r>
        <w:t>A judge selects a vessel, sees its feasible release segment, clicks RUN, watches actual backend progress, watches the returned particle plume evolve, compares it with the observed SAR slick, opens uncertainty and assumptions, and understands why the candidate is Supported, Weak, or Inconclusive.</w:t>
      </w:r>
    </w:p>
    <w:p>
      <w:pPr>
        <w:pStyle w:val="Heading1"/>
      </w:pPr>
      <w:r>
        <w:t>Real Data Stack</w:t>
      </w:r>
    </w:p>
    <w:p>
      <w:pPr>
        <w:pStyle w:val="ListBullet"/>
        <w:spacing w:after="60"/>
      </w:pPr>
      <w:r>
        <w:t>Sentinel-1 GRD via Copernicus Data Space STAC for real EO observation.</w:t>
      </w:r>
    </w:p>
    <w:p>
      <w:pPr>
        <w:pStyle w:val="ListBullet"/>
        <w:spacing w:after="60"/>
      </w:pPr>
      <w:r>
        <w:t>ERA5 hourly 10 m u/v wind for atmospheric forcing.</w:t>
      </w:r>
    </w:p>
    <w:p>
      <w:pPr>
        <w:pStyle w:val="ListBullet"/>
        <w:spacing w:after="60"/>
      </w:pPr>
      <w:r>
        <w:t>Copernicus Marine hourly surface currents for recent cases within its temporal coverage.</w:t>
      </w:r>
    </w:p>
    <w:p>
      <w:pPr>
        <w:pStyle w:val="ListBullet"/>
        <w:spacing w:after="60"/>
      </w:pPr>
      <w:r>
        <w:t>HYCOM/NCODA historical surface currents for 2017 benchmark cases such as Ennore.</w:t>
      </w:r>
    </w:p>
    <w:p>
      <w:pPr>
        <w:pStyle w:val="ListBullet"/>
        <w:spacing w:after="60"/>
      </w:pPr>
      <w:r>
        <w:t>Authorized historical AIS source for candidate vessel tracks.</w:t>
      </w:r>
    </w:p>
    <w:p>
      <w:pPr>
        <w:pStyle w:val="ListBullet"/>
        <w:spacing w:after="60"/>
      </w:pPr>
      <w:r>
        <w:t>NOAA ADIOS oil database for oil-property priors where the oil type is known.</w:t>
      </w:r>
    </w:p>
    <w:p>
      <w:pPr>
        <w:pStyle w:val="ListBullet"/>
        <w:spacing w:after="60"/>
      </w:pPr>
      <w:r>
        <w:t>Open coastline/bathymetry as land boundary constraints.</w:t>
      </w:r>
    </w:p>
    <w:p>
      <w:pPr>
        <w:pStyle w:val="ListBullet"/>
        <w:spacing w:after="60"/>
      </w:pPr>
      <w:r>
        <w:t>NISAR L/S SAR as a research enhancement, not a mandatory counterfactual dependency.</w:t>
      </w:r>
    </w:p>
    <w:p>
      <w:pPr>
        <w:pStyle w:val="Heading1"/>
      </w:pPr>
      <w:r>
        <w:t>Why the Scientific Design Is Defensible</w:t>
      </w:r>
    </w:p>
    <w:p>
      <w:r>
        <w:t>Prior literature already uses SAR, AIS and forward/backward Lagrangian drift for vessel/source tracing, so the project should not claim the physics itself is novel. The technical aim is a reproducible candidate-conditioned implementation with real observations, real forcing, uncertainty, comparative hypotheses and an auditable evidence chain.</w:t>
      </w:r>
    </w:p>
    <w:p>
      <w:pPr>
        <w:pStyle w:val="Heading1"/>
      </w:pPr>
      <w:r>
        <w:t>Research Benchmark</w:t>
      </w:r>
    </w:p>
    <w:p>
      <w:r>
        <w:t>Start with Ennore 2017 because it has documented source information, Sentinel-1A observation and published trajectory modelling. The published literature also reports that forecast-current forcing underestimated observed spread, which is useful for explicitly testing model sensitivity instead of hiding forcing uncertainty.</w:t>
      </w:r>
    </w:p>
    <w:p>
      <w:pPr>
        <w:pStyle w:val="Heading1"/>
      </w:pPr>
      <w:r>
        <w:t>Core Metrics</w:t>
      </w:r>
    </w:p>
    <w:p>
      <w:r>
        <w:t>IoU, Dice, centroid offset, normalized centroid error, axis orientation delta, Hausdorff/Chamfer distance, temporal error, ensemble coverage and null separation. A raw overlap score is only informative when compared with plausible decoys and calibrated on held-out cases.</w:t>
      </w:r>
    </w:p>
    <w:p>
      <w:pPr>
        <w:pStyle w:val="Heading1"/>
      </w:pPr>
      <w:r>
        <w:t>UI Blueprint</w:t>
      </w:r>
    </w:p>
    <w:p>
      <w:pPr>
        <w:pStyle w:val="ListBullet"/>
        <w:spacing w:after="60"/>
      </w:pPr>
      <w:r>
        <w:t>65–75% map / 25–35% inspector.</w:t>
      </w:r>
    </w:p>
    <w:p>
      <w:pPr>
        <w:pStyle w:val="ListBullet"/>
        <w:spacing w:after="60"/>
      </w:pPr>
      <w:r>
        <w:t>Bottom time scrubber.</w:t>
      </w:r>
    </w:p>
    <w:p>
      <w:pPr>
        <w:pStyle w:val="ListBullet"/>
        <w:spacing w:after="60"/>
      </w:pPr>
      <w:r>
        <w:t>Observed slick, candidate track, release segment, predicted plume and uncertainty envelope all on one map.</w:t>
      </w:r>
    </w:p>
    <w:p>
      <w:pPr>
        <w:pStyle w:val="ListBullet"/>
        <w:spacing w:after="60"/>
      </w:pPr>
      <w:r>
        <w:t>Compare wipe instead of stacking opaque colors.</w:t>
      </w:r>
    </w:p>
    <w:p>
      <w:pPr>
        <w:pStyle w:val="ListBullet"/>
        <w:spacing w:after="60"/>
      </w:pPr>
      <w:r>
        <w:t>Assumption drawer with forcing source, particle count, timestep, windage, diffusion and data age.</w:t>
      </w:r>
    </w:p>
    <w:p>
      <w:pPr>
        <w:pStyle w:val="ListBullet"/>
        <w:spacing w:after="60"/>
      </w:pPr>
      <w:r>
        <w:t>Motion for UI transitions; MapLibre/deck.gl for scientific geometry.</w:t>
      </w:r>
    </w:p>
    <w:p>
      <w:pPr>
        <w:pStyle w:val="ListBullet"/>
        <w:spacing w:after="60"/>
      </w:pPr>
      <w:r>
        <w:t>Light mode optimized for readability, dark mode as secondary.</w:t>
      </w:r>
    </w:p>
    <w:p>
      <w:pPr>
        <w:pStyle w:val="ListBullet"/>
        <w:spacing w:after="60"/>
      </w:pPr>
      <w:r>
        <w:t>No decorative tracks/particles; all geometry must have provenance.</w:t>
      </w:r>
    </w:p>
    <w:p>
      <w:pPr>
        <w:pStyle w:val="Heading1"/>
      </w:pPr>
      <w:r>
        <w:t>Hard Red Lines</w:t>
      </w:r>
    </w:p>
    <w:p>
      <w:pPr>
        <w:pStyle w:val="ListBullet"/>
        <w:spacing w:after="60"/>
      </w:pPr>
      <w:r>
        <w:t>Do not hardcode metrics.</w:t>
      </w:r>
    </w:p>
    <w:p>
      <w:pPr>
        <w:pStyle w:val="ListBullet"/>
        <w:spacing w:after="60"/>
      </w:pPr>
      <w:r>
        <w:t>Do not silently fall back from real forcing to synthetic forcing.</w:t>
      </w:r>
    </w:p>
    <w:p>
      <w:pPr>
        <w:pStyle w:val="ListBullet"/>
        <w:spacing w:after="60"/>
      </w:pPr>
      <w:r>
        <w:t>Do not manually nudge geometry.</w:t>
      </w:r>
    </w:p>
    <w:p>
      <w:pPr>
        <w:pStyle w:val="ListBullet"/>
        <w:spacing w:after="60"/>
      </w:pPr>
      <w:r>
        <w:t>Do not call Supported equivalent to causation or guilt.</w:t>
      </w:r>
    </w:p>
    <w:p>
      <w:pPr>
        <w:pStyle w:val="ListBullet"/>
        <w:spacing w:after="60"/>
      </w:pPr>
      <w:r>
        <w:t>Do not optimize parameters per candidate after observing the result.</w:t>
      </w:r>
    </w:p>
    <w:p>
      <w:pPr>
        <w:pStyle w:val="ListBullet"/>
        <w:spacing w:after="60"/>
      </w:pPr>
      <w:r>
        <w:t>Do not claim counterfactual testing is globally unprecedented.</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83F6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