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Supermarket Sales Executive Decision Report</w:t>
      </w:r>
    </w:p>
    <w:p>
      <w:pPr>
        <w:jc w:val="center"/>
      </w:pPr>
      <w:r>
        <w:rPr>
          <w:i/>
        </w:rPr>
        <w:t>Author: Parth More | IBM SkillsBuild Data Analytics with AI Internship</w:t>
      </w:r>
    </w:p>
    <w:p>
      <w:pPr>
        <w:pStyle w:val="Heading1"/>
      </w:pPr>
      <w:r>
        <w:t>1. Executive KPIs (Level 1)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Total Revenue</w:t>
            </w:r>
          </w:p>
        </w:tc>
        <w:tc>
          <w:tcPr>
            <w:tcW w:type="dxa" w:w="4968"/>
          </w:tcPr>
          <w:p>
            <w:r>
              <w:t>$321,655.27</w:t>
            </w:r>
          </w:p>
        </w:tc>
      </w:tr>
      <w:tr>
        <w:tc>
          <w:tcPr>
            <w:tcW w:type="dxa" w:w="4968"/>
          </w:tcPr>
          <w:p>
            <w:r>
              <w:t>Total Orders</w:t>
            </w:r>
          </w:p>
        </w:tc>
        <w:tc>
          <w:tcPr>
            <w:tcW w:type="dxa" w:w="4968"/>
          </w:tcPr>
          <w:p>
            <w:r>
              <w:t>1,000</w:t>
            </w:r>
          </w:p>
        </w:tc>
      </w:tr>
      <w:tr>
        <w:tc>
          <w:tcPr>
            <w:tcW w:type="dxa" w:w="4968"/>
          </w:tcPr>
          <w:p>
            <w:r>
              <w:t>Average Order Value (AOV)</w:t>
            </w:r>
          </w:p>
        </w:tc>
        <w:tc>
          <w:tcPr>
            <w:tcW w:type="dxa" w:w="4968"/>
          </w:tcPr>
          <w:p>
            <w:r>
              <w:t>$321.66</w:t>
            </w:r>
          </w:p>
        </w:tc>
      </w:tr>
      <w:tr>
        <w:tc>
          <w:tcPr>
            <w:tcW w:type="dxa" w:w="4968"/>
          </w:tcPr>
          <w:p>
            <w:r>
              <w:t>Average Rating</w:t>
            </w:r>
          </w:p>
        </w:tc>
        <w:tc>
          <w:tcPr>
            <w:tcW w:type="dxa" w:w="4968"/>
          </w:tcPr>
          <w:p>
            <w:r>
              <w:t>7.48 / 10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440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pi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40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Revenue Drivers (Level 3)</w:t>
      </w:r>
    </w:p>
    <w:p>
      <w:r>
        <w:t>Electronic accessories is the leading product line, generating $56,724.33. Fashion accessories is the lowest-revenue category at $50,493.26.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17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enue_by_prod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17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Risk Analysis (Level 4)</w:t>
      </w:r>
    </w:p>
    <w:p>
      <w:r>
        <w:t>The overall customer rating is 7.48/10. Categories below this benchmark represent potential customer experience and churn risks:</w:t>
      </w:r>
    </w:p>
    <w:p>
      <w:pPr>
        <w:pStyle w:val="ListBullet"/>
      </w:pPr>
      <w:r>
        <w:t>Electronic accessories: 7.35/10 average rating.</w:t>
      </w:r>
    </w:p>
    <w:p>
      <w:pPr>
        <w:pStyle w:val="ListBullet"/>
      </w:pPr>
      <w:r>
        <w:t>Food and beverages: 7.39/10 average rating.</w:t>
      </w:r>
    </w:p>
    <w:p>
      <w:pPr>
        <w:pStyle w:val="ListBullet"/>
      </w:pPr>
      <w:r>
        <w:t>Sports and travel: 7.45/10 average rating.</w:t>
      </w:r>
    </w:p>
    <w:p>
      <w:pPr>
        <w:pStyle w:val="ListBullet"/>
      </w:pPr>
      <w:r>
        <w:t>Fashion accessories: 7.46/10 average rating.</w:t>
      </w:r>
    </w:p>
    <w:p>
      <w:pPr>
        <w:pStyle w:val="Heading1"/>
      </w:pPr>
      <w:r>
        <w:t>4. Strategic Recommendations</w:t>
      </w:r>
    </w:p>
    <w:p>
      <w:pPr>
        <w:pStyle w:val="ListBullet"/>
      </w:pPr>
      <w:r>
        <w:t>Fact: Electronic accessories leads revenue at $56,724.33. Insight: demand is concentrated in a category leader. Opportunity: increase basket size through complementary products. Action: test cross-sell bundles and track AOV for four weeks.</w:t>
      </w:r>
    </w:p>
    <w:p>
      <w:pPr>
        <w:pStyle w:val="ListBullet"/>
      </w:pPr>
      <w:r>
        <w:t>Fact: Fashion accessories is the lowest-revenue category at $50,493.26. Insight: visibility, assortment, or pricing may be limiting demand. Opportunity: recover revenue with a targeted intervention. Action: run an end-cap or price test against a control period.</w:t>
      </w:r>
    </w:p>
    <w:p>
      <w:pPr>
        <w:pStyle w:val="ListBullet"/>
      </w:pPr>
      <w:r>
        <w:t>Fact: 4 product categories are below the overall rating benchmark of 7.48/10. Insight: category-level service or product issues may affect repeat purchase. Opportunity: address root causes before churn grows. Action: collect category-specific feedback and set a rating recovery target.</w:t>
      </w:r>
    </w:p>
    <w:sectPr w:rsidR="00FC693F" w:rsidRPr="0006063C" w:rsidSect="00034616">
      <w:footerReference w:type="default" r:id="rId11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Generated by generate_report.py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