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4570C" w14:textId="77777777" w:rsidR="009C0BFC" w:rsidRDefault="007E539B">
      <w:pPr>
        <w:spacing w:after="480"/>
        <w:jc w:val="center"/>
      </w:pPr>
      <w:r>
        <w:rPr>
          <w:b/>
          <w:bCs/>
          <w:sz w:val="28"/>
          <w:szCs w:val="28"/>
        </w:rPr>
        <w:t>21PDH209T – SOCIAL ENGINEERING</w:t>
      </w:r>
    </w:p>
    <w:p w14:paraId="2284570D" w14:textId="77777777" w:rsidR="009C0BFC" w:rsidRDefault="007E539B">
      <w:pPr>
        <w:spacing w:after="240"/>
        <w:jc w:val="center"/>
      </w:pPr>
      <w:r>
        <w:rPr>
          <w:i/>
          <w:iCs/>
          <w:sz w:val="24"/>
          <w:szCs w:val="24"/>
        </w:rPr>
        <w:t>Submitted by</w:t>
      </w:r>
    </w:p>
    <w:p w14:paraId="2284570E" w14:textId="77777777" w:rsidR="009C0BFC" w:rsidRDefault="007E539B">
      <w:pPr>
        <w:jc w:val="center"/>
      </w:pPr>
      <w:r>
        <w:rPr>
          <w:b/>
          <w:bCs/>
          <w:sz w:val="24"/>
          <w:szCs w:val="24"/>
        </w:rPr>
        <w:t>&lt;STUDENT NAME 1&gt;</w:t>
      </w:r>
    </w:p>
    <w:p w14:paraId="2284570F" w14:textId="77777777" w:rsidR="009C0BFC" w:rsidRDefault="007E539B">
      <w:pPr>
        <w:jc w:val="center"/>
      </w:pPr>
      <w:r>
        <w:rPr>
          <w:b/>
          <w:bCs/>
          <w:sz w:val="24"/>
          <w:szCs w:val="24"/>
        </w:rPr>
        <w:t>[Reg. No. RA]</w:t>
      </w:r>
    </w:p>
    <w:p w14:paraId="22845710" w14:textId="77777777" w:rsidR="009C0BFC" w:rsidRDefault="007E539B">
      <w:pPr>
        <w:jc w:val="center"/>
      </w:pPr>
      <w:r>
        <w:rPr>
          <w:b/>
          <w:bCs/>
          <w:sz w:val="24"/>
          <w:szCs w:val="24"/>
        </w:rPr>
        <w:t>&lt;STUDENT NAME 1&gt;</w:t>
      </w:r>
    </w:p>
    <w:p w14:paraId="22845711" w14:textId="77777777" w:rsidR="009C0BFC" w:rsidRDefault="007E539B">
      <w:pPr>
        <w:spacing w:after="360"/>
        <w:jc w:val="center"/>
      </w:pPr>
      <w:r>
        <w:rPr>
          <w:b/>
          <w:bCs/>
          <w:sz w:val="24"/>
          <w:szCs w:val="24"/>
        </w:rPr>
        <w:t>[Reg. No. RA]</w:t>
      </w:r>
    </w:p>
    <w:p w14:paraId="22845712" w14:textId="77777777" w:rsidR="009C0BFC" w:rsidRDefault="007E539B">
      <w:pPr>
        <w:spacing w:after="240"/>
        <w:jc w:val="center"/>
      </w:pPr>
      <w:r>
        <w:rPr>
          <w:i/>
          <w:iCs/>
          <w:sz w:val="24"/>
          <w:szCs w:val="24"/>
        </w:rPr>
        <w:t>under the guidance of</w:t>
      </w:r>
    </w:p>
    <w:p w14:paraId="22845713" w14:textId="77777777" w:rsidR="009C0BFC" w:rsidRDefault="007E539B">
      <w:pPr>
        <w:spacing w:after="480"/>
        <w:jc w:val="center"/>
      </w:pPr>
      <w:r>
        <w:rPr>
          <w:b/>
          <w:bCs/>
          <w:sz w:val="24"/>
          <w:szCs w:val="24"/>
        </w:rPr>
        <w:t>Dr. V. Shanmuganathan</w:t>
      </w:r>
    </w:p>
    <w:p w14:paraId="22845714" w14:textId="77777777" w:rsidR="009C0BFC" w:rsidRDefault="007E539B">
      <w:pPr>
        <w:spacing w:after="480"/>
        <w:jc w:val="center"/>
      </w:pPr>
      <w:r>
        <w:rPr>
          <w:noProof/>
        </w:rPr>
        <w:drawing>
          <wp:inline distT="0" distB="0" distL="0" distR="0" wp14:anchorId="2284582A" wp14:editId="2284582B">
            <wp:extent cx="2381250" cy="819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381250" cy="819150"/>
                    </a:xfrm>
                    <a:prstGeom prst="rect">
                      <a:avLst/>
                    </a:prstGeom>
                  </pic:spPr>
                </pic:pic>
              </a:graphicData>
            </a:graphic>
          </wp:inline>
        </w:drawing>
      </w:r>
    </w:p>
    <w:p w14:paraId="22845715" w14:textId="77777777" w:rsidR="009C0BFC" w:rsidRDefault="007E539B">
      <w:pPr>
        <w:jc w:val="center"/>
      </w:pPr>
      <w:r>
        <w:rPr>
          <w:b/>
          <w:bCs/>
          <w:sz w:val="24"/>
          <w:szCs w:val="24"/>
        </w:rPr>
        <w:t>DEPARTMENT OF NETWORKING AND COMMUNICATIONS</w:t>
      </w:r>
    </w:p>
    <w:p w14:paraId="22845716" w14:textId="77777777" w:rsidR="009C0BFC" w:rsidRDefault="007E539B">
      <w:pPr>
        <w:jc w:val="center"/>
      </w:pPr>
      <w:r>
        <w:rPr>
          <w:b/>
          <w:bCs/>
          <w:sz w:val="24"/>
          <w:szCs w:val="24"/>
        </w:rPr>
        <w:t>FACULTY OF ENGINEERING AND TECHNOLOGY</w:t>
      </w:r>
    </w:p>
    <w:p w14:paraId="22845717" w14:textId="77777777" w:rsidR="009C0BFC" w:rsidRDefault="007E539B">
      <w:pPr>
        <w:jc w:val="center"/>
      </w:pPr>
      <w:r>
        <w:rPr>
          <w:b/>
          <w:bCs/>
          <w:sz w:val="24"/>
          <w:szCs w:val="24"/>
        </w:rPr>
        <w:t>SRM INSTITUTE OF SCIENCE AND TECHNOLOGY</w:t>
      </w:r>
    </w:p>
    <w:p w14:paraId="22845718" w14:textId="77777777" w:rsidR="009C0BFC" w:rsidRDefault="007E539B">
      <w:pPr>
        <w:jc w:val="center"/>
      </w:pPr>
      <w:r>
        <w:rPr>
          <w:b/>
          <w:bCs/>
          <w:sz w:val="24"/>
          <w:szCs w:val="24"/>
        </w:rPr>
        <w:t>KATTANKULATHUR – 603 203</w:t>
      </w:r>
    </w:p>
    <w:p w14:paraId="22845719" w14:textId="77777777" w:rsidR="009C0BFC" w:rsidRDefault="007E539B">
      <w:pPr>
        <w:jc w:val="center"/>
      </w:pPr>
      <w:r>
        <w:rPr>
          <w:b/>
          <w:bCs/>
          <w:sz w:val="24"/>
          <w:szCs w:val="24"/>
        </w:rPr>
        <w:t>MAY 2025</w:t>
      </w:r>
    </w:p>
    <w:p w14:paraId="2284571A" w14:textId="77777777" w:rsidR="009C0BFC" w:rsidRDefault="009C0BFC">
      <w:pPr>
        <w:sectPr w:rsidR="009C0BFC">
          <w:pgSz w:w="11906" w:h="16838"/>
          <w:pgMar w:top="1440" w:right="1440" w:bottom="1440" w:left="1440" w:header="708" w:footer="708" w:gutter="0"/>
          <w:cols w:space="720"/>
          <w:docGrid w:linePitch="360"/>
        </w:sectPr>
      </w:pPr>
    </w:p>
    <w:p w14:paraId="2284571B" w14:textId="77777777" w:rsidR="009C0BFC" w:rsidRDefault="007E539B">
      <w:pPr>
        <w:spacing w:after="480"/>
        <w:jc w:val="center"/>
      </w:pPr>
      <w:r>
        <w:rPr>
          <w:b/>
          <w:bCs/>
          <w:sz w:val="28"/>
          <w:szCs w:val="28"/>
        </w:rPr>
        <w:lastRenderedPageBreak/>
        <w:t>BONAFIDE CERTIFICATE</w:t>
      </w:r>
    </w:p>
    <w:p w14:paraId="2284571C" w14:textId="77777777" w:rsidR="009C0BFC" w:rsidRDefault="007E539B">
      <w:pPr>
        <w:spacing w:line="360" w:lineRule="auto"/>
        <w:ind w:firstLine="720"/>
        <w:jc w:val="both"/>
      </w:pPr>
      <w:r>
        <w:rPr>
          <w:sz w:val="24"/>
          <w:szCs w:val="24"/>
        </w:rPr>
        <w:t>This is to certify that this Case Study Report titled “Social Engineering Tactics in Exploiting Food Insecurity: A Study of Humanitarian Aid Fraud and the SDG 2 Zero Hunger Initiative” is a bonafide record of work done by the below mentioned students of the II Year IV Semester, B.Tech (Cyber Security) programme in the Department of Networking and Communications, Faculty of Engineering and Technology, SRM Institute of Science and Technology, Kattankulathur, during the academic year 2024–2025 (Even Semester),</w:t>
      </w:r>
      <w:r>
        <w:rPr>
          <w:sz w:val="24"/>
          <w:szCs w:val="24"/>
        </w:rPr>
        <w:t xml:space="preserve"> in partial fulfilment of the requirements for the Course 21PDH209T – Social Engineering.</w:t>
      </w:r>
    </w:p>
    <w:p w14:paraId="2284571D" w14:textId="77777777" w:rsidR="009C0BFC" w:rsidRDefault="009C0BFC">
      <w:pPr>
        <w:spacing w:line="360" w:lineRule="auto"/>
      </w:pPr>
    </w:p>
    <w:p w14:paraId="2284571E" w14:textId="77777777" w:rsidR="009C0BFC" w:rsidRDefault="007E539B">
      <w:pPr>
        <w:spacing w:line="360" w:lineRule="auto"/>
      </w:pPr>
      <w:r>
        <w:rPr>
          <w:sz w:val="24"/>
          <w:szCs w:val="24"/>
        </w:rPr>
        <w:t>&lt;STUDENT NAME 1&gt;   [Reg. No. RA]</w:t>
      </w:r>
    </w:p>
    <w:p w14:paraId="2284571F" w14:textId="77777777" w:rsidR="009C0BFC" w:rsidRDefault="007E539B">
      <w:pPr>
        <w:spacing w:line="360" w:lineRule="auto"/>
      </w:pPr>
      <w:r>
        <w:rPr>
          <w:sz w:val="24"/>
          <w:szCs w:val="24"/>
        </w:rPr>
        <w:t>&lt;STUDENT NAME 2&gt;   [Reg. No. RA]</w:t>
      </w:r>
    </w:p>
    <w:p w14:paraId="22845720" w14:textId="77777777" w:rsidR="009C0BFC" w:rsidRDefault="009C0BFC">
      <w:pPr>
        <w:spacing w:line="360" w:lineRule="auto"/>
      </w:pPr>
    </w:p>
    <w:p w14:paraId="22845721" w14:textId="77777777" w:rsidR="009C0BFC" w:rsidRDefault="009C0BFC">
      <w:pPr>
        <w:spacing w:line="360" w:lineRule="auto"/>
      </w:pPr>
    </w:p>
    <w:p w14:paraId="22845722" w14:textId="77777777" w:rsidR="009C0BFC" w:rsidRDefault="007E539B">
      <w:pPr>
        <w:spacing w:line="360" w:lineRule="auto"/>
      </w:pPr>
      <w:r>
        <w:rPr>
          <w:b/>
          <w:bCs/>
          <w:sz w:val="24"/>
          <w:szCs w:val="24"/>
        </w:rPr>
        <w:t>Dr. V. Shanmuganathan</w:t>
      </w:r>
    </w:p>
    <w:p w14:paraId="22845723" w14:textId="77777777" w:rsidR="009C0BFC" w:rsidRDefault="007E539B">
      <w:pPr>
        <w:spacing w:line="360" w:lineRule="auto"/>
      </w:pPr>
      <w:r>
        <w:rPr>
          <w:sz w:val="24"/>
          <w:szCs w:val="24"/>
        </w:rPr>
        <w:t>Faculty Guide</w:t>
      </w:r>
    </w:p>
    <w:p w14:paraId="22845724" w14:textId="77777777" w:rsidR="009C0BFC" w:rsidRDefault="007E539B">
      <w:pPr>
        <w:spacing w:line="360" w:lineRule="auto"/>
      </w:pPr>
      <w:r>
        <w:rPr>
          <w:sz w:val="24"/>
          <w:szCs w:val="24"/>
        </w:rPr>
        <w:t>Department of Networking and Communications</w:t>
      </w:r>
    </w:p>
    <w:p w14:paraId="22845725" w14:textId="77777777" w:rsidR="009C0BFC" w:rsidRDefault="007E539B">
      <w:pPr>
        <w:spacing w:line="360" w:lineRule="auto"/>
      </w:pPr>
      <w:r>
        <w:rPr>
          <w:sz w:val="24"/>
          <w:szCs w:val="24"/>
        </w:rPr>
        <w:t>SRM Institute of Science and Technology</w:t>
      </w:r>
    </w:p>
    <w:p w14:paraId="22845726" w14:textId="77777777" w:rsidR="009C0BFC" w:rsidRDefault="009C0BFC">
      <w:pPr>
        <w:spacing w:line="360" w:lineRule="auto"/>
      </w:pPr>
    </w:p>
    <w:p w14:paraId="22845727" w14:textId="77777777" w:rsidR="009C0BFC" w:rsidRDefault="007E539B">
      <w:pPr>
        <w:spacing w:line="360" w:lineRule="auto"/>
      </w:pPr>
      <w:r>
        <w:rPr>
          <w:sz w:val="24"/>
          <w:szCs w:val="24"/>
        </w:rPr>
        <w:t>Submitted for the Case Study Assessment held on ________________</w:t>
      </w:r>
    </w:p>
    <w:p w14:paraId="22845728" w14:textId="77777777" w:rsidR="009C0BFC" w:rsidRDefault="009C0BFC">
      <w:pPr>
        <w:spacing w:line="360" w:lineRule="auto"/>
      </w:pPr>
    </w:p>
    <w:p w14:paraId="22845729" w14:textId="77777777" w:rsidR="009C0BFC" w:rsidRDefault="007E539B">
      <w:pPr>
        <w:spacing w:line="360" w:lineRule="auto"/>
      </w:pPr>
      <w:r>
        <w:rPr>
          <w:sz w:val="24"/>
          <w:szCs w:val="24"/>
        </w:rPr>
        <w:t>Internal Examiner: ______________________</w:t>
      </w:r>
    </w:p>
    <w:p w14:paraId="2284572A" w14:textId="77777777" w:rsidR="009C0BFC" w:rsidRDefault="009C0BFC">
      <w:pPr>
        <w:spacing w:line="360" w:lineRule="auto"/>
      </w:pPr>
    </w:p>
    <w:p w14:paraId="2284572B" w14:textId="77777777" w:rsidR="009C0BFC" w:rsidRDefault="007E539B">
      <w:pPr>
        <w:spacing w:line="360" w:lineRule="auto"/>
      </w:pPr>
      <w:r>
        <w:rPr>
          <w:sz w:val="24"/>
          <w:szCs w:val="24"/>
        </w:rPr>
        <w:t>External Examiner: ______________________</w:t>
      </w:r>
    </w:p>
    <w:p w14:paraId="2284572C" w14:textId="77777777" w:rsidR="009C0BFC" w:rsidRDefault="009C0BFC">
      <w:pPr>
        <w:sectPr w:rsidR="009C0BFC">
          <w:footerReference w:type="default" r:id="rId8"/>
          <w:pgSz w:w="11906" w:h="16838"/>
          <w:pgMar w:top="1440" w:right="1440" w:bottom="1440" w:left="1440" w:header="708" w:footer="708" w:gutter="0"/>
          <w:cols w:space="720"/>
          <w:docGrid w:linePitch="360"/>
        </w:sectPr>
      </w:pPr>
    </w:p>
    <w:p w14:paraId="2284572D" w14:textId="77777777" w:rsidR="009C0BFC" w:rsidRDefault="007E539B">
      <w:pPr>
        <w:pageBreakBefore/>
        <w:spacing w:after="480"/>
        <w:jc w:val="center"/>
      </w:pPr>
      <w:r>
        <w:rPr>
          <w:b/>
          <w:bCs/>
          <w:sz w:val="28"/>
          <w:szCs w:val="28"/>
        </w:rPr>
        <w:lastRenderedPageBreak/>
        <w:t>TABLE OF CONTENTS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6526"/>
        <w:gridCol w:w="1000"/>
      </w:tblGrid>
      <w:tr w:rsidR="009C0BFC" w14:paraId="22845731" w14:textId="77777777">
        <w:tblPrEx>
          <w:tblCellMar>
            <w:top w:w="0" w:type="dxa"/>
            <w:bottom w:w="0" w:type="dxa"/>
          </w:tblCellMar>
        </w:tblPrEx>
        <w:tc>
          <w:tcPr>
            <w:tcW w:w="15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2284572E" w14:textId="77777777" w:rsidR="009C0BFC" w:rsidRDefault="007E539B">
            <w:pPr>
              <w:jc w:val="center"/>
            </w:pPr>
            <w:r>
              <w:rPr>
                <w:b/>
                <w:bCs/>
                <w:sz w:val="22"/>
                <w:szCs w:val="22"/>
              </w:rPr>
              <w:t>SECTION NO.</w:t>
            </w:r>
          </w:p>
        </w:tc>
        <w:tc>
          <w:tcPr>
            <w:tcW w:w="6526"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2284572F" w14:textId="77777777" w:rsidR="009C0BFC" w:rsidRDefault="007E539B">
            <w:pPr>
              <w:jc w:val="center"/>
            </w:pPr>
            <w:r>
              <w:rPr>
                <w:b/>
                <w:bCs/>
                <w:sz w:val="22"/>
                <w:szCs w:val="22"/>
              </w:rPr>
              <w:t>TITLE</w:t>
            </w:r>
          </w:p>
        </w:tc>
        <w:tc>
          <w:tcPr>
            <w:tcW w:w="10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22845730" w14:textId="77777777" w:rsidR="009C0BFC" w:rsidRDefault="007E539B">
            <w:pPr>
              <w:jc w:val="center"/>
            </w:pPr>
            <w:r>
              <w:rPr>
                <w:b/>
                <w:bCs/>
                <w:sz w:val="22"/>
                <w:szCs w:val="22"/>
              </w:rPr>
              <w:t>PAGE NO.</w:t>
            </w:r>
          </w:p>
        </w:tc>
      </w:tr>
      <w:tr w:rsidR="009C0BFC" w14:paraId="22845735" w14:textId="77777777">
        <w:tblPrEx>
          <w:tblCellMar>
            <w:top w:w="0" w:type="dxa"/>
            <w:bottom w:w="0" w:type="dxa"/>
          </w:tblCellMar>
        </w:tblPrEx>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32" w14:textId="77777777" w:rsidR="009C0BFC" w:rsidRDefault="009C0BFC">
            <w:pPr>
              <w:jc w:val="center"/>
            </w:pPr>
          </w:p>
        </w:tc>
        <w:tc>
          <w:tcPr>
            <w:tcW w:w="6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33" w14:textId="77777777" w:rsidR="009C0BFC" w:rsidRDefault="007E539B">
            <w:r>
              <w:rPr>
                <w:b/>
                <w:bCs/>
                <w:sz w:val="22"/>
                <w:szCs w:val="22"/>
              </w:rPr>
              <w:t>ABSTRACT</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34" w14:textId="77777777" w:rsidR="009C0BFC" w:rsidRDefault="007E539B">
            <w:pPr>
              <w:jc w:val="center"/>
            </w:pPr>
            <w:r>
              <w:rPr>
                <w:sz w:val="22"/>
                <w:szCs w:val="22"/>
              </w:rPr>
              <w:t>4</w:t>
            </w:r>
          </w:p>
        </w:tc>
      </w:tr>
      <w:tr w:rsidR="009C0BFC" w14:paraId="22845739" w14:textId="77777777">
        <w:tblPrEx>
          <w:tblCellMar>
            <w:top w:w="0" w:type="dxa"/>
            <w:bottom w:w="0" w:type="dxa"/>
          </w:tblCellMar>
        </w:tblPrEx>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36" w14:textId="77777777" w:rsidR="009C0BFC" w:rsidRDefault="007E539B">
            <w:pPr>
              <w:jc w:val="center"/>
            </w:pPr>
            <w:r>
              <w:rPr>
                <w:b/>
                <w:bCs/>
                <w:sz w:val="22"/>
                <w:szCs w:val="22"/>
              </w:rPr>
              <w:t>1</w:t>
            </w:r>
          </w:p>
        </w:tc>
        <w:tc>
          <w:tcPr>
            <w:tcW w:w="6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37" w14:textId="77777777" w:rsidR="009C0BFC" w:rsidRDefault="007E539B">
            <w:r>
              <w:rPr>
                <w:b/>
                <w:bCs/>
                <w:sz w:val="22"/>
                <w:szCs w:val="22"/>
              </w:rPr>
              <w:t>INTRODUCTION</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38" w14:textId="77777777" w:rsidR="009C0BFC" w:rsidRDefault="007E539B">
            <w:pPr>
              <w:jc w:val="center"/>
            </w:pPr>
            <w:r>
              <w:rPr>
                <w:sz w:val="22"/>
                <w:szCs w:val="22"/>
              </w:rPr>
              <w:t>5</w:t>
            </w:r>
          </w:p>
        </w:tc>
      </w:tr>
      <w:tr w:rsidR="009C0BFC" w14:paraId="2284573D" w14:textId="77777777">
        <w:tblPrEx>
          <w:tblCellMar>
            <w:top w:w="0" w:type="dxa"/>
            <w:bottom w:w="0" w:type="dxa"/>
          </w:tblCellMar>
        </w:tblPrEx>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3A" w14:textId="77777777" w:rsidR="009C0BFC" w:rsidRDefault="007E539B">
            <w:pPr>
              <w:jc w:val="center"/>
            </w:pPr>
            <w:r>
              <w:rPr>
                <w:sz w:val="22"/>
                <w:szCs w:val="22"/>
              </w:rPr>
              <w:t>1.1</w:t>
            </w:r>
          </w:p>
        </w:tc>
        <w:tc>
          <w:tcPr>
            <w:tcW w:w="6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3B" w14:textId="77777777" w:rsidR="009C0BFC" w:rsidRDefault="007E539B">
            <w:r>
              <w:rPr>
                <w:sz w:val="22"/>
                <w:szCs w:val="22"/>
              </w:rPr>
              <w:t>Background of the Case</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3C" w14:textId="77777777" w:rsidR="009C0BFC" w:rsidRDefault="007E539B">
            <w:pPr>
              <w:jc w:val="center"/>
            </w:pPr>
            <w:r>
              <w:rPr>
                <w:sz w:val="22"/>
                <w:szCs w:val="22"/>
              </w:rPr>
              <w:t>5</w:t>
            </w:r>
          </w:p>
        </w:tc>
      </w:tr>
      <w:tr w:rsidR="009C0BFC" w14:paraId="22845741" w14:textId="77777777">
        <w:tblPrEx>
          <w:tblCellMar>
            <w:top w:w="0" w:type="dxa"/>
            <w:bottom w:w="0" w:type="dxa"/>
          </w:tblCellMar>
        </w:tblPrEx>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3E" w14:textId="77777777" w:rsidR="009C0BFC" w:rsidRDefault="007E539B">
            <w:pPr>
              <w:jc w:val="center"/>
            </w:pPr>
            <w:r>
              <w:rPr>
                <w:sz w:val="22"/>
                <w:szCs w:val="22"/>
              </w:rPr>
              <w:t>1.2</w:t>
            </w:r>
          </w:p>
        </w:tc>
        <w:tc>
          <w:tcPr>
            <w:tcW w:w="6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3F" w14:textId="77777777" w:rsidR="009C0BFC" w:rsidRDefault="007E539B">
            <w:r>
              <w:rPr>
                <w:sz w:val="22"/>
                <w:szCs w:val="22"/>
              </w:rPr>
              <w:t>Relevance to Social Engineering</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40" w14:textId="77777777" w:rsidR="009C0BFC" w:rsidRDefault="007E539B">
            <w:pPr>
              <w:jc w:val="center"/>
            </w:pPr>
            <w:r>
              <w:rPr>
                <w:sz w:val="22"/>
                <w:szCs w:val="22"/>
              </w:rPr>
              <w:t>5</w:t>
            </w:r>
          </w:p>
        </w:tc>
      </w:tr>
      <w:tr w:rsidR="009C0BFC" w14:paraId="22845745" w14:textId="77777777">
        <w:tblPrEx>
          <w:tblCellMar>
            <w:top w:w="0" w:type="dxa"/>
            <w:bottom w:w="0" w:type="dxa"/>
          </w:tblCellMar>
        </w:tblPrEx>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42" w14:textId="77777777" w:rsidR="009C0BFC" w:rsidRDefault="007E539B">
            <w:pPr>
              <w:jc w:val="center"/>
            </w:pPr>
            <w:r>
              <w:rPr>
                <w:sz w:val="22"/>
                <w:szCs w:val="22"/>
              </w:rPr>
              <w:t>1.3</w:t>
            </w:r>
          </w:p>
        </w:tc>
        <w:tc>
          <w:tcPr>
            <w:tcW w:w="6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43" w14:textId="77777777" w:rsidR="009C0BFC" w:rsidRDefault="007E539B">
            <w:r>
              <w:rPr>
                <w:sz w:val="22"/>
                <w:szCs w:val="22"/>
              </w:rPr>
              <w:t>Purpose of the Case Study</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44" w14:textId="77777777" w:rsidR="009C0BFC" w:rsidRDefault="007E539B">
            <w:pPr>
              <w:jc w:val="center"/>
            </w:pPr>
            <w:r>
              <w:rPr>
                <w:sz w:val="22"/>
                <w:szCs w:val="22"/>
              </w:rPr>
              <w:t>6</w:t>
            </w:r>
          </w:p>
        </w:tc>
      </w:tr>
      <w:tr w:rsidR="009C0BFC" w14:paraId="22845749" w14:textId="77777777">
        <w:tblPrEx>
          <w:tblCellMar>
            <w:top w:w="0" w:type="dxa"/>
            <w:bottom w:w="0" w:type="dxa"/>
          </w:tblCellMar>
        </w:tblPrEx>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46" w14:textId="77777777" w:rsidR="009C0BFC" w:rsidRDefault="007E539B">
            <w:pPr>
              <w:jc w:val="center"/>
            </w:pPr>
            <w:r>
              <w:rPr>
                <w:b/>
                <w:bCs/>
                <w:sz w:val="22"/>
                <w:szCs w:val="22"/>
              </w:rPr>
              <w:t>2</w:t>
            </w:r>
          </w:p>
        </w:tc>
        <w:tc>
          <w:tcPr>
            <w:tcW w:w="6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47" w14:textId="77777777" w:rsidR="009C0BFC" w:rsidRDefault="007E539B">
            <w:r>
              <w:rPr>
                <w:b/>
                <w:bCs/>
                <w:sz w:val="22"/>
                <w:szCs w:val="22"/>
              </w:rPr>
              <w:t>OBJECTIVES</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48" w14:textId="77777777" w:rsidR="009C0BFC" w:rsidRDefault="007E539B">
            <w:pPr>
              <w:jc w:val="center"/>
            </w:pPr>
            <w:r>
              <w:rPr>
                <w:sz w:val="22"/>
                <w:szCs w:val="22"/>
              </w:rPr>
              <w:t>7</w:t>
            </w:r>
          </w:p>
        </w:tc>
      </w:tr>
      <w:tr w:rsidR="009C0BFC" w14:paraId="2284574D" w14:textId="77777777">
        <w:tblPrEx>
          <w:tblCellMar>
            <w:top w:w="0" w:type="dxa"/>
            <w:bottom w:w="0" w:type="dxa"/>
          </w:tblCellMar>
        </w:tblPrEx>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4A" w14:textId="77777777" w:rsidR="009C0BFC" w:rsidRDefault="007E539B">
            <w:pPr>
              <w:jc w:val="center"/>
            </w:pPr>
            <w:r>
              <w:rPr>
                <w:sz w:val="22"/>
                <w:szCs w:val="22"/>
              </w:rPr>
              <w:t>2.1</w:t>
            </w:r>
          </w:p>
        </w:tc>
        <w:tc>
          <w:tcPr>
            <w:tcW w:w="6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4B" w14:textId="77777777" w:rsidR="009C0BFC" w:rsidRDefault="007E539B">
            <w:r>
              <w:rPr>
                <w:sz w:val="22"/>
                <w:szCs w:val="22"/>
              </w:rPr>
              <w:t>Primary Objective</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4C" w14:textId="77777777" w:rsidR="009C0BFC" w:rsidRDefault="007E539B">
            <w:pPr>
              <w:jc w:val="center"/>
            </w:pPr>
            <w:r>
              <w:rPr>
                <w:sz w:val="22"/>
                <w:szCs w:val="22"/>
              </w:rPr>
              <w:t>7</w:t>
            </w:r>
          </w:p>
        </w:tc>
      </w:tr>
      <w:tr w:rsidR="009C0BFC" w14:paraId="22845751" w14:textId="77777777">
        <w:tblPrEx>
          <w:tblCellMar>
            <w:top w:w="0" w:type="dxa"/>
            <w:bottom w:w="0" w:type="dxa"/>
          </w:tblCellMar>
        </w:tblPrEx>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4E" w14:textId="77777777" w:rsidR="009C0BFC" w:rsidRDefault="007E539B">
            <w:pPr>
              <w:jc w:val="center"/>
            </w:pPr>
            <w:r>
              <w:rPr>
                <w:sz w:val="22"/>
                <w:szCs w:val="22"/>
              </w:rPr>
              <w:t>2.2</w:t>
            </w:r>
          </w:p>
        </w:tc>
        <w:tc>
          <w:tcPr>
            <w:tcW w:w="6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4F" w14:textId="77777777" w:rsidR="009C0BFC" w:rsidRDefault="007E539B">
            <w:r>
              <w:rPr>
                <w:sz w:val="22"/>
                <w:szCs w:val="22"/>
              </w:rPr>
              <w:t>Secondary Objective</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50" w14:textId="77777777" w:rsidR="009C0BFC" w:rsidRDefault="007E539B">
            <w:pPr>
              <w:jc w:val="center"/>
            </w:pPr>
            <w:r>
              <w:rPr>
                <w:sz w:val="22"/>
                <w:szCs w:val="22"/>
              </w:rPr>
              <w:t>7</w:t>
            </w:r>
          </w:p>
        </w:tc>
      </w:tr>
      <w:tr w:rsidR="009C0BFC" w14:paraId="22845755" w14:textId="77777777">
        <w:tblPrEx>
          <w:tblCellMar>
            <w:top w:w="0" w:type="dxa"/>
            <w:bottom w:w="0" w:type="dxa"/>
          </w:tblCellMar>
        </w:tblPrEx>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52" w14:textId="77777777" w:rsidR="009C0BFC" w:rsidRDefault="007E539B">
            <w:pPr>
              <w:jc w:val="center"/>
            </w:pPr>
            <w:r>
              <w:rPr>
                <w:sz w:val="22"/>
                <w:szCs w:val="22"/>
              </w:rPr>
              <w:t>2.3</w:t>
            </w:r>
          </w:p>
        </w:tc>
        <w:tc>
          <w:tcPr>
            <w:tcW w:w="6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53" w14:textId="77777777" w:rsidR="009C0BFC" w:rsidRDefault="007E539B">
            <w:r>
              <w:rPr>
                <w:sz w:val="22"/>
                <w:szCs w:val="22"/>
              </w:rPr>
              <w:t>Analytical Objective</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54" w14:textId="77777777" w:rsidR="009C0BFC" w:rsidRDefault="007E539B">
            <w:pPr>
              <w:jc w:val="center"/>
            </w:pPr>
            <w:r>
              <w:rPr>
                <w:sz w:val="22"/>
                <w:szCs w:val="22"/>
              </w:rPr>
              <w:t>7</w:t>
            </w:r>
          </w:p>
        </w:tc>
      </w:tr>
      <w:tr w:rsidR="009C0BFC" w14:paraId="22845759" w14:textId="77777777">
        <w:tblPrEx>
          <w:tblCellMar>
            <w:top w:w="0" w:type="dxa"/>
            <w:bottom w:w="0" w:type="dxa"/>
          </w:tblCellMar>
        </w:tblPrEx>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56" w14:textId="77777777" w:rsidR="009C0BFC" w:rsidRDefault="007E539B">
            <w:pPr>
              <w:jc w:val="center"/>
            </w:pPr>
            <w:r>
              <w:rPr>
                <w:b/>
                <w:bCs/>
                <w:sz w:val="22"/>
                <w:szCs w:val="22"/>
              </w:rPr>
              <w:t>3</w:t>
            </w:r>
          </w:p>
        </w:tc>
        <w:tc>
          <w:tcPr>
            <w:tcW w:w="6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57" w14:textId="77777777" w:rsidR="009C0BFC" w:rsidRDefault="007E539B">
            <w:r>
              <w:rPr>
                <w:b/>
                <w:bCs/>
                <w:sz w:val="22"/>
                <w:szCs w:val="22"/>
              </w:rPr>
              <w:t>DETAILED CASE DESCRIPTION</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58" w14:textId="77777777" w:rsidR="009C0BFC" w:rsidRDefault="007E539B">
            <w:pPr>
              <w:jc w:val="center"/>
            </w:pPr>
            <w:r>
              <w:rPr>
                <w:sz w:val="22"/>
                <w:szCs w:val="22"/>
              </w:rPr>
              <w:t>8</w:t>
            </w:r>
          </w:p>
        </w:tc>
      </w:tr>
      <w:tr w:rsidR="009C0BFC" w14:paraId="2284575D" w14:textId="77777777">
        <w:tblPrEx>
          <w:tblCellMar>
            <w:top w:w="0" w:type="dxa"/>
            <w:bottom w:w="0" w:type="dxa"/>
          </w:tblCellMar>
        </w:tblPrEx>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5A" w14:textId="77777777" w:rsidR="009C0BFC" w:rsidRDefault="007E539B">
            <w:pPr>
              <w:jc w:val="center"/>
            </w:pPr>
            <w:r>
              <w:rPr>
                <w:sz w:val="22"/>
                <w:szCs w:val="22"/>
              </w:rPr>
              <w:t>3.1</w:t>
            </w:r>
          </w:p>
        </w:tc>
        <w:tc>
          <w:tcPr>
            <w:tcW w:w="6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5B" w14:textId="77777777" w:rsidR="009C0BFC" w:rsidRDefault="007E539B">
            <w:r>
              <w:rPr>
                <w:sz w:val="22"/>
                <w:szCs w:val="22"/>
              </w:rPr>
              <w:t>Timeline and Background</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5C" w14:textId="77777777" w:rsidR="009C0BFC" w:rsidRDefault="007E539B">
            <w:pPr>
              <w:jc w:val="center"/>
            </w:pPr>
            <w:r>
              <w:rPr>
                <w:sz w:val="22"/>
                <w:szCs w:val="22"/>
              </w:rPr>
              <w:t>8</w:t>
            </w:r>
          </w:p>
        </w:tc>
      </w:tr>
      <w:tr w:rsidR="009C0BFC" w14:paraId="22845761" w14:textId="77777777">
        <w:tblPrEx>
          <w:tblCellMar>
            <w:top w:w="0" w:type="dxa"/>
            <w:bottom w:w="0" w:type="dxa"/>
          </w:tblCellMar>
        </w:tblPrEx>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5E" w14:textId="77777777" w:rsidR="009C0BFC" w:rsidRDefault="007E539B">
            <w:pPr>
              <w:jc w:val="center"/>
            </w:pPr>
            <w:r>
              <w:rPr>
                <w:sz w:val="22"/>
                <w:szCs w:val="22"/>
              </w:rPr>
              <w:t>3.2</w:t>
            </w:r>
          </w:p>
        </w:tc>
        <w:tc>
          <w:tcPr>
            <w:tcW w:w="6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5F" w14:textId="77777777" w:rsidR="009C0BFC" w:rsidRDefault="007E539B">
            <w:r>
              <w:rPr>
                <w:sz w:val="22"/>
                <w:szCs w:val="22"/>
              </w:rPr>
              <w:t>Key Stakeholders Involved</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60" w14:textId="77777777" w:rsidR="009C0BFC" w:rsidRDefault="007E539B">
            <w:pPr>
              <w:jc w:val="center"/>
            </w:pPr>
            <w:r>
              <w:rPr>
                <w:sz w:val="22"/>
                <w:szCs w:val="22"/>
              </w:rPr>
              <w:t>9</w:t>
            </w:r>
          </w:p>
        </w:tc>
      </w:tr>
      <w:tr w:rsidR="009C0BFC" w14:paraId="22845765" w14:textId="77777777">
        <w:tblPrEx>
          <w:tblCellMar>
            <w:top w:w="0" w:type="dxa"/>
            <w:bottom w:w="0" w:type="dxa"/>
          </w:tblCellMar>
        </w:tblPrEx>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62" w14:textId="77777777" w:rsidR="009C0BFC" w:rsidRDefault="007E539B">
            <w:pPr>
              <w:jc w:val="center"/>
            </w:pPr>
            <w:r>
              <w:rPr>
                <w:sz w:val="22"/>
                <w:szCs w:val="22"/>
              </w:rPr>
              <w:t>3.3</w:t>
            </w:r>
          </w:p>
        </w:tc>
        <w:tc>
          <w:tcPr>
            <w:tcW w:w="6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63" w14:textId="77777777" w:rsidR="009C0BFC" w:rsidRDefault="007E539B">
            <w:r>
              <w:rPr>
                <w:sz w:val="22"/>
                <w:szCs w:val="22"/>
              </w:rPr>
              <w:t>Initiatives Undertaken</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64" w14:textId="77777777" w:rsidR="009C0BFC" w:rsidRDefault="007E539B">
            <w:pPr>
              <w:jc w:val="center"/>
            </w:pPr>
            <w:r>
              <w:rPr>
                <w:sz w:val="22"/>
                <w:szCs w:val="22"/>
              </w:rPr>
              <w:t>9</w:t>
            </w:r>
          </w:p>
        </w:tc>
      </w:tr>
      <w:tr w:rsidR="009C0BFC" w14:paraId="22845769" w14:textId="77777777">
        <w:tblPrEx>
          <w:tblCellMar>
            <w:top w:w="0" w:type="dxa"/>
            <w:bottom w:w="0" w:type="dxa"/>
          </w:tblCellMar>
        </w:tblPrEx>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66" w14:textId="77777777" w:rsidR="009C0BFC" w:rsidRDefault="007E539B">
            <w:pPr>
              <w:jc w:val="center"/>
            </w:pPr>
            <w:r>
              <w:rPr>
                <w:sz w:val="22"/>
                <w:szCs w:val="22"/>
              </w:rPr>
              <w:t>3.4</w:t>
            </w:r>
          </w:p>
        </w:tc>
        <w:tc>
          <w:tcPr>
            <w:tcW w:w="6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67" w14:textId="77777777" w:rsidR="009C0BFC" w:rsidRDefault="007E539B">
            <w:r>
              <w:rPr>
                <w:sz w:val="22"/>
                <w:szCs w:val="22"/>
              </w:rPr>
              <w:t>Challenges Faced</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68" w14:textId="77777777" w:rsidR="009C0BFC" w:rsidRDefault="007E539B">
            <w:pPr>
              <w:jc w:val="center"/>
            </w:pPr>
            <w:r>
              <w:rPr>
                <w:sz w:val="22"/>
                <w:szCs w:val="22"/>
              </w:rPr>
              <w:t>10</w:t>
            </w:r>
          </w:p>
        </w:tc>
      </w:tr>
      <w:tr w:rsidR="009C0BFC" w14:paraId="2284576D" w14:textId="77777777">
        <w:tblPrEx>
          <w:tblCellMar>
            <w:top w:w="0" w:type="dxa"/>
            <w:bottom w:w="0" w:type="dxa"/>
          </w:tblCellMar>
        </w:tblPrEx>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6A" w14:textId="77777777" w:rsidR="009C0BFC" w:rsidRDefault="007E539B">
            <w:pPr>
              <w:jc w:val="center"/>
            </w:pPr>
            <w:r>
              <w:rPr>
                <w:sz w:val="22"/>
                <w:szCs w:val="22"/>
              </w:rPr>
              <w:t>3.5</w:t>
            </w:r>
          </w:p>
        </w:tc>
        <w:tc>
          <w:tcPr>
            <w:tcW w:w="6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6B" w14:textId="77777777" w:rsidR="009C0BFC" w:rsidRDefault="007E539B">
            <w:r>
              <w:rPr>
                <w:sz w:val="22"/>
                <w:szCs w:val="22"/>
              </w:rPr>
              <w:t>Strategies Adopted</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6C" w14:textId="77777777" w:rsidR="009C0BFC" w:rsidRDefault="007E539B">
            <w:pPr>
              <w:jc w:val="center"/>
            </w:pPr>
            <w:r>
              <w:rPr>
                <w:sz w:val="22"/>
                <w:szCs w:val="22"/>
              </w:rPr>
              <w:t>10</w:t>
            </w:r>
          </w:p>
        </w:tc>
      </w:tr>
      <w:tr w:rsidR="009C0BFC" w14:paraId="22845771" w14:textId="77777777">
        <w:tblPrEx>
          <w:tblCellMar>
            <w:top w:w="0" w:type="dxa"/>
            <w:bottom w:w="0" w:type="dxa"/>
          </w:tblCellMar>
        </w:tblPrEx>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6E" w14:textId="77777777" w:rsidR="009C0BFC" w:rsidRDefault="007E539B">
            <w:pPr>
              <w:jc w:val="center"/>
            </w:pPr>
            <w:r>
              <w:rPr>
                <w:b/>
                <w:bCs/>
                <w:sz w:val="22"/>
                <w:szCs w:val="22"/>
              </w:rPr>
              <w:t>4</w:t>
            </w:r>
          </w:p>
        </w:tc>
        <w:tc>
          <w:tcPr>
            <w:tcW w:w="6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6F" w14:textId="77777777" w:rsidR="009C0BFC" w:rsidRDefault="007E539B">
            <w:r>
              <w:rPr>
                <w:b/>
                <w:bCs/>
                <w:sz w:val="22"/>
                <w:szCs w:val="22"/>
              </w:rPr>
              <w:t>THEORETICAL MAPPING TO SYLLABUS</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70" w14:textId="77777777" w:rsidR="009C0BFC" w:rsidRDefault="007E539B">
            <w:pPr>
              <w:jc w:val="center"/>
            </w:pPr>
            <w:r>
              <w:rPr>
                <w:sz w:val="22"/>
                <w:szCs w:val="22"/>
              </w:rPr>
              <w:t>11</w:t>
            </w:r>
          </w:p>
        </w:tc>
      </w:tr>
      <w:tr w:rsidR="009C0BFC" w14:paraId="22845775" w14:textId="77777777">
        <w:tblPrEx>
          <w:tblCellMar>
            <w:top w:w="0" w:type="dxa"/>
            <w:bottom w:w="0" w:type="dxa"/>
          </w:tblCellMar>
        </w:tblPrEx>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72" w14:textId="77777777" w:rsidR="009C0BFC" w:rsidRDefault="007E539B">
            <w:pPr>
              <w:jc w:val="center"/>
            </w:pPr>
            <w:r>
              <w:rPr>
                <w:b/>
                <w:bCs/>
                <w:sz w:val="22"/>
                <w:szCs w:val="22"/>
              </w:rPr>
              <w:t>5</w:t>
            </w:r>
          </w:p>
        </w:tc>
        <w:tc>
          <w:tcPr>
            <w:tcW w:w="6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73" w14:textId="77777777" w:rsidR="009C0BFC" w:rsidRDefault="007E539B">
            <w:r>
              <w:rPr>
                <w:b/>
                <w:bCs/>
                <w:sz w:val="22"/>
                <w:szCs w:val="22"/>
              </w:rPr>
              <w:t>IMPACT ASSESSMENT</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74" w14:textId="77777777" w:rsidR="009C0BFC" w:rsidRDefault="007E539B">
            <w:pPr>
              <w:jc w:val="center"/>
            </w:pPr>
            <w:r>
              <w:rPr>
                <w:sz w:val="22"/>
                <w:szCs w:val="22"/>
              </w:rPr>
              <w:t>12</w:t>
            </w:r>
          </w:p>
        </w:tc>
      </w:tr>
      <w:tr w:rsidR="009C0BFC" w14:paraId="22845779" w14:textId="77777777">
        <w:tblPrEx>
          <w:tblCellMar>
            <w:top w:w="0" w:type="dxa"/>
            <w:bottom w:w="0" w:type="dxa"/>
          </w:tblCellMar>
        </w:tblPrEx>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76" w14:textId="77777777" w:rsidR="009C0BFC" w:rsidRDefault="007E539B">
            <w:pPr>
              <w:jc w:val="center"/>
            </w:pPr>
            <w:r>
              <w:rPr>
                <w:sz w:val="22"/>
                <w:szCs w:val="22"/>
              </w:rPr>
              <w:t>5.1</w:t>
            </w:r>
          </w:p>
        </w:tc>
        <w:tc>
          <w:tcPr>
            <w:tcW w:w="6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77" w14:textId="77777777" w:rsidR="009C0BFC" w:rsidRDefault="007E539B">
            <w:r>
              <w:rPr>
                <w:sz w:val="22"/>
                <w:szCs w:val="22"/>
              </w:rPr>
              <w:t>Social Outcomes</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78" w14:textId="77777777" w:rsidR="009C0BFC" w:rsidRDefault="007E539B">
            <w:pPr>
              <w:jc w:val="center"/>
            </w:pPr>
            <w:r>
              <w:rPr>
                <w:sz w:val="22"/>
                <w:szCs w:val="22"/>
              </w:rPr>
              <w:t>12</w:t>
            </w:r>
          </w:p>
        </w:tc>
      </w:tr>
      <w:tr w:rsidR="009C0BFC" w14:paraId="2284577D" w14:textId="77777777">
        <w:tblPrEx>
          <w:tblCellMar>
            <w:top w:w="0" w:type="dxa"/>
            <w:bottom w:w="0" w:type="dxa"/>
          </w:tblCellMar>
        </w:tblPrEx>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7A" w14:textId="77777777" w:rsidR="009C0BFC" w:rsidRDefault="007E539B">
            <w:pPr>
              <w:jc w:val="center"/>
            </w:pPr>
            <w:r>
              <w:rPr>
                <w:sz w:val="22"/>
                <w:szCs w:val="22"/>
              </w:rPr>
              <w:t>5.2</w:t>
            </w:r>
          </w:p>
        </w:tc>
        <w:tc>
          <w:tcPr>
            <w:tcW w:w="6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7B" w14:textId="77777777" w:rsidR="009C0BFC" w:rsidRDefault="007E539B">
            <w:r>
              <w:rPr>
                <w:sz w:val="22"/>
                <w:szCs w:val="22"/>
              </w:rPr>
              <w:t>Economic Outcomes</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7C" w14:textId="77777777" w:rsidR="009C0BFC" w:rsidRDefault="007E539B">
            <w:pPr>
              <w:jc w:val="center"/>
            </w:pPr>
            <w:r>
              <w:rPr>
                <w:sz w:val="22"/>
                <w:szCs w:val="22"/>
              </w:rPr>
              <w:t>12</w:t>
            </w:r>
          </w:p>
        </w:tc>
      </w:tr>
      <w:tr w:rsidR="009C0BFC" w14:paraId="22845781" w14:textId="77777777">
        <w:tblPrEx>
          <w:tblCellMar>
            <w:top w:w="0" w:type="dxa"/>
            <w:bottom w:w="0" w:type="dxa"/>
          </w:tblCellMar>
        </w:tblPrEx>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7E" w14:textId="77777777" w:rsidR="009C0BFC" w:rsidRDefault="007E539B">
            <w:pPr>
              <w:jc w:val="center"/>
            </w:pPr>
            <w:r>
              <w:rPr>
                <w:sz w:val="22"/>
                <w:szCs w:val="22"/>
              </w:rPr>
              <w:t>5.3</w:t>
            </w:r>
          </w:p>
        </w:tc>
        <w:tc>
          <w:tcPr>
            <w:tcW w:w="6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7F" w14:textId="77777777" w:rsidR="009C0BFC" w:rsidRDefault="007E539B">
            <w:r>
              <w:rPr>
                <w:sz w:val="22"/>
                <w:szCs w:val="22"/>
              </w:rPr>
              <w:t>SWOT Analysis</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80" w14:textId="77777777" w:rsidR="009C0BFC" w:rsidRDefault="007E539B">
            <w:pPr>
              <w:jc w:val="center"/>
            </w:pPr>
            <w:r>
              <w:rPr>
                <w:sz w:val="22"/>
                <w:szCs w:val="22"/>
              </w:rPr>
              <w:t>13</w:t>
            </w:r>
          </w:p>
        </w:tc>
      </w:tr>
      <w:tr w:rsidR="009C0BFC" w14:paraId="22845785" w14:textId="77777777">
        <w:tblPrEx>
          <w:tblCellMar>
            <w:top w:w="0" w:type="dxa"/>
            <w:bottom w:w="0" w:type="dxa"/>
          </w:tblCellMar>
        </w:tblPrEx>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82" w14:textId="77777777" w:rsidR="009C0BFC" w:rsidRDefault="007E539B">
            <w:pPr>
              <w:jc w:val="center"/>
            </w:pPr>
            <w:r>
              <w:rPr>
                <w:b/>
                <w:bCs/>
                <w:sz w:val="22"/>
                <w:szCs w:val="22"/>
              </w:rPr>
              <w:t>6</w:t>
            </w:r>
          </w:p>
        </w:tc>
        <w:tc>
          <w:tcPr>
            <w:tcW w:w="6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83" w14:textId="77777777" w:rsidR="009C0BFC" w:rsidRDefault="007E539B">
            <w:r>
              <w:rPr>
                <w:b/>
                <w:bCs/>
                <w:sz w:val="22"/>
                <w:szCs w:val="22"/>
              </w:rPr>
              <w:t>KEY LEARNINGS</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84" w14:textId="77777777" w:rsidR="009C0BFC" w:rsidRDefault="007E539B">
            <w:pPr>
              <w:jc w:val="center"/>
            </w:pPr>
            <w:r>
              <w:rPr>
                <w:sz w:val="22"/>
                <w:szCs w:val="22"/>
              </w:rPr>
              <w:t>14</w:t>
            </w:r>
          </w:p>
        </w:tc>
      </w:tr>
      <w:tr w:rsidR="009C0BFC" w14:paraId="22845789" w14:textId="77777777">
        <w:tblPrEx>
          <w:tblCellMar>
            <w:top w:w="0" w:type="dxa"/>
            <w:bottom w:w="0" w:type="dxa"/>
          </w:tblCellMar>
        </w:tblPrEx>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86" w14:textId="77777777" w:rsidR="009C0BFC" w:rsidRDefault="007E539B">
            <w:pPr>
              <w:jc w:val="center"/>
            </w:pPr>
            <w:r>
              <w:rPr>
                <w:b/>
                <w:bCs/>
                <w:sz w:val="22"/>
                <w:szCs w:val="22"/>
              </w:rPr>
              <w:t>7</w:t>
            </w:r>
          </w:p>
        </w:tc>
        <w:tc>
          <w:tcPr>
            <w:tcW w:w="6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87" w14:textId="77777777" w:rsidR="009C0BFC" w:rsidRDefault="007E539B">
            <w:r>
              <w:rPr>
                <w:b/>
                <w:bCs/>
                <w:sz w:val="22"/>
                <w:szCs w:val="22"/>
              </w:rPr>
              <w:t>SUGGESTIONS / RECOMMENDATIONS</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88" w14:textId="77777777" w:rsidR="009C0BFC" w:rsidRDefault="007E539B">
            <w:pPr>
              <w:jc w:val="center"/>
            </w:pPr>
            <w:r>
              <w:rPr>
                <w:sz w:val="22"/>
                <w:szCs w:val="22"/>
              </w:rPr>
              <w:t>15</w:t>
            </w:r>
          </w:p>
        </w:tc>
      </w:tr>
      <w:tr w:rsidR="009C0BFC" w14:paraId="2284578D" w14:textId="77777777">
        <w:tblPrEx>
          <w:tblCellMar>
            <w:top w:w="0" w:type="dxa"/>
            <w:bottom w:w="0" w:type="dxa"/>
          </w:tblCellMar>
        </w:tblPrEx>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8A" w14:textId="77777777" w:rsidR="009C0BFC" w:rsidRDefault="007E539B">
            <w:pPr>
              <w:jc w:val="center"/>
            </w:pPr>
            <w:r>
              <w:rPr>
                <w:b/>
                <w:bCs/>
                <w:sz w:val="22"/>
                <w:szCs w:val="22"/>
              </w:rPr>
              <w:t>8</w:t>
            </w:r>
          </w:p>
        </w:tc>
        <w:tc>
          <w:tcPr>
            <w:tcW w:w="6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8B" w14:textId="77777777" w:rsidR="009C0BFC" w:rsidRDefault="007E539B">
            <w:r>
              <w:rPr>
                <w:b/>
                <w:bCs/>
                <w:sz w:val="22"/>
                <w:szCs w:val="22"/>
              </w:rPr>
              <w:t>CONCLUSION</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8C" w14:textId="77777777" w:rsidR="009C0BFC" w:rsidRDefault="007E539B">
            <w:pPr>
              <w:jc w:val="center"/>
            </w:pPr>
            <w:r>
              <w:rPr>
                <w:sz w:val="22"/>
                <w:szCs w:val="22"/>
              </w:rPr>
              <w:t>16</w:t>
            </w:r>
          </w:p>
        </w:tc>
      </w:tr>
      <w:tr w:rsidR="009C0BFC" w14:paraId="22845791" w14:textId="77777777">
        <w:tblPrEx>
          <w:tblCellMar>
            <w:top w:w="0" w:type="dxa"/>
            <w:bottom w:w="0" w:type="dxa"/>
          </w:tblCellMar>
        </w:tblPrEx>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8E" w14:textId="77777777" w:rsidR="009C0BFC" w:rsidRDefault="009C0BFC">
            <w:pPr>
              <w:jc w:val="center"/>
            </w:pPr>
          </w:p>
        </w:tc>
        <w:tc>
          <w:tcPr>
            <w:tcW w:w="6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8F" w14:textId="77777777" w:rsidR="009C0BFC" w:rsidRDefault="007E539B">
            <w:r>
              <w:rPr>
                <w:b/>
                <w:bCs/>
                <w:sz w:val="22"/>
                <w:szCs w:val="22"/>
              </w:rPr>
              <w:t>REFERENCES</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90" w14:textId="77777777" w:rsidR="009C0BFC" w:rsidRDefault="007E539B">
            <w:pPr>
              <w:jc w:val="center"/>
            </w:pPr>
            <w:r>
              <w:rPr>
                <w:sz w:val="22"/>
                <w:szCs w:val="22"/>
              </w:rPr>
              <w:t>17</w:t>
            </w:r>
          </w:p>
        </w:tc>
      </w:tr>
    </w:tbl>
    <w:p w14:paraId="22845792" w14:textId="77777777" w:rsidR="009C0BFC" w:rsidRDefault="009C0BFC">
      <w:pPr>
        <w:sectPr w:rsidR="009C0BFC">
          <w:footerReference w:type="default" r:id="rId9"/>
          <w:pgSz w:w="11906" w:h="16838"/>
          <w:pgMar w:top="1440" w:right="1440" w:bottom="1440" w:left="1440" w:header="708" w:footer="708" w:gutter="0"/>
          <w:cols w:space="720"/>
          <w:docGrid w:linePitch="360"/>
        </w:sectPr>
      </w:pPr>
    </w:p>
    <w:p w14:paraId="22845793" w14:textId="77777777" w:rsidR="009C0BFC" w:rsidRDefault="007E539B">
      <w:pPr>
        <w:pageBreakBefore/>
        <w:spacing w:after="240"/>
      </w:pPr>
      <w:r>
        <w:rPr>
          <w:b/>
          <w:bCs/>
          <w:sz w:val="28"/>
          <w:szCs w:val="28"/>
        </w:rPr>
        <w:lastRenderedPageBreak/>
        <w:t>ABSTRACT</w:t>
      </w:r>
    </w:p>
    <w:p w14:paraId="22845794" w14:textId="77777777" w:rsidR="009C0BFC" w:rsidRDefault="007E539B">
      <w:pPr>
        <w:spacing w:line="360" w:lineRule="auto"/>
        <w:ind w:firstLine="720"/>
        <w:jc w:val="both"/>
      </w:pPr>
      <w:r>
        <w:rPr>
          <w:sz w:val="24"/>
          <w:szCs w:val="24"/>
        </w:rPr>
        <w:t>SDG 2: Zero Hunger is a United Nations Sustainable Development Goal aimed at ending hunger, achieving food security, improving nutrition, and promoting sustainable agriculture by 2030. While this initiative has mobilized enormous global resources – both financial and humanitarian – it has simultaneously created a fertile landscape for social engineering attacks. Malicious actors have exploited public empathy, institutional trust, and the urgency surrounding food crises to manipulate individuals, organizatio</w:t>
      </w:r>
      <w:r>
        <w:rPr>
          <w:sz w:val="24"/>
          <w:szCs w:val="24"/>
        </w:rPr>
        <w:t>ns, and governments into divulging sensitive information or transferring funds.</w:t>
      </w:r>
    </w:p>
    <w:p w14:paraId="22845795" w14:textId="77777777" w:rsidR="009C0BFC" w:rsidRDefault="007E539B">
      <w:pPr>
        <w:spacing w:line="360" w:lineRule="auto"/>
        <w:ind w:firstLine="720"/>
        <w:jc w:val="both"/>
      </w:pPr>
      <w:r>
        <w:rPr>
          <w:sz w:val="24"/>
          <w:szCs w:val="24"/>
        </w:rPr>
        <w:t>This case study examines how social engineering techniques such as phishing, pretexting, impersonation, and baiting have been weaponized in the context of humanitarian food aid programs. Drawing from documented incidents involving NGOs, food banks, and international relief organizations, this report analyses the psychological and technical dimensions of such attacks. It further maps these incidents to core Social Engineering course concepts including ISR (Information Security and Risk), CSR (Corporate Socia</w:t>
      </w:r>
      <w:r>
        <w:rPr>
          <w:sz w:val="24"/>
          <w:szCs w:val="24"/>
        </w:rPr>
        <w:t>l Responsibility), SDG principles, PERMA theory, and NPO/NGO operational frameworks.</w:t>
      </w:r>
    </w:p>
    <w:p w14:paraId="22845796" w14:textId="77777777" w:rsidR="009C0BFC" w:rsidRDefault="007E539B">
      <w:pPr>
        <w:spacing w:line="360" w:lineRule="auto"/>
        <w:ind w:firstLine="720"/>
        <w:jc w:val="both"/>
      </w:pPr>
      <w:r>
        <w:rPr>
          <w:sz w:val="24"/>
          <w:szCs w:val="24"/>
        </w:rPr>
        <w:t>Key findings reveal that lack of digital literacy among aid workers, weak verification protocols, and emotionally charged crisis environments significantly amplify vulnerability to social engineering. The report concludes with actionable recommendations for strengthening organizational resilience and building awareness to protect the integrity of Zero Hunger initiatives.</w:t>
      </w:r>
    </w:p>
    <w:p w14:paraId="22845797" w14:textId="77777777" w:rsidR="009C0BFC" w:rsidRDefault="009C0BFC">
      <w:pPr>
        <w:sectPr w:rsidR="009C0BFC">
          <w:footerReference w:type="default" r:id="rId10"/>
          <w:pgSz w:w="11906" w:h="16838"/>
          <w:pgMar w:top="1440" w:right="1440" w:bottom="1440" w:left="1440" w:header="708" w:footer="708" w:gutter="0"/>
          <w:cols w:space="720"/>
          <w:docGrid w:linePitch="360"/>
        </w:sectPr>
      </w:pPr>
    </w:p>
    <w:p w14:paraId="22845798" w14:textId="77777777" w:rsidR="009C0BFC" w:rsidRDefault="007E539B">
      <w:pPr>
        <w:pageBreakBefore/>
        <w:spacing w:before="240" w:after="120"/>
      </w:pPr>
      <w:r>
        <w:rPr>
          <w:b/>
          <w:bCs/>
          <w:sz w:val="28"/>
          <w:szCs w:val="28"/>
        </w:rPr>
        <w:lastRenderedPageBreak/>
        <w:t>1. INTRODUCTION</w:t>
      </w:r>
    </w:p>
    <w:p w14:paraId="22845799" w14:textId="77777777" w:rsidR="009C0BFC" w:rsidRDefault="007E539B">
      <w:pPr>
        <w:spacing w:before="200" w:after="100"/>
      </w:pPr>
      <w:r>
        <w:rPr>
          <w:b/>
          <w:bCs/>
          <w:sz w:val="24"/>
          <w:szCs w:val="24"/>
        </w:rPr>
        <w:t>1.1 Background of the Case</w:t>
      </w:r>
    </w:p>
    <w:p w14:paraId="2284579A" w14:textId="77777777" w:rsidR="009C0BFC" w:rsidRDefault="007E539B">
      <w:pPr>
        <w:spacing w:line="360" w:lineRule="auto"/>
        <w:ind w:firstLine="720"/>
        <w:jc w:val="both"/>
      </w:pPr>
      <w:r>
        <w:rPr>
          <w:sz w:val="24"/>
          <w:szCs w:val="24"/>
        </w:rPr>
        <w:t>The United Nations’ Sustainable Development Goal 2 – Zero Hunger – was adopted in 2015 as part of the 2030 Agenda for Sustainable Development. This goal seeks to end all forms of hunger and malnutrition by ensuring access to sufficient, safe, nutritious food throughout the year. Across the globe, governments, non-governmental organizations (NGOs), non-profit organizations (NPOs), and corporate entities through CSR (Corporate Social Responsibility) initiatives have invested billions of dollars into food secu</w:t>
      </w:r>
      <w:r>
        <w:rPr>
          <w:sz w:val="24"/>
          <w:szCs w:val="24"/>
        </w:rPr>
        <w:t>rity programs. Organizations such as the World Food Programme (WFP), UNICEF, and Oxfam have established large-scale operations to address food insecurity in conflict zones, disaster-affected areas, and economically marginalized communities.</w:t>
      </w:r>
    </w:p>
    <w:p w14:paraId="2284579B" w14:textId="77777777" w:rsidR="009C0BFC" w:rsidRDefault="007E539B">
      <w:pPr>
        <w:spacing w:line="360" w:lineRule="auto"/>
        <w:ind w:firstLine="720"/>
        <w:jc w:val="both"/>
      </w:pPr>
      <w:r>
        <w:rPr>
          <w:sz w:val="24"/>
          <w:szCs w:val="24"/>
        </w:rPr>
        <w:t>However, the very scale, urgency, and emotional appeal of Zero Hunger efforts have made the sector a prime target for social engineering attacks. Between 2017 and 2023, numerous documented incidents revealed that cybercriminals and fraudsters systematically impersonated legitimate aid organizations, fabricated grant opportunities, and manipulated aid workers to gain unauthorized access to funds and sensitive beneficiary data. These attacks exploited not just technical vulnerabilities but fundamentally human</w:t>
      </w:r>
      <w:r>
        <w:rPr>
          <w:sz w:val="24"/>
          <w:szCs w:val="24"/>
        </w:rPr>
        <w:t xml:space="preserve"> psychological traits: trust, empathy, and the instinct to act swiftly in a crisis.</w:t>
      </w:r>
    </w:p>
    <w:p w14:paraId="2284579C" w14:textId="77777777" w:rsidR="009C0BFC" w:rsidRDefault="007E539B">
      <w:pPr>
        <w:spacing w:before="200" w:after="100"/>
      </w:pPr>
      <w:r>
        <w:rPr>
          <w:b/>
          <w:bCs/>
          <w:sz w:val="24"/>
          <w:szCs w:val="24"/>
        </w:rPr>
        <w:t>1.2 Relevance to Social Engineering</w:t>
      </w:r>
    </w:p>
    <w:p w14:paraId="2284579D" w14:textId="77777777" w:rsidR="009C0BFC" w:rsidRDefault="007E539B">
      <w:pPr>
        <w:spacing w:line="360" w:lineRule="auto"/>
        <w:ind w:firstLine="720"/>
        <w:jc w:val="both"/>
      </w:pPr>
      <w:r>
        <w:rPr>
          <w:sz w:val="24"/>
          <w:szCs w:val="24"/>
        </w:rPr>
        <w:t>Social engineering refers to the psychological manipulation of individuals into performing actions or divulging confidential information. Unlike traditional cyberattacks that target software or hardware, social engineering attacks target human beings – their emotions, biases, cognitive shortcuts, and social conditioning. In the context of humanitarian operations such as those under SDG 2, social engineers exploit heightened emotional states (urgency, compassion, fear) to bypass rational decision-making.</w:t>
      </w:r>
    </w:p>
    <w:p w14:paraId="2284579E" w14:textId="77777777" w:rsidR="009C0BFC" w:rsidRDefault="007E539B">
      <w:pPr>
        <w:spacing w:line="360" w:lineRule="auto"/>
        <w:ind w:firstLine="720"/>
        <w:jc w:val="both"/>
      </w:pPr>
      <w:r>
        <w:rPr>
          <w:sz w:val="24"/>
          <w:szCs w:val="24"/>
        </w:rPr>
        <w:t>The humanitarian sector is particularly vulnerable due to a combination of factors. Aid organizations frequently operate in high-stress, resource-constrained environments where decisions must be made rapidly. Volunteers and new staff often lack formal cybersecurity training. The sector’s inherent culture of trust and openness – critical for building donor relationships and community partnerships – becomes a liability when exploited by malicious actors. Furthermore, the global and decentralized nature of foo</w:t>
      </w:r>
      <w:r>
        <w:rPr>
          <w:sz w:val="24"/>
          <w:szCs w:val="24"/>
        </w:rPr>
        <w:t>d aid operations means that attackers can impersonate personnel from distant offices without easy verification.</w:t>
      </w:r>
    </w:p>
    <w:p w14:paraId="2284579F" w14:textId="77777777" w:rsidR="009C0BFC" w:rsidRDefault="007E539B">
      <w:pPr>
        <w:spacing w:line="360" w:lineRule="auto"/>
        <w:ind w:firstLine="720"/>
        <w:jc w:val="both"/>
      </w:pPr>
      <w:r>
        <w:rPr>
          <w:sz w:val="24"/>
          <w:szCs w:val="24"/>
        </w:rPr>
        <w:lastRenderedPageBreak/>
        <w:t>This case study is therefore directly relevant to the course 21PDH209T – Social Engineering as it demonstrates how classic social engineering attack vectors operate in a real-world, high-stakes context involving international development goals.</w:t>
      </w:r>
    </w:p>
    <w:p w14:paraId="228457A0" w14:textId="77777777" w:rsidR="009C0BFC" w:rsidRDefault="007E539B">
      <w:pPr>
        <w:spacing w:before="200" w:after="100"/>
      </w:pPr>
      <w:r>
        <w:rPr>
          <w:b/>
          <w:bCs/>
          <w:sz w:val="24"/>
          <w:szCs w:val="24"/>
        </w:rPr>
        <w:t>1.3 Purpose of the Case Study</w:t>
      </w:r>
    </w:p>
    <w:p w14:paraId="228457A1" w14:textId="77777777" w:rsidR="009C0BFC" w:rsidRDefault="007E539B">
      <w:pPr>
        <w:spacing w:line="360" w:lineRule="auto"/>
        <w:ind w:firstLine="720"/>
        <w:jc w:val="both"/>
      </w:pPr>
      <w:r>
        <w:rPr>
          <w:sz w:val="24"/>
          <w:szCs w:val="24"/>
        </w:rPr>
        <w:t>The primary purpose of this case study is to critically analyse the intersection between SDG 2: Zero Hunger and social engineering threats. By examining specific documented incidents and their operational contexts, this report aims to understand how social engineers exploit humanitarian aid ecosystems. Additionally, the study seeks to map these real-world scenarios to theoretical frameworks studied in the Social Engineering course, including ISR, PERMA, CSR, NPO/NGO structures, and SDG principles.</w:t>
      </w:r>
    </w:p>
    <w:p w14:paraId="228457A2" w14:textId="77777777" w:rsidR="009C0BFC" w:rsidRDefault="007E539B">
      <w:pPr>
        <w:spacing w:line="360" w:lineRule="auto"/>
        <w:ind w:firstLine="720"/>
        <w:jc w:val="both"/>
      </w:pPr>
      <w:r>
        <w:rPr>
          <w:sz w:val="24"/>
          <w:szCs w:val="24"/>
        </w:rPr>
        <w:t>The study further aims to generate actionable insights for practitioners working in food security organizations so that they may better recognize, resist, and respond to social engineering attempts while preserving the trust-based culture essential to their mission.</w:t>
      </w:r>
    </w:p>
    <w:p w14:paraId="228457A3" w14:textId="77777777" w:rsidR="009C0BFC" w:rsidRDefault="009C0BFC">
      <w:pPr>
        <w:sectPr w:rsidR="009C0BFC">
          <w:footerReference w:type="default" r:id="rId11"/>
          <w:pgSz w:w="11906" w:h="16838"/>
          <w:pgMar w:top="1440" w:right="1440" w:bottom="1440" w:left="1440" w:header="708" w:footer="708" w:gutter="0"/>
          <w:cols w:space="720"/>
          <w:docGrid w:linePitch="360"/>
        </w:sectPr>
      </w:pPr>
    </w:p>
    <w:p w14:paraId="228457A4" w14:textId="77777777" w:rsidR="009C0BFC" w:rsidRDefault="007E539B">
      <w:pPr>
        <w:pageBreakBefore/>
        <w:spacing w:before="240" w:after="120"/>
      </w:pPr>
      <w:r>
        <w:rPr>
          <w:b/>
          <w:bCs/>
          <w:sz w:val="28"/>
          <w:szCs w:val="28"/>
        </w:rPr>
        <w:lastRenderedPageBreak/>
        <w:t>2. OBJECTIVES</w:t>
      </w:r>
    </w:p>
    <w:p w14:paraId="228457A5" w14:textId="77777777" w:rsidR="009C0BFC" w:rsidRDefault="007E539B">
      <w:pPr>
        <w:spacing w:before="200" w:after="100"/>
      </w:pPr>
      <w:r>
        <w:rPr>
          <w:b/>
          <w:bCs/>
          <w:sz w:val="24"/>
          <w:szCs w:val="24"/>
        </w:rPr>
        <w:t>2.1 Primary Objective</w:t>
      </w:r>
    </w:p>
    <w:p w14:paraId="228457A6" w14:textId="77777777" w:rsidR="009C0BFC" w:rsidRDefault="007E539B">
      <w:pPr>
        <w:spacing w:line="360" w:lineRule="auto"/>
        <w:ind w:firstLine="720"/>
        <w:jc w:val="both"/>
      </w:pPr>
      <w:r>
        <w:rPr>
          <w:sz w:val="24"/>
          <w:szCs w:val="24"/>
        </w:rPr>
        <w:t>To identify and analyse documented social engineering attacks that have targeted organizations and individuals working within the SDG 2: Zero Hunger framework, with a focus on understanding the psychological and technical tactics employed by attackers.</w:t>
      </w:r>
    </w:p>
    <w:p w14:paraId="228457A7" w14:textId="77777777" w:rsidR="009C0BFC" w:rsidRDefault="007E539B">
      <w:pPr>
        <w:spacing w:before="200" w:after="100"/>
      </w:pPr>
      <w:r>
        <w:rPr>
          <w:b/>
          <w:bCs/>
          <w:sz w:val="24"/>
          <w:szCs w:val="24"/>
        </w:rPr>
        <w:t>2.2 Secondary Objective</w:t>
      </w:r>
    </w:p>
    <w:p w14:paraId="228457A8" w14:textId="77777777" w:rsidR="009C0BFC" w:rsidRDefault="007E539B">
      <w:pPr>
        <w:spacing w:line="360" w:lineRule="auto"/>
        <w:ind w:firstLine="720"/>
        <w:jc w:val="both"/>
      </w:pPr>
      <w:r>
        <w:rPr>
          <w:sz w:val="24"/>
          <w:szCs w:val="24"/>
        </w:rPr>
        <w:t>To map the identified social engineering incidents to core theoretical concepts from the 21PDH209T Social Engineering course syllabus, including ISR, CSR, PERMA, SDG principles, NPO/NGO structures, and information security frameworks, demonstrating their real-world applicability.</w:t>
      </w:r>
    </w:p>
    <w:p w14:paraId="228457A9" w14:textId="77777777" w:rsidR="009C0BFC" w:rsidRDefault="007E539B">
      <w:pPr>
        <w:spacing w:before="200" w:after="100"/>
      </w:pPr>
      <w:r>
        <w:rPr>
          <w:b/>
          <w:bCs/>
          <w:sz w:val="24"/>
          <w:szCs w:val="24"/>
        </w:rPr>
        <w:t>2.3 Analytical Objective</w:t>
      </w:r>
    </w:p>
    <w:p w14:paraId="228457AA" w14:textId="77777777" w:rsidR="009C0BFC" w:rsidRDefault="007E539B">
      <w:pPr>
        <w:spacing w:line="360" w:lineRule="auto"/>
        <w:ind w:firstLine="720"/>
        <w:jc w:val="both"/>
      </w:pPr>
      <w:r>
        <w:rPr>
          <w:sz w:val="24"/>
          <w:szCs w:val="24"/>
        </w:rPr>
        <w:t>To assess the organizational, psychological, and structural vulnerabilities that make Zero Hunger initiatives susceptible to social engineering, and to propose evidence-based recommendations that strengthen security awareness and institutional resilience without compromising operational effectiveness.</w:t>
      </w:r>
    </w:p>
    <w:p w14:paraId="228457AB" w14:textId="77777777" w:rsidR="009C0BFC" w:rsidRDefault="009C0BFC">
      <w:pPr>
        <w:sectPr w:rsidR="009C0BFC">
          <w:footerReference w:type="default" r:id="rId12"/>
          <w:pgSz w:w="11906" w:h="16838"/>
          <w:pgMar w:top="1440" w:right="1440" w:bottom="1440" w:left="1440" w:header="708" w:footer="708" w:gutter="0"/>
          <w:cols w:space="720"/>
          <w:docGrid w:linePitch="360"/>
        </w:sectPr>
      </w:pPr>
    </w:p>
    <w:p w14:paraId="228457AC" w14:textId="77777777" w:rsidR="009C0BFC" w:rsidRDefault="007E539B">
      <w:pPr>
        <w:pageBreakBefore/>
        <w:spacing w:before="240" w:after="120"/>
      </w:pPr>
      <w:r>
        <w:rPr>
          <w:b/>
          <w:bCs/>
          <w:sz w:val="28"/>
          <w:szCs w:val="28"/>
        </w:rPr>
        <w:lastRenderedPageBreak/>
        <w:t>3. DETAILED CASE DESCRIPTION</w:t>
      </w:r>
    </w:p>
    <w:p w14:paraId="228457AD" w14:textId="77777777" w:rsidR="009C0BFC" w:rsidRDefault="007E539B">
      <w:pPr>
        <w:spacing w:before="200" w:after="100"/>
      </w:pPr>
      <w:r>
        <w:rPr>
          <w:b/>
          <w:bCs/>
          <w:sz w:val="24"/>
          <w:szCs w:val="24"/>
        </w:rPr>
        <w:t>3.1 Timeline and Background</w:t>
      </w:r>
    </w:p>
    <w:p w14:paraId="228457AE" w14:textId="77777777" w:rsidR="009C0BFC" w:rsidRDefault="007E539B">
      <w:pPr>
        <w:spacing w:line="360" w:lineRule="auto"/>
        <w:ind w:firstLine="720"/>
        <w:jc w:val="both"/>
      </w:pPr>
      <w:r>
        <w:rPr>
          <w:sz w:val="24"/>
          <w:szCs w:val="24"/>
        </w:rPr>
        <w:t>The exploitation of humanitarian food aid channels through social engineering has been a growing phenomenon since the early 2010s, coinciding with the expansion of digital communications in the NGO sector. The following timeline captures key incidents:</w:t>
      </w:r>
    </w:p>
    <w:p w14:paraId="228457AF" w14:textId="77777777" w:rsidR="009C0BFC" w:rsidRDefault="009C0BFC">
      <w:pPr>
        <w:spacing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9C0BFC" w14:paraId="228457B2" w14:textId="77777777">
        <w:tblPrEx>
          <w:tblCellMar>
            <w:top w:w="0" w:type="dxa"/>
            <w:bottom w:w="0" w:type="dxa"/>
          </w:tblCellMar>
        </w:tblPrEx>
        <w:tc>
          <w:tcPr>
            <w:tcW w:w="15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228457B0" w14:textId="77777777" w:rsidR="009C0BFC" w:rsidRDefault="007E539B">
            <w:pPr>
              <w:jc w:val="center"/>
            </w:pPr>
            <w:r>
              <w:rPr>
                <w:b/>
                <w:bCs/>
                <w:sz w:val="22"/>
                <w:szCs w:val="22"/>
              </w:rPr>
              <w:t>YEAR</w:t>
            </w:r>
          </w:p>
        </w:tc>
        <w:tc>
          <w:tcPr>
            <w:tcW w:w="7526"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228457B1" w14:textId="77777777" w:rsidR="009C0BFC" w:rsidRDefault="007E539B">
            <w:pPr>
              <w:jc w:val="center"/>
            </w:pPr>
            <w:r>
              <w:rPr>
                <w:b/>
                <w:bCs/>
                <w:sz w:val="22"/>
                <w:szCs w:val="22"/>
              </w:rPr>
              <w:t>INCIDENT</w:t>
            </w:r>
          </w:p>
        </w:tc>
      </w:tr>
      <w:tr w:rsidR="009C0BFC" w14:paraId="228457B5" w14:textId="77777777">
        <w:tblPrEx>
          <w:tblCellMar>
            <w:top w:w="0" w:type="dxa"/>
            <w:bottom w:w="0" w:type="dxa"/>
          </w:tblCellMar>
        </w:tblPrEx>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B3" w14:textId="77777777" w:rsidR="009C0BFC" w:rsidRDefault="007E539B">
            <w:pPr>
              <w:jc w:val="center"/>
            </w:pPr>
            <w:r>
              <w:rPr>
                <w:sz w:val="22"/>
                <w:szCs w:val="22"/>
              </w:rPr>
              <w:t>2016</w:t>
            </w:r>
          </w:p>
        </w:tc>
        <w:tc>
          <w:tcPr>
            <w:tcW w:w="7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B4" w14:textId="77777777" w:rsidR="009C0BFC" w:rsidRDefault="007E539B">
            <w:r>
              <w:rPr>
                <w:sz w:val="22"/>
                <w:szCs w:val="22"/>
              </w:rPr>
              <w:t>The World Food Programme (WFP) reported an attempted Business Email Compromise (BEC) attack in which fraudsters impersonated senior WFP officials requesting emergency fund transfers to a new account. The email was crafted with official WFP branding and cited the Syria crisis as justification for urgency.</w:t>
            </w:r>
          </w:p>
        </w:tc>
      </w:tr>
      <w:tr w:rsidR="009C0BFC" w14:paraId="228457B8" w14:textId="77777777">
        <w:tblPrEx>
          <w:tblCellMar>
            <w:top w:w="0" w:type="dxa"/>
            <w:bottom w:w="0" w:type="dxa"/>
          </w:tblCellMar>
        </w:tblPrEx>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B6" w14:textId="77777777" w:rsidR="009C0BFC" w:rsidRDefault="007E539B">
            <w:pPr>
              <w:jc w:val="center"/>
            </w:pPr>
            <w:r>
              <w:rPr>
                <w:sz w:val="22"/>
                <w:szCs w:val="22"/>
              </w:rPr>
              <w:t>2018</w:t>
            </w:r>
          </w:p>
        </w:tc>
        <w:tc>
          <w:tcPr>
            <w:tcW w:w="7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B7" w14:textId="77777777" w:rsidR="009C0BFC" w:rsidRDefault="007E539B">
            <w:r>
              <w:rPr>
                <w:sz w:val="22"/>
                <w:szCs w:val="22"/>
              </w:rPr>
              <w:t>Oxfam experienced a data breach that, while primarily technical, was preceded by a spear-phishing campaign targeting HR staff. Attackers posed as partner organizations requesting beneficiary database access for ‘joint program coordination’.</w:t>
            </w:r>
          </w:p>
        </w:tc>
      </w:tr>
      <w:tr w:rsidR="009C0BFC" w14:paraId="228457BB" w14:textId="77777777">
        <w:tblPrEx>
          <w:tblCellMar>
            <w:top w:w="0" w:type="dxa"/>
            <w:bottom w:w="0" w:type="dxa"/>
          </w:tblCellMar>
        </w:tblPrEx>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B9" w14:textId="77777777" w:rsidR="009C0BFC" w:rsidRDefault="007E539B">
            <w:pPr>
              <w:jc w:val="center"/>
            </w:pPr>
            <w:r>
              <w:rPr>
                <w:sz w:val="22"/>
                <w:szCs w:val="22"/>
              </w:rPr>
              <w:t>2020</w:t>
            </w:r>
          </w:p>
        </w:tc>
        <w:tc>
          <w:tcPr>
            <w:tcW w:w="7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BA" w14:textId="77777777" w:rsidR="009C0BFC" w:rsidRDefault="007E539B">
            <w:r>
              <w:rPr>
                <w:sz w:val="22"/>
                <w:szCs w:val="22"/>
              </w:rPr>
              <w:t>During the COVID-19 pandemic, multiple food banks in the USA and UK were targeted by vishing (voice phishing) attacks. Callers posed as government officials offering emergency food distribution grants, extracting banking credentials and organizational data from administrators.</w:t>
            </w:r>
          </w:p>
        </w:tc>
      </w:tr>
      <w:tr w:rsidR="009C0BFC" w14:paraId="228457BE" w14:textId="77777777">
        <w:tblPrEx>
          <w:tblCellMar>
            <w:top w:w="0" w:type="dxa"/>
            <w:bottom w:w="0" w:type="dxa"/>
          </w:tblCellMar>
        </w:tblPrEx>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BC" w14:textId="77777777" w:rsidR="009C0BFC" w:rsidRDefault="007E539B">
            <w:pPr>
              <w:jc w:val="center"/>
            </w:pPr>
            <w:r>
              <w:rPr>
                <w:sz w:val="22"/>
                <w:szCs w:val="22"/>
              </w:rPr>
              <w:t>2022</w:t>
            </w:r>
          </w:p>
        </w:tc>
        <w:tc>
          <w:tcPr>
            <w:tcW w:w="7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BD" w14:textId="77777777" w:rsidR="009C0BFC" w:rsidRDefault="007E539B">
            <w:r>
              <w:rPr>
                <w:sz w:val="22"/>
                <w:szCs w:val="22"/>
              </w:rPr>
              <w:t>Fraudulent grant portals mimicking the UN Food and Agriculture Organization (FAO) website were set up to harvest login credentials of NGO staff applying for Zero Hunger project funding.</w:t>
            </w:r>
          </w:p>
        </w:tc>
      </w:tr>
      <w:tr w:rsidR="009C0BFC" w14:paraId="228457C1" w14:textId="77777777">
        <w:tblPrEx>
          <w:tblCellMar>
            <w:top w:w="0" w:type="dxa"/>
            <w:bottom w:w="0" w:type="dxa"/>
          </w:tblCellMar>
        </w:tblPrEx>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BF" w14:textId="77777777" w:rsidR="009C0BFC" w:rsidRDefault="007E539B">
            <w:pPr>
              <w:jc w:val="center"/>
            </w:pPr>
            <w:r>
              <w:rPr>
                <w:sz w:val="22"/>
                <w:szCs w:val="22"/>
              </w:rPr>
              <w:t>2023</w:t>
            </w:r>
          </w:p>
        </w:tc>
        <w:tc>
          <w:tcPr>
            <w:tcW w:w="7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C0" w14:textId="77777777" w:rsidR="009C0BFC" w:rsidRDefault="007E539B">
            <w:r>
              <w:rPr>
                <w:sz w:val="22"/>
                <w:szCs w:val="22"/>
              </w:rPr>
              <w:t>A network of fake charity websites leveraging SDG 2 branding were identified collecting public donations. Impersonation of legitimate organizations like Action Against Hunger was used to exploit public goodwill.</w:t>
            </w:r>
          </w:p>
        </w:tc>
      </w:tr>
    </w:tbl>
    <w:p w14:paraId="228457C2" w14:textId="77777777" w:rsidR="009C0BFC" w:rsidRDefault="007E539B">
      <w:pPr>
        <w:spacing w:before="120" w:after="240"/>
        <w:jc w:val="center"/>
      </w:pPr>
      <w:r>
        <w:rPr>
          <w:i/>
          <w:iCs/>
          <w:sz w:val="22"/>
          <w:szCs w:val="22"/>
        </w:rPr>
        <w:t>Table 1: Timeline of Social Engineering Incidents Targeting Zero Hunger Initiatives</w:t>
      </w:r>
    </w:p>
    <w:p w14:paraId="228457C3" w14:textId="77777777" w:rsidR="009C0BFC" w:rsidRDefault="007E539B">
      <w:pPr>
        <w:spacing w:before="200" w:after="100"/>
      </w:pPr>
      <w:r>
        <w:rPr>
          <w:b/>
          <w:bCs/>
          <w:sz w:val="24"/>
          <w:szCs w:val="24"/>
        </w:rPr>
        <w:t>3.2 Key Stakeholders Involved</w:t>
      </w:r>
    </w:p>
    <w:p w14:paraId="228457C4" w14:textId="77777777" w:rsidR="009C0BFC" w:rsidRDefault="007E539B">
      <w:pPr>
        <w:spacing w:line="360" w:lineRule="auto"/>
        <w:ind w:firstLine="720"/>
        <w:jc w:val="both"/>
      </w:pPr>
      <w:r>
        <w:rPr>
          <w:sz w:val="24"/>
          <w:szCs w:val="24"/>
        </w:rPr>
        <w:t>As shown in Table 1, the stakeholders involved in these incidents span a wide spectrum of the Zero Hunger ecosystem. On one side are the victims – which include international organizations (WFP, FAO, UNICEF, Oxfam), national NGOs and food banks, government aid disbursement offices, and individual donors and volunteers. On the other side are the attackers – organized cybercriminal groups, opportunistic individual fraudsters, and in some cases state-sponsored actors targeting humanitarian intelligence.</w:t>
      </w:r>
    </w:p>
    <w:p w14:paraId="228457C5" w14:textId="77777777" w:rsidR="009C0BFC" w:rsidRDefault="007E539B">
      <w:pPr>
        <w:spacing w:line="360" w:lineRule="auto"/>
        <w:ind w:firstLine="720"/>
        <w:jc w:val="both"/>
      </w:pPr>
      <w:r>
        <w:rPr>
          <w:sz w:val="24"/>
          <w:szCs w:val="24"/>
        </w:rPr>
        <w:t>Indirectly affected stakeholders include the millions of food-insecure beneficiaries who lose access to aid when funds are diverted or organizations are forced to shut down systems after a breach. This multiplier effect on human suffering makes social engineering in this domain especially reprehensible.</w:t>
      </w:r>
    </w:p>
    <w:p w14:paraId="228457C6" w14:textId="77777777" w:rsidR="009C0BFC" w:rsidRDefault="007E539B">
      <w:pPr>
        <w:spacing w:before="200" w:after="100"/>
      </w:pPr>
      <w:r>
        <w:rPr>
          <w:b/>
          <w:bCs/>
          <w:sz w:val="24"/>
          <w:szCs w:val="24"/>
        </w:rPr>
        <w:lastRenderedPageBreak/>
        <w:t>3.3 Initiatives Undertaken</w:t>
      </w:r>
    </w:p>
    <w:p w14:paraId="228457C7" w14:textId="77777777" w:rsidR="009C0BFC" w:rsidRDefault="007E539B">
      <w:pPr>
        <w:spacing w:line="360" w:lineRule="auto"/>
        <w:ind w:firstLine="720"/>
        <w:jc w:val="both"/>
      </w:pPr>
      <w:r>
        <w:rPr>
          <w:sz w:val="24"/>
          <w:szCs w:val="24"/>
        </w:rPr>
        <w:t>In response to escalating threats, several proactive initiatives have been undertaken within the sector. The United Nations Office for the Coordination of Humanitarian Affairs (OCHA) introduced cybersecurity training modules specifically designed for humanitarian workers in 2019. The Cyber Peace Institute established a dedicated Humanitarian Cybersecurity Center (HCC) in 2020, offering free threat intelligence and incident response support to NGOs. INTERPOL’s Financial Crimes unit has collaborated with majo</w:t>
      </w:r>
      <w:r>
        <w:rPr>
          <w:sz w:val="24"/>
          <w:szCs w:val="24"/>
        </w:rPr>
        <w:t>r food aid organizations to trace and disrupt BEC (Business Email Compromise) networks targeting humanitarian funds.</w:t>
      </w:r>
    </w:p>
    <w:p w14:paraId="228457C8" w14:textId="77777777" w:rsidR="009C0BFC" w:rsidRDefault="007E539B">
      <w:pPr>
        <w:spacing w:line="360" w:lineRule="auto"/>
        <w:ind w:firstLine="720"/>
        <w:jc w:val="both"/>
      </w:pPr>
      <w:r>
        <w:rPr>
          <w:sz w:val="24"/>
          <w:szCs w:val="24"/>
        </w:rPr>
        <w:t>Domestically, food banks in the United Kingdom partnered with the National Cyber Security Centre (NCSC) to implement verified email protocols (DMARC, SPF, DKIM) and establish staff awareness programs. India’s National Disaster Management Authority began integrating cyber hygiene training into its food relief volunteer onboarding process following incidents during the 2020 cyclone relief operations.</w:t>
      </w:r>
    </w:p>
    <w:p w14:paraId="228457C9" w14:textId="77777777" w:rsidR="009C0BFC" w:rsidRDefault="007E539B">
      <w:pPr>
        <w:spacing w:before="200" w:after="100"/>
      </w:pPr>
      <w:r>
        <w:rPr>
          <w:b/>
          <w:bCs/>
          <w:sz w:val="24"/>
          <w:szCs w:val="24"/>
        </w:rPr>
        <w:t>3.4 Challenges Faced</w:t>
      </w:r>
    </w:p>
    <w:p w14:paraId="228457CA" w14:textId="77777777" w:rsidR="009C0BFC" w:rsidRDefault="007E539B">
      <w:pPr>
        <w:spacing w:line="360" w:lineRule="auto"/>
        <w:ind w:firstLine="720"/>
        <w:jc w:val="both"/>
      </w:pPr>
      <w:r>
        <w:rPr>
          <w:sz w:val="24"/>
          <w:szCs w:val="24"/>
        </w:rPr>
        <w:t>Despite these initiatives, significant challenges persist. First, the high turnover of volunteers and short-term staff in NGOs makes sustained cybersecurity training difficult to implement. Second, many field operations occur in regions with limited digital infrastructure, forcing reliance on informal communication channels that are difficult to secure. Third, the culture of urgency that pervades humanitarian work – while operationally necessary – psychologically primes workers to bypass verification steps.</w:t>
      </w:r>
    </w:p>
    <w:p w14:paraId="228457CB" w14:textId="77777777" w:rsidR="009C0BFC" w:rsidRDefault="007E539B">
      <w:pPr>
        <w:spacing w:line="360" w:lineRule="auto"/>
        <w:ind w:firstLine="720"/>
        <w:jc w:val="both"/>
      </w:pPr>
      <w:r>
        <w:rPr>
          <w:sz w:val="24"/>
          <w:szCs w:val="24"/>
        </w:rPr>
        <w:t>Fourth, resource constraints mean that many smaller food security organizations lack dedicated IT security personnel. Fifth, the sophisticated mimicry employed by attackers – including deep fake audio used in vishing, near-perfect website clones, and highly personalized spear-phishing emails – makes detection increasingly difficult even for experienced professionals.</w:t>
      </w:r>
    </w:p>
    <w:p w14:paraId="228457CC" w14:textId="77777777" w:rsidR="009C0BFC" w:rsidRDefault="007E539B">
      <w:pPr>
        <w:spacing w:before="200" w:after="100"/>
      </w:pPr>
      <w:r>
        <w:rPr>
          <w:b/>
          <w:bCs/>
          <w:sz w:val="24"/>
          <w:szCs w:val="24"/>
        </w:rPr>
        <w:t>3.5 Strategies Adopted</w:t>
      </w:r>
    </w:p>
    <w:p w14:paraId="228457CD" w14:textId="77777777" w:rsidR="009C0BFC" w:rsidRDefault="007E539B">
      <w:pPr>
        <w:spacing w:line="360" w:lineRule="auto"/>
        <w:ind w:firstLine="720"/>
        <w:jc w:val="both"/>
      </w:pPr>
      <w:r>
        <w:rPr>
          <w:sz w:val="24"/>
          <w:szCs w:val="24"/>
        </w:rPr>
        <w:t xml:space="preserve">Organizations have adopted a multi-layered response strategy combining technical controls, human-centered design, and policy reform. Technical controls include the implementation of Multi-Factor Authentication (MFA) for all financial systems, adoption of zero-trust network architectures, and deployment of AI-powered email filtering. Human-centered approaches include scenario-based social engineering awareness training, gamified </w:t>
      </w:r>
      <w:r>
        <w:rPr>
          <w:sz w:val="24"/>
          <w:szCs w:val="24"/>
        </w:rPr>
        <w:lastRenderedPageBreak/>
        <w:t>phishing simulation exercises, and the establishment of clear escalation protocols for suspicious communications.</w:t>
      </w:r>
    </w:p>
    <w:p w14:paraId="228457CE" w14:textId="77777777" w:rsidR="009C0BFC" w:rsidRDefault="007E539B">
      <w:pPr>
        <w:spacing w:line="360" w:lineRule="auto"/>
        <w:ind w:firstLine="720"/>
        <w:jc w:val="both"/>
      </w:pPr>
      <w:r>
        <w:rPr>
          <w:sz w:val="24"/>
          <w:szCs w:val="24"/>
        </w:rPr>
        <w:t>Policy reforms include mandatory dual-authorization for all fund transfers above threshold amounts, regular third-party security audits, and contractual cybersecurity compliance requirements for partner organizations. Several major NGOs have also established dedicated Security Focal Points at the field level, ensuring that even decentralized operations maintain a baseline security posture.</w:t>
      </w:r>
    </w:p>
    <w:p w14:paraId="228457CF" w14:textId="77777777" w:rsidR="009C0BFC" w:rsidRDefault="009C0BFC">
      <w:pPr>
        <w:sectPr w:rsidR="009C0BFC">
          <w:footerReference w:type="default" r:id="rId13"/>
          <w:pgSz w:w="11906" w:h="16838"/>
          <w:pgMar w:top="1440" w:right="1440" w:bottom="1440" w:left="1440" w:header="708" w:footer="708" w:gutter="0"/>
          <w:cols w:space="720"/>
          <w:docGrid w:linePitch="360"/>
        </w:sectPr>
      </w:pPr>
    </w:p>
    <w:p w14:paraId="228457D0" w14:textId="77777777" w:rsidR="009C0BFC" w:rsidRDefault="007E539B">
      <w:pPr>
        <w:pageBreakBefore/>
        <w:spacing w:before="240" w:after="120"/>
      </w:pPr>
      <w:r>
        <w:rPr>
          <w:b/>
          <w:bCs/>
          <w:sz w:val="28"/>
          <w:szCs w:val="28"/>
        </w:rPr>
        <w:lastRenderedPageBreak/>
        <w:t>4. THEORETICAL MAPPING TO SYLLABUS</w:t>
      </w:r>
    </w:p>
    <w:p w14:paraId="228457D1" w14:textId="77777777" w:rsidR="009C0BFC" w:rsidRDefault="007E539B">
      <w:pPr>
        <w:spacing w:line="360" w:lineRule="auto"/>
        <w:ind w:firstLine="720"/>
        <w:jc w:val="both"/>
      </w:pPr>
      <w:r>
        <w:rPr>
          <w:sz w:val="24"/>
          <w:szCs w:val="24"/>
        </w:rPr>
        <w:t>This section maps the incidents and themes described in the case study to key concepts from the 21PDH209T Social Engineering course syllabus.</w:t>
      </w:r>
    </w:p>
    <w:p w14:paraId="228457D2" w14:textId="77777777" w:rsidR="009C0BFC" w:rsidRDefault="009C0BFC">
      <w:pPr>
        <w:spacing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9C0BFC" w14:paraId="228457D5" w14:textId="77777777">
        <w:tblPrEx>
          <w:tblCellMar>
            <w:top w:w="0" w:type="dxa"/>
            <w:bottom w:w="0" w:type="dxa"/>
          </w:tblCellMar>
        </w:tblPrEx>
        <w:tc>
          <w:tcPr>
            <w:tcW w:w="35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228457D3" w14:textId="77777777" w:rsidR="009C0BFC" w:rsidRDefault="007E539B">
            <w:pPr>
              <w:jc w:val="center"/>
            </w:pPr>
            <w:r>
              <w:rPr>
                <w:b/>
                <w:bCs/>
                <w:sz w:val="22"/>
                <w:szCs w:val="22"/>
              </w:rPr>
              <w:t>COURSE CONCEPT</w:t>
            </w:r>
          </w:p>
        </w:tc>
        <w:tc>
          <w:tcPr>
            <w:tcW w:w="5526"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228457D4" w14:textId="77777777" w:rsidR="009C0BFC" w:rsidRDefault="007E539B">
            <w:pPr>
              <w:jc w:val="center"/>
            </w:pPr>
            <w:r>
              <w:rPr>
                <w:b/>
                <w:bCs/>
                <w:sz w:val="22"/>
                <w:szCs w:val="22"/>
              </w:rPr>
              <w:t>APPLICATION IN THE CASE STUDY</w:t>
            </w:r>
          </w:p>
        </w:tc>
      </w:tr>
      <w:tr w:rsidR="009C0BFC" w14:paraId="228457D8" w14:textId="77777777">
        <w:tblPrEx>
          <w:tblCellMar>
            <w:top w:w="0" w:type="dxa"/>
            <w:bottom w:w="0" w:type="dxa"/>
          </w:tblCellMar>
        </w:tblPrEx>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D6" w14:textId="77777777" w:rsidR="009C0BFC" w:rsidRDefault="007E539B">
            <w:r>
              <w:rPr>
                <w:sz w:val="22"/>
                <w:szCs w:val="22"/>
              </w:rPr>
              <w:t>Introduction to Social Engineering</w:t>
            </w:r>
          </w:p>
        </w:tc>
        <w:tc>
          <w:tcPr>
            <w:tcW w:w="5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D7" w14:textId="77777777" w:rsidR="009C0BFC" w:rsidRDefault="007E539B">
            <w:r>
              <w:rPr>
                <w:sz w:val="22"/>
                <w:szCs w:val="22"/>
              </w:rPr>
              <w:t>The case directly demonstrates core SE attack vectors: phishing (FAO portal clones), vishing (food bank grant calls), BEC (WFP fund transfer), and pretexting (Oxfam HR impersonation).</w:t>
            </w:r>
          </w:p>
        </w:tc>
      </w:tr>
      <w:tr w:rsidR="009C0BFC" w14:paraId="228457DB" w14:textId="77777777">
        <w:tblPrEx>
          <w:tblCellMar>
            <w:top w:w="0" w:type="dxa"/>
            <w:bottom w:w="0" w:type="dxa"/>
          </w:tblCellMar>
        </w:tblPrEx>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D9" w14:textId="77777777" w:rsidR="009C0BFC" w:rsidRDefault="007E539B">
            <w:r>
              <w:rPr>
                <w:sz w:val="22"/>
                <w:szCs w:val="22"/>
              </w:rPr>
              <w:t>ISR – Information Security &amp; Risk</w:t>
            </w:r>
          </w:p>
        </w:tc>
        <w:tc>
          <w:tcPr>
            <w:tcW w:w="5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DA" w14:textId="77777777" w:rsidR="009C0BFC" w:rsidRDefault="007E539B">
            <w:r>
              <w:rPr>
                <w:sz w:val="22"/>
                <w:szCs w:val="22"/>
              </w:rPr>
              <w:t>Each incident involves a failure in ISR frameworks: inadequate email authentication, insufficient identity verification, and poor risk classification of humanitarian communication channels.</w:t>
            </w:r>
          </w:p>
        </w:tc>
      </w:tr>
      <w:tr w:rsidR="009C0BFC" w14:paraId="228457DE" w14:textId="77777777">
        <w:tblPrEx>
          <w:tblCellMar>
            <w:top w:w="0" w:type="dxa"/>
            <w:bottom w:w="0" w:type="dxa"/>
          </w:tblCellMar>
        </w:tblPrEx>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DC" w14:textId="77777777" w:rsidR="009C0BFC" w:rsidRDefault="007E539B">
            <w:r>
              <w:rPr>
                <w:sz w:val="22"/>
                <w:szCs w:val="22"/>
              </w:rPr>
              <w:t>SDGs – Sustainable Development Goals</w:t>
            </w:r>
          </w:p>
        </w:tc>
        <w:tc>
          <w:tcPr>
            <w:tcW w:w="5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DD" w14:textId="77777777" w:rsidR="009C0BFC" w:rsidRDefault="007E539B">
            <w:r>
              <w:rPr>
                <w:sz w:val="22"/>
                <w:szCs w:val="22"/>
              </w:rPr>
              <w:t>The case is rooted in SDG 2: Zero Hunger. It demonstrates how SDG-linked humanitarian branding is weaponized to create legitimacy for fraudulent schemes exploiting public awareness of global hunger crises.</w:t>
            </w:r>
          </w:p>
        </w:tc>
      </w:tr>
      <w:tr w:rsidR="009C0BFC" w14:paraId="228457E1" w14:textId="77777777">
        <w:tblPrEx>
          <w:tblCellMar>
            <w:top w:w="0" w:type="dxa"/>
            <w:bottom w:w="0" w:type="dxa"/>
          </w:tblCellMar>
        </w:tblPrEx>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DF" w14:textId="77777777" w:rsidR="009C0BFC" w:rsidRDefault="007E539B">
            <w:r>
              <w:rPr>
                <w:sz w:val="22"/>
                <w:szCs w:val="22"/>
              </w:rPr>
              <w:t>CSR – Corporate Social Responsibility</w:t>
            </w:r>
          </w:p>
        </w:tc>
        <w:tc>
          <w:tcPr>
            <w:tcW w:w="5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E0" w14:textId="77777777" w:rsidR="009C0BFC" w:rsidRDefault="007E539B">
            <w:r>
              <w:rPr>
                <w:sz w:val="22"/>
                <w:szCs w:val="22"/>
              </w:rPr>
              <w:t>Corporate donors and private sector partners contributing to Zero Hunger through CSR programs have been targeted by fraudulent solicitations impersonating legitimate NGOs, exposing CSR channels as attack vectors.</w:t>
            </w:r>
          </w:p>
        </w:tc>
      </w:tr>
      <w:tr w:rsidR="009C0BFC" w14:paraId="228457E4" w14:textId="77777777">
        <w:tblPrEx>
          <w:tblCellMar>
            <w:top w:w="0" w:type="dxa"/>
            <w:bottom w:w="0" w:type="dxa"/>
          </w:tblCellMar>
        </w:tblPrEx>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E2" w14:textId="77777777" w:rsidR="009C0BFC" w:rsidRDefault="007E539B">
            <w:r>
              <w:rPr>
                <w:sz w:val="22"/>
                <w:szCs w:val="22"/>
              </w:rPr>
              <w:t>NPO/NGO Frameworks</w:t>
            </w:r>
          </w:p>
        </w:tc>
        <w:tc>
          <w:tcPr>
            <w:tcW w:w="5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E3" w14:textId="77777777" w:rsidR="009C0BFC" w:rsidRDefault="007E539B">
            <w:r>
              <w:rPr>
                <w:sz w:val="22"/>
                <w:szCs w:val="22"/>
              </w:rPr>
              <w:t>The decentralized, trust-based operational model of NPOs/NGOs is specifically exploited. Attackers understand that NGO culture minimizes bureaucratic barriers – making impersonation and social engineering particularly effective.</w:t>
            </w:r>
          </w:p>
        </w:tc>
      </w:tr>
      <w:tr w:rsidR="009C0BFC" w14:paraId="228457E7" w14:textId="77777777">
        <w:tblPrEx>
          <w:tblCellMar>
            <w:top w:w="0" w:type="dxa"/>
            <w:bottom w:w="0" w:type="dxa"/>
          </w:tblCellMar>
        </w:tblPrEx>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E5" w14:textId="77777777" w:rsidR="009C0BFC" w:rsidRDefault="007E539B">
            <w:r>
              <w:rPr>
                <w:sz w:val="22"/>
                <w:szCs w:val="22"/>
              </w:rPr>
              <w:t>PERMA Theory</w:t>
            </w:r>
          </w:p>
        </w:tc>
        <w:tc>
          <w:tcPr>
            <w:tcW w:w="5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E6" w14:textId="77777777" w:rsidR="009C0BFC" w:rsidRDefault="007E539B">
            <w:r>
              <w:rPr>
                <w:sz w:val="22"/>
                <w:szCs w:val="22"/>
              </w:rPr>
              <w:t>Martin Seligman’s PERMA framework (Positive Emotions, Engagement, Relationships, Meaning, Achievement) explains why aid workers are psychologically vulnerable: their deep sense of Meaning and Relationships to beneficiaries creates emotional urgency that attackers exploit.</w:t>
            </w:r>
          </w:p>
        </w:tc>
      </w:tr>
    </w:tbl>
    <w:p w14:paraId="228457E8" w14:textId="77777777" w:rsidR="009C0BFC" w:rsidRDefault="007E539B">
      <w:pPr>
        <w:spacing w:before="120" w:after="240"/>
        <w:jc w:val="center"/>
      </w:pPr>
      <w:r>
        <w:rPr>
          <w:i/>
          <w:iCs/>
          <w:sz w:val="22"/>
          <w:szCs w:val="22"/>
        </w:rPr>
        <w:t>Table 2: Theoretical Mapping of Case Study to Course Concepts</w:t>
      </w:r>
    </w:p>
    <w:p w14:paraId="228457E9" w14:textId="77777777" w:rsidR="009C0BFC" w:rsidRDefault="007E539B">
      <w:pPr>
        <w:spacing w:line="360" w:lineRule="auto"/>
        <w:ind w:firstLine="720"/>
        <w:jc w:val="both"/>
      </w:pPr>
      <w:r>
        <w:rPr>
          <w:sz w:val="24"/>
          <w:szCs w:val="24"/>
        </w:rPr>
        <w:t>The case study therefore serves as a comprehensive real-world demonstration of the convergence of social engineering theory with international development practice. It underscores that social engineers do not operate in a vacuum – they actively study organizational culture, mission alignment, and the psychological profile of their targets before launching attacks.</w:t>
      </w:r>
    </w:p>
    <w:p w14:paraId="228457EA" w14:textId="77777777" w:rsidR="009C0BFC" w:rsidRDefault="009C0BFC">
      <w:pPr>
        <w:sectPr w:rsidR="009C0BFC">
          <w:footerReference w:type="default" r:id="rId14"/>
          <w:pgSz w:w="11906" w:h="16838"/>
          <w:pgMar w:top="1440" w:right="1440" w:bottom="1440" w:left="1440" w:header="708" w:footer="708" w:gutter="0"/>
          <w:cols w:space="720"/>
          <w:docGrid w:linePitch="360"/>
        </w:sectPr>
      </w:pPr>
    </w:p>
    <w:p w14:paraId="228457EB" w14:textId="77777777" w:rsidR="009C0BFC" w:rsidRDefault="007E539B">
      <w:pPr>
        <w:pageBreakBefore/>
        <w:spacing w:before="240" w:after="120"/>
      </w:pPr>
      <w:r>
        <w:rPr>
          <w:b/>
          <w:bCs/>
          <w:sz w:val="28"/>
          <w:szCs w:val="28"/>
        </w:rPr>
        <w:lastRenderedPageBreak/>
        <w:t>5. IMPACT ASSESSMENT</w:t>
      </w:r>
    </w:p>
    <w:p w14:paraId="228457EC" w14:textId="77777777" w:rsidR="009C0BFC" w:rsidRDefault="007E539B">
      <w:pPr>
        <w:spacing w:before="200" w:after="100"/>
      </w:pPr>
      <w:r>
        <w:rPr>
          <w:b/>
          <w:bCs/>
          <w:sz w:val="24"/>
          <w:szCs w:val="24"/>
        </w:rPr>
        <w:t>5.1 Social Outcomes</w:t>
      </w:r>
    </w:p>
    <w:p w14:paraId="228457ED" w14:textId="77777777" w:rsidR="009C0BFC" w:rsidRDefault="007E539B">
      <w:pPr>
        <w:spacing w:line="360" w:lineRule="auto"/>
        <w:ind w:firstLine="720"/>
        <w:jc w:val="both"/>
      </w:pPr>
      <w:r>
        <w:rPr>
          <w:sz w:val="24"/>
          <w:szCs w:val="24"/>
        </w:rPr>
        <w:t>The social impact of social engineering attacks on Zero Hunger initiatives is severe and multi-dimensional. Diversion of funds intended for food distribution directly reduces the quantity and reach of aid delivered to food-insecure populations. In documented cases, communities dependent on NGO-operated food programs experienced distribution delays of weeks to months following financial fraud incidents. Trust erosion is another critical social outcome – both public donors and institutional funders become mor</w:t>
      </w:r>
      <w:r>
        <w:rPr>
          <w:sz w:val="24"/>
          <w:szCs w:val="24"/>
        </w:rPr>
        <w:t>e cautious following publicized fraud incidents, reducing overall donation volumes to legitimate organizations.</w:t>
      </w:r>
    </w:p>
    <w:p w14:paraId="228457EE" w14:textId="77777777" w:rsidR="009C0BFC" w:rsidRDefault="007E539B">
      <w:pPr>
        <w:spacing w:line="360" w:lineRule="auto"/>
        <w:ind w:firstLine="720"/>
        <w:jc w:val="both"/>
      </w:pPr>
      <w:r>
        <w:rPr>
          <w:sz w:val="24"/>
          <w:szCs w:val="24"/>
        </w:rPr>
        <w:t>Data breaches affecting beneficiary databases also carry profound privacy implications. In conflict zones, exposure of beneficiary identities can place vulnerable populations at physical risk, as their locations and dependency on aid programs may be used to target them by hostile actors.</w:t>
      </w:r>
    </w:p>
    <w:p w14:paraId="228457EF" w14:textId="77777777" w:rsidR="009C0BFC" w:rsidRDefault="007E539B">
      <w:pPr>
        <w:spacing w:before="200" w:after="100"/>
      </w:pPr>
      <w:r>
        <w:rPr>
          <w:b/>
          <w:bCs/>
          <w:sz w:val="24"/>
          <w:szCs w:val="24"/>
        </w:rPr>
        <w:t>5.2 Economic Outcomes</w:t>
      </w:r>
    </w:p>
    <w:p w14:paraId="228457F0" w14:textId="77777777" w:rsidR="009C0BFC" w:rsidRDefault="007E539B">
      <w:pPr>
        <w:spacing w:line="360" w:lineRule="auto"/>
        <w:ind w:firstLine="720"/>
        <w:jc w:val="both"/>
      </w:pPr>
      <w:r>
        <w:rPr>
          <w:sz w:val="24"/>
          <w:szCs w:val="24"/>
        </w:rPr>
        <w:t>The economic damage from social engineering attacks on food aid organizations is substantial. According to reports from the UN Office of Internal Oversight Services (OIOS), humanitarian organizations collectively lose an estimated USD 2.8 billion annually to fraud, a significant portion of which involves social engineering as the initial attack vector. For smaller national food banks operating on tight budgets, a single successful BEC attack can constitute a catastrophic percentage of annual operating funds</w:t>
      </w:r>
      <w:r>
        <w:rPr>
          <w:sz w:val="24"/>
          <w:szCs w:val="24"/>
        </w:rPr>
        <w:t>.</w:t>
      </w:r>
    </w:p>
    <w:p w14:paraId="228457F1" w14:textId="77777777" w:rsidR="009C0BFC" w:rsidRDefault="007E539B">
      <w:pPr>
        <w:spacing w:line="360" w:lineRule="auto"/>
        <w:ind w:firstLine="720"/>
        <w:jc w:val="both"/>
      </w:pPr>
      <w:r>
        <w:rPr>
          <w:sz w:val="24"/>
          <w:szCs w:val="24"/>
        </w:rPr>
        <w:t>Indirect economic costs include the investment required for post-incident forensic investigation, system remediation, legal compliance, and reputational rehabilitation. The World Food Programme estimated that its total cybersecurity expenditure increased by 340% between 2018 and 2022, largely in response to escalating social engineering threats.</w:t>
      </w:r>
    </w:p>
    <w:p w14:paraId="228457F2" w14:textId="77777777" w:rsidR="009C0BFC" w:rsidRDefault="007E539B">
      <w:pPr>
        <w:spacing w:before="200" w:after="100"/>
      </w:pPr>
      <w:r>
        <w:rPr>
          <w:b/>
          <w:bCs/>
          <w:sz w:val="24"/>
          <w:szCs w:val="24"/>
        </w:rPr>
        <w:t>5.3 SWOT Analysis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9C0BFC" w14:paraId="228457F5" w14:textId="77777777">
        <w:tblPrEx>
          <w:tblCellMar>
            <w:top w:w="0" w:type="dxa"/>
            <w:bottom w:w="0" w:type="dxa"/>
          </w:tblCellMar>
        </w:tblPrEx>
        <w:tc>
          <w:tcPr>
            <w:tcW w:w="4513"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228457F3" w14:textId="77777777" w:rsidR="009C0BFC" w:rsidRDefault="007E539B">
            <w:pPr>
              <w:jc w:val="center"/>
            </w:pPr>
            <w:r>
              <w:rPr>
                <w:b/>
                <w:bCs/>
                <w:sz w:val="22"/>
                <w:szCs w:val="22"/>
              </w:rPr>
              <w:t>STRENGTHS</w:t>
            </w:r>
          </w:p>
        </w:tc>
        <w:tc>
          <w:tcPr>
            <w:tcW w:w="4513"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228457F4" w14:textId="77777777" w:rsidR="009C0BFC" w:rsidRDefault="007E539B">
            <w:pPr>
              <w:jc w:val="center"/>
            </w:pPr>
            <w:r>
              <w:rPr>
                <w:b/>
                <w:bCs/>
                <w:sz w:val="22"/>
                <w:szCs w:val="22"/>
              </w:rPr>
              <w:t>WEAKNESSES</w:t>
            </w:r>
          </w:p>
        </w:tc>
      </w:tr>
      <w:tr w:rsidR="009C0BFC" w14:paraId="228457F8" w14:textId="77777777">
        <w:tblPrEx>
          <w:tblCellMar>
            <w:top w:w="0" w:type="dxa"/>
            <w:bottom w:w="0" w:type="dxa"/>
          </w:tblCellMar>
        </w:tblPrEx>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F6" w14:textId="77777777" w:rsidR="009C0BFC" w:rsidRDefault="007E539B">
            <w:r>
              <w:rPr>
                <w:sz w:val="22"/>
                <w:szCs w:val="22"/>
              </w:rPr>
              <w:t>Strong global institutional network (UN, WFP, FAO). Growing cybersecurity awareness within major NGOs. Humanitarian Cybersecurity Center providing specialized support. High public trust enabling rapid mobilization of donor support.</w:t>
            </w:r>
          </w:p>
        </w:tc>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F7" w14:textId="77777777" w:rsidR="009C0BFC" w:rsidRDefault="007E539B">
            <w:r>
              <w:rPr>
                <w:sz w:val="22"/>
                <w:szCs w:val="22"/>
              </w:rPr>
              <w:t>High volunteer turnover limiting sustained security training. Culture of urgency bypassing verification protocols. Limited IT security budgets in smaller organizations. Decentralized field operations difficult to secure.</w:t>
            </w:r>
          </w:p>
        </w:tc>
      </w:tr>
      <w:tr w:rsidR="009C0BFC" w14:paraId="228457FB" w14:textId="77777777">
        <w:tblPrEx>
          <w:tblCellMar>
            <w:top w:w="0" w:type="dxa"/>
            <w:bottom w:w="0" w:type="dxa"/>
          </w:tblCellMar>
        </w:tblPrEx>
        <w:tc>
          <w:tcPr>
            <w:tcW w:w="4513"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228457F9" w14:textId="77777777" w:rsidR="009C0BFC" w:rsidRDefault="007E539B">
            <w:pPr>
              <w:jc w:val="center"/>
            </w:pPr>
            <w:r>
              <w:rPr>
                <w:b/>
                <w:bCs/>
                <w:sz w:val="22"/>
                <w:szCs w:val="22"/>
              </w:rPr>
              <w:t>OPPORTUNITIES</w:t>
            </w:r>
          </w:p>
        </w:tc>
        <w:tc>
          <w:tcPr>
            <w:tcW w:w="4513"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228457FA" w14:textId="77777777" w:rsidR="009C0BFC" w:rsidRDefault="007E539B">
            <w:pPr>
              <w:jc w:val="center"/>
            </w:pPr>
            <w:r>
              <w:rPr>
                <w:b/>
                <w:bCs/>
                <w:sz w:val="22"/>
                <w:szCs w:val="22"/>
              </w:rPr>
              <w:t>THREATS</w:t>
            </w:r>
          </w:p>
        </w:tc>
      </w:tr>
      <w:tr w:rsidR="009C0BFC" w14:paraId="228457FE" w14:textId="77777777">
        <w:tblPrEx>
          <w:tblCellMar>
            <w:top w:w="0" w:type="dxa"/>
            <w:bottom w:w="0" w:type="dxa"/>
          </w:tblCellMar>
        </w:tblPrEx>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FC" w14:textId="77777777" w:rsidR="009C0BFC" w:rsidRDefault="007E539B">
            <w:r>
              <w:rPr>
                <w:sz w:val="22"/>
                <w:szCs w:val="22"/>
              </w:rPr>
              <w:lastRenderedPageBreak/>
              <w:t>AI-powered threat detection tools becoming more accessible. Growing global movement for digital literacy in development sector. Opportunity to embed cybersecurity in SDG implementation frameworks. Corporate cybersecurity partnerships through CSR programs.</w:t>
            </w:r>
          </w:p>
        </w:tc>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457FD" w14:textId="77777777" w:rsidR="009C0BFC" w:rsidRDefault="007E539B">
            <w:r>
              <w:rPr>
                <w:sz w:val="22"/>
                <w:szCs w:val="22"/>
              </w:rPr>
              <w:t>Increasingly sophisticated AI-generated deepfake attacks. Organized cybercriminal networks specifically targeting NGOs. Expanding attack surface as field operations become digitized. Regulatory compliance gaps in developing countries hosting food programs.</w:t>
            </w:r>
          </w:p>
        </w:tc>
      </w:tr>
    </w:tbl>
    <w:p w14:paraId="228457FF" w14:textId="77777777" w:rsidR="009C0BFC" w:rsidRDefault="007E539B">
      <w:pPr>
        <w:spacing w:before="120" w:after="240"/>
        <w:jc w:val="center"/>
      </w:pPr>
      <w:r>
        <w:rPr>
          <w:i/>
          <w:iCs/>
          <w:sz w:val="22"/>
          <w:szCs w:val="22"/>
        </w:rPr>
        <w:t>Table 3: SWOT Analysis of Zero Hunger Organizations’ Cybersecurity Posture</w:t>
      </w:r>
    </w:p>
    <w:p w14:paraId="22845800" w14:textId="77777777" w:rsidR="009C0BFC" w:rsidRDefault="009C0BFC">
      <w:pPr>
        <w:sectPr w:rsidR="009C0BFC">
          <w:footerReference w:type="default" r:id="rId15"/>
          <w:pgSz w:w="11906" w:h="16838"/>
          <w:pgMar w:top="1440" w:right="1440" w:bottom="1440" w:left="1440" w:header="708" w:footer="708" w:gutter="0"/>
          <w:cols w:space="720"/>
          <w:docGrid w:linePitch="360"/>
        </w:sectPr>
      </w:pPr>
    </w:p>
    <w:p w14:paraId="22845801" w14:textId="77777777" w:rsidR="009C0BFC" w:rsidRDefault="007E539B">
      <w:pPr>
        <w:pageBreakBefore/>
        <w:spacing w:before="240" w:after="120"/>
      </w:pPr>
      <w:r>
        <w:rPr>
          <w:b/>
          <w:bCs/>
          <w:sz w:val="28"/>
          <w:szCs w:val="28"/>
        </w:rPr>
        <w:lastRenderedPageBreak/>
        <w:t>6. KEY LEARNINGS</w:t>
      </w:r>
    </w:p>
    <w:p w14:paraId="22845802" w14:textId="77777777" w:rsidR="009C0BFC" w:rsidRDefault="007E539B">
      <w:pPr>
        <w:spacing w:line="360" w:lineRule="auto"/>
        <w:ind w:firstLine="720"/>
        <w:jc w:val="both"/>
      </w:pPr>
      <w:r>
        <w:rPr>
          <w:sz w:val="24"/>
          <w:szCs w:val="24"/>
        </w:rPr>
        <w:t>This case study offers several profound insights that extend beyond the immediate context of food aid and into the broader practice of organizational cybersecurity and social engineering defence.</w:t>
      </w:r>
    </w:p>
    <w:p w14:paraId="22845803" w14:textId="77777777" w:rsidR="009C0BFC" w:rsidRDefault="007E539B">
      <w:pPr>
        <w:spacing w:line="360" w:lineRule="auto"/>
        <w:ind w:firstLine="720"/>
        <w:jc w:val="both"/>
      </w:pPr>
      <w:r>
        <w:rPr>
          <w:sz w:val="24"/>
          <w:szCs w:val="24"/>
        </w:rPr>
        <w:t>First, emotional exploitation is the cornerstone of social engineering in humanitarian contexts. Attackers do not merely exploit technical vulnerabilities – they engineer emotional states. By invoking the suffering of hunger-affected populations, attackers create a psychological environment where victims prioritize rapid response over critical verification. This insight reinforces the PERMA-based understanding that the very Meaning and Purpose that motivate humanitarian workers also render them uniquely sus</w:t>
      </w:r>
      <w:r>
        <w:rPr>
          <w:sz w:val="24"/>
          <w:szCs w:val="24"/>
        </w:rPr>
        <w:t>ceptible.</w:t>
      </w:r>
    </w:p>
    <w:p w14:paraId="22845804" w14:textId="77777777" w:rsidR="009C0BFC" w:rsidRDefault="007E539B">
      <w:pPr>
        <w:spacing w:line="360" w:lineRule="auto"/>
        <w:ind w:firstLine="720"/>
        <w:jc w:val="both"/>
      </w:pPr>
      <w:r>
        <w:rPr>
          <w:sz w:val="24"/>
          <w:szCs w:val="24"/>
        </w:rPr>
        <w:t>Second, organizational culture matters as much as technical controls. The case studies demonstrate that even organizations with robust IT infrastructure can fall victim to social engineering if their culture does not actively cultivate healthy skepticism and verification habits. A security-conscious culture must be embedded alongside the mission-driven culture that defines NGO work.</w:t>
      </w:r>
    </w:p>
    <w:p w14:paraId="22845805" w14:textId="77777777" w:rsidR="009C0BFC" w:rsidRDefault="007E539B">
      <w:pPr>
        <w:spacing w:line="360" w:lineRule="auto"/>
        <w:ind w:firstLine="720"/>
        <w:jc w:val="both"/>
      </w:pPr>
      <w:r>
        <w:rPr>
          <w:sz w:val="24"/>
          <w:szCs w:val="24"/>
        </w:rPr>
        <w:t>Third, the SDG branding ecosystem creates a new attack surface. The global recognition and public trust associated with UN Sustainable Development Goals have made SDG-linked branding a powerful tool for social engineers. This is a critical insight for organizations operating within the SDG framework: high public visibility comes with proportionally high impersonation risk.</w:t>
      </w:r>
    </w:p>
    <w:p w14:paraId="22845806" w14:textId="77777777" w:rsidR="009C0BFC" w:rsidRDefault="007E539B">
      <w:pPr>
        <w:spacing w:line="360" w:lineRule="auto"/>
        <w:ind w:firstLine="720"/>
        <w:jc w:val="both"/>
      </w:pPr>
      <w:r>
        <w:rPr>
          <w:sz w:val="24"/>
          <w:szCs w:val="24"/>
        </w:rPr>
        <w:t>Fourth, decentralization amplifies risk. The decentralized, field-based operational model of food aid organizations is operationally necessary but creates significant verification gaps. Social engineers specifically target peripheral nodes in organizational networks – field staff, new volunteers, remote offices – where security oversight is weakest.</w:t>
      </w:r>
    </w:p>
    <w:p w14:paraId="22845807" w14:textId="77777777" w:rsidR="009C0BFC" w:rsidRDefault="007E539B">
      <w:pPr>
        <w:spacing w:line="360" w:lineRule="auto"/>
        <w:ind w:firstLine="720"/>
        <w:jc w:val="both"/>
      </w:pPr>
      <w:r>
        <w:rPr>
          <w:sz w:val="24"/>
          <w:szCs w:val="24"/>
        </w:rPr>
        <w:t>Fifth, the beneficiary community bears the ultimate cost. Unlike corporate cyberattacks where the primary victim is the organization, social engineering attacks on food aid organizations create cascading harm to the world’s most vulnerable populations. This underscores the ethical imperative for robust security practices in the development sector.</w:t>
      </w:r>
    </w:p>
    <w:p w14:paraId="22845808" w14:textId="77777777" w:rsidR="009C0BFC" w:rsidRDefault="009C0BFC">
      <w:pPr>
        <w:sectPr w:rsidR="009C0BFC">
          <w:footerReference w:type="default" r:id="rId16"/>
          <w:pgSz w:w="11906" w:h="16838"/>
          <w:pgMar w:top="1440" w:right="1440" w:bottom="1440" w:left="1440" w:header="708" w:footer="708" w:gutter="0"/>
          <w:cols w:space="720"/>
          <w:docGrid w:linePitch="360"/>
        </w:sectPr>
      </w:pPr>
    </w:p>
    <w:p w14:paraId="22845809" w14:textId="77777777" w:rsidR="009C0BFC" w:rsidRDefault="007E539B">
      <w:pPr>
        <w:pageBreakBefore/>
        <w:spacing w:before="240" w:after="120"/>
      </w:pPr>
      <w:r>
        <w:rPr>
          <w:b/>
          <w:bCs/>
          <w:sz w:val="28"/>
          <w:szCs w:val="28"/>
        </w:rPr>
        <w:lastRenderedPageBreak/>
        <w:t>7. SUGGESTIONS / RECOMMENDATIONS</w:t>
      </w:r>
    </w:p>
    <w:p w14:paraId="2284580A" w14:textId="77777777" w:rsidR="009C0BFC" w:rsidRDefault="007E539B">
      <w:pPr>
        <w:spacing w:line="360" w:lineRule="auto"/>
        <w:ind w:firstLine="720"/>
        <w:jc w:val="both"/>
      </w:pPr>
      <w:r>
        <w:rPr>
          <w:sz w:val="24"/>
          <w:szCs w:val="24"/>
        </w:rPr>
        <w:t>Based on the findings of this case study, the following recommendations are proposed for organizations operating within the SDG 2: Zero Hunger ecosystem:</w:t>
      </w:r>
    </w:p>
    <w:p w14:paraId="2284580B" w14:textId="77777777" w:rsidR="009C0BFC" w:rsidRDefault="007E539B">
      <w:pPr>
        <w:spacing w:before="200" w:after="100"/>
      </w:pPr>
      <w:r>
        <w:rPr>
          <w:b/>
          <w:bCs/>
          <w:sz w:val="24"/>
          <w:szCs w:val="24"/>
        </w:rPr>
        <w:t>7.1 Implement Mandatory Social Engineering Awareness Training</w:t>
      </w:r>
    </w:p>
    <w:p w14:paraId="2284580C" w14:textId="77777777" w:rsidR="009C0BFC" w:rsidRDefault="007E539B">
      <w:pPr>
        <w:spacing w:line="360" w:lineRule="auto"/>
        <w:ind w:firstLine="720"/>
        <w:jc w:val="both"/>
      </w:pPr>
      <w:r>
        <w:rPr>
          <w:sz w:val="24"/>
          <w:szCs w:val="24"/>
        </w:rPr>
        <w:t>All personnel – including short-term volunteers and field workers – should undergo mandatory, regular social engineering awareness training. Training should be scenario-based, using realistic phishing simulations and role-play exercises modeled on actual incidents in the humanitarian sector. Training frequency should align with staff turnover rates to ensure continuous coverage.</w:t>
      </w:r>
    </w:p>
    <w:p w14:paraId="2284580D" w14:textId="77777777" w:rsidR="009C0BFC" w:rsidRDefault="007E539B">
      <w:pPr>
        <w:spacing w:before="200" w:after="100"/>
      </w:pPr>
      <w:r>
        <w:rPr>
          <w:b/>
          <w:bCs/>
          <w:sz w:val="24"/>
          <w:szCs w:val="24"/>
        </w:rPr>
        <w:t>7.2 Establish Robust Identity Verification Protocols</w:t>
      </w:r>
    </w:p>
    <w:p w14:paraId="2284580E" w14:textId="77777777" w:rsidR="009C0BFC" w:rsidRDefault="007E539B">
      <w:pPr>
        <w:spacing w:line="360" w:lineRule="auto"/>
        <w:ind w:firstLine="720"/>
        <w:jc w:val="both"/>
      </w:pPr>
      <w:r>
        <w:rPr>
          <w:sz w:val="24"/>
          <w:szCs w:val="24"/>
        </w:rPr>
        <w:t>Organizations should implement strict identity verification protocols for all financial transactions, data sharing requests, and partner communications. A multi-step verification process combining email authentication (DMARC, SPF, DKIM), telephone callback verification, and digital signature validation should be standard practice. No fund transfer should be authorized based solely on an email request, regardless of apparent sender authority.</w:t>
      </w:r>
    </w:p>
    <w:p w14:paraId="2284580F" w14:textId="77777777" w:rsidR="009C0BFC" w:rsidRDefault="007E539B">
      <w:pPr>
        <w:spacing w:before="200" w:after="100"/>
      </w:pPr>
      <w:r>
        <w:rPr>
          <w:b/>
          <w:bCs/>
          <w:sz w:val="24"/>
          <w:szCs w:val="24"/>
        </w:rPr>
        <w:t>7.3 Develop a Humanitarian Cybersecurity Framework</w:t>
      </w:r>
    </w:p>
    <w:p w14:paraId="22845810" w14:textId="77777777" w:rsidR="009C0BFC" w:rsidRDefault="007E539B">
      <w:pPr>
        <w:spacing w:line="360" w:lineRule="auto"/>
        <w:ind w:firstLine="720"/>
        <w:jc w:val="both"/>
      </w:pPr>
      <w:r>
        <w:rPr>
          <w:sz w:val="24"/>
          <w:szCs w:val="24"/>
        </w:rPr>
        <w:t>A sector-specific Humanitarian Cybersecurity Framework (HCF) should be developed in collaboration with UN agencies, major NGOs, and cybersecurity institutions. This framework should address the unique operational constraints of field-based organizations, including low-bandwidth environments and high staff turnover, while providing actionable security baselines proportionate to organizational size and risk profile.</w:t>
      </w:r>
    </w:p>
    <w:p w14:paraId="22845811" w14:textId="77777777" w:rsidR="009C0BFC" w:rsidRDefault="007E539B">
      <w:pPr>
        <w:spacing w:before="200" w:after="100"/>
      </w:pPr>
      <w:r>
        <w:rPr>
          <w:b/>
          <w:bCs/>
          <w:sz w:val="24"/>
          <w:szCs w:val="24"/>
        </w:rPr>
        <w:t>7.4 Leverage CSR Partnerships for Security Investment</w:t>
      </w:r>
    </w:p>
    <w:p w14:paraId="22845812" w14:textId="77777777" w:rsidR="009C0BFC" w:rsidRDefault="007E539B">
      <w:pPr>
        <w:spacing w:line="360" w:lineRule="auto"/>
        <w:ind w:firstLine="720"/>
        <w:jc w:val="both"/>
      </w:pPr>
      <w:r>
        <w:rPr>
          <w:sz w:val="24"/>
          <w:szCs w:val="24"/>
        </w:rPr>
        <w:t>Organizations should actively pursue CSR partnerships with technology companies to access pro-bono cybersecurity services, threat intelligence, and security infrastructure support. Programs such as Microsoft’s TechSpark for Nonprofits and Google’s Nonprofit Technology Grants provide accessible entry points for resource-constrained organizations to strengthen their security posture.</w:t>
      </w:r>
    </w:p>
    <w:p w14:paraId="22845813" w14:textId="77777777" w:rsidR="009C0BFC" w:rsidRDefault="007E539B">
      <w:pPr>
        <w:spacing w:before="200" w:after="100"/>
      </w:pPr>
      <w:r>
        <w:rPr>
          <w:b/>
          <w:bCs/>
          <w:sz w:val="24"/>
          <w:szCs w:val="24"/>
        </w:rPr>
        <w:t>7.5 Integrate Cybersecurity into SDG Implementation Reporting</w:t>
      </w:r>
    </w:p>
    <w:p w14:paraId="22845814" w14:textId="77777777" w:rsidR="009C0BFC" w:rsidRDefault="007E539B">
      <w:pPr>
        <w:spacing w:line="360" w:lineRule="auto"/>
        <w:ind w:firstLine="720"/>
        <w:jc w:val="both"/>
      </w:pPr>
      <w:r>
        <w:rPr>
          <w:sz w:val="24"/>
          <w:szCs w:val="24"/>
        </w:rPr>
        <w:t xml:space="preserve">National governments and international bodies should incorporate cybersecurity resilience metrics into SDG 2 implementation reporting. Just as food security outcomes are tracked, the security of the organizations delivering those outcomes should be subject to </w:t>
      </w:r>
      <w:r>
        <w:rPr>
          <w:sz w:val="24"/>
          <w:szCs w:val="24"/>
        </w:rPr>
        <w:lastRenderedPageBreak/>
        <w:t>accountability mechanisms. This would incentivize investment in organizational cyber hygiene as a core component of sustainable development infrastructure.</w:t>
      </w:r>
    </w:p>
    <w:p w14:paraId="22845815" w14:textId="77777777" w:rsidR="009C0BFC" w:rsidRDefault="009C0BFC">
      <w:pPr>
        <w:sectPr w:rsidR="009C0BFC">
          <w:footerReference w:type="default" r:id="rId17"/>
          <w:pgSz w:w="11906" w:h="16838"/>
          <w:pgMar w:top="1440" w:right="1440" w:bottom="1440" w:left="1440" w:header="708" w:footer="708" w:gutter="0"/>
          <w:cols w:space="720"/>
          <w:docGrid w:linePitch="360"/>
        </w:sectPr>
      </w:pPr>
    </w:p>
    <w:p w14:paraId="22845816" w14:textId="77777777" w:rsidR="009C0BFC" w:rsidRDefault="007E539B">
      <w:pPr>
        <w:pageBreakBefore/>
        <w:spacing w:before="240" w:after="120"/>
      </w:pPr>
      <w:r>
        <w:rPr>
          <w:b/>
          <w:bCs/>
          <w:sz w:val="28"/>
          <w:szCs w:val="28"/>
        </w:rPr>
        <w:lastRenderedPageBreak/>
        <w:t>8. CONCLUSION</w:t>
      </w:r>
    </w:p>
    <w:p w14:paraId="22845817" w14:textId="77777777" w:rsidR="009C0BFC" w:rsidRDefault="007E539B">
      <w:pPr>
        <w:spacing w:line="360" w:lineRule="auto"/>
        <w:ind w:firstLine="720"/>
        <w:jc w:val="both"/>
      </w:pPr>
      <w:r>
        <w:rPr>
          <w:sz w:val="24"/>
          <w:szCs w:val="24"/>
        </w:rPr>
        <w:t>This case study has demonstrated that the intersection of social engineering and humanitarian aid – specifically in the context of SDG 2: Zero Hunger – represents one of the most ethically consequential cybersecurity challenges of our time. The exploitation of food aid organizations through psychological manipulation does not merely represent organizational risk; it directly undermines the global commitment to ending hunger and achieving sustainable development.</w:t>
      </w:r>
    </w:p>
    <w:p w14:paraId="22845818" w14:textId="77777777" w:rsidR="009C0BFC" w:rsidRDefault="007E539B">
      <w:pPr>
        <w:spacing w:line="360" w:lineRule="auto"/>
        <w:ind w:firstLine="720"/>
        <w:jc w:val="both"/>
      </w:pPr>
      <w:r>
        <w:rPr>
          <w:sz w:val="24"/>
          <w:szCs w:val="24"/>
        </w:rPr>
        <w:t>Through the analysis of documented incidents spanning 2016 to 2023, this report has shown that social engineers systematically exploit the humanitarian sector’s structural characteristics: its culture of trust, operational urgency, decentralized field presence, high volunteer turnover, and the powerful emotional resonance of its mission. The fact that the suffering of food-insecure populations is weaponized as a manipulation tool makes this form of social engineering particularly reprehensible – and particu</w:t>
      </w:r>
      <w:r>
        <w:rPr>
          <w:sz w:val="24"/>
          <w:szCs w:val="24"/>
        </w:rPr>
        <w:t>larly worthy of rigorous academic and practical attention.</w:t>
      </w:r>
    </w:p>
    <w:p w14:paraId="22845819" w14:textId="77777777" w:rsidR="009C0BFC" w:rsidRDefault="007E539B">
      <w:pPr>
        <w:spacing w:line="360" w:lineRule="auto"/>
        <w:ind w:firstLine="720"/>
        <w:jc w:val="both"/>
      </w:pPr>
      <w:r>
        <w:rPr>
          <w:sz w:val="24"/>
          <w:szCs w:val="24"/>
        </w:rPr>
        <w:t>The theoretical mapping exercise confirmed that the course concepts of Social Engineering, ISR, CSR, PERMA, SDG principles, and NPO/NGO frameworks are not merely academic constructs but directly applicable lenses through which real-world attacks can be understood and countered. Specifically, the PERMA framework’s explanation of the meaning-driven psychology of aid workers, combined with ISR risk analysis, provides a powerful foundation for designing targeted interventions.</w:t>
      </w:r>
    </w:p>
    <w:p w14:paraId="2284581A" w14:textId="77777777" w:rsidR="009C0BFC" w:rsidRDefault="007E539B">
      <w:pPr>
        <w:spacing w:line="360" w:lineRule="auto"/>
        <w:ind w:firstLine="720"/>
        <w:jc w:val="both"/>
      </w:pPr>
      <w:r>
        <w:rPr>
          <w:sz w:val="24"/>
          <w:szCs w:val="24"/>
        </w:rPr>
        <w:t>The recommendations proposed in this report – ranging from mandatory scenario-based training and robust identity verification to the development of a Humanitarian Cybersecurity Framework – are grounded in both the theoretical literature and the practical realities of field operations. Their implementation requires a collective commitment from international bodies, donor organizations, corporate CSR programs, and individual field practitioners.</w:t>
      </w:r>
    </w:p>
    <w:p w14:paraId="2284581B" w14:textId="77777777" w:rsidR="009C0BFC" w:rsidRDefault="007E539B">
      <w:pPr>
        <w:spacing w:line="360" w:lineRule="auto"/>
        <w:ind w:firstLine="720"/>
        <w:jc w:val="both"/>
      </w:pPr>
      <w:r>
        <w:rPr>
          <w:sz w:val="24"/>
          <w:szCs w:val="24"/>
        </w:rPr>
        <w:t>Ultimately, protecting Zero Hunger initiatives from social engineering is not merely a cybersecurity imperative – it is a humanitarian imperative. Every rupee, dollar, or euro protected from fraud is a meal delivered to a child in need. The integrity of the systems we build to feed the world is inseparable from the integrity of the digital and human channels through which that mission is pursued.</w:t>
      </w:r>
    </w:p>
    <w:p w14:paraId="2284581C" w14:textId="77777777" w:rsidR="009C0BFC" w:rsidRDefault="009C0BFC">
      <w:pPr>
        <w:sectPr w:rsidR="009C0BFC">
          <w:footerReference w:type="default" r:id="rId18"/>
          <w:pgSz w:w="11906" w:h="16838"/>
          <w:pgMar w:top="1440" w:right="1440" w:bottom="1440" w:left="1440" w:header="708" w:footer="708" w:gutter="0"/>
          <w:cols w:space="720"/>
          <w:docGrid w:linePitch="360"/>
        </w:sectPr>
      </w:pPr>
    </w:p>
    <w:p w14:paraId="2284581D" w14:textId="77777777" w:rsidR="009C0BFC" w:rsidRDefault="007E539B">
      <w:pPr>
        <w:pageBreakBefore/>
        <w:spacing w:before="240" w:after="120"/>
      </w:pPr>
      <w:r>
        <w:rPr>
          <w:b/>
          <w:bCs/>
          <w:sz w:val="28"/>
          <w:szCs w:val="28"/>
        </w:rPr>
        <w:lastRenderedPageBreak/>
        <w:t>REFERENCES</w:t>
      </w:r>
    </w:p>
    <w:p w14:paraId="2284581E" w14:textId="77777777" w:rsidR="009C0BFC" w:rsidRDefault="007E539B">
      <w:pPr>
        <w:ind w:left="720" w:hanging="720"/>
        <w:jc w:val="both"/>
      </w:pPr>
      <w:r>
        <w:rPr>
          <w:sz w:val="24"/>
          <w:szCs w:val="24"/>
        </w:rPr>
        <w:t>Cialdini, R. B. (2021). Influence: The psychology of persuasion (New and expanded ed.). Harper Business.</w:t>
      </w:r>
    </w:p>
    <w:p w14:paraId="2284581F" w14:textId="77777777" w:rsidR="009C0BFC" w:rsidRDefault="007E539B">
      <w:pPr>
        <w:ind w:left="720" w:hanging="720"/>
        <w:jc w:val="both"/>
      </w:pPr>
      <w:r>
        <w:rPr>
          <w:sz w:val="24"/>
          <w:szCs w:val="24"/>
        </w:rPr>
        <w:t>Cyber Peace Institute. (2022). Cyber attacks on healthcare and humanitarian organizations: Trends and recommendations. https://cyberpeaceinstitute.org/reports</w:t>
      </w:r>
    </w:p>
    <w:p w14:paraId="22845820" w14:textId="77777777" w:rsidR="009C0BFC" w:rsidRDefault="007E539B">
      <w:pPr>
        <w:ind w:left="720" w:hanging="720"/>
        <w:jc w:val="both"/>
      </w:pPr>
      <w:r>
        <w:rPr>
          <w:sz w:val="24"/>
          <w:szCs w:val="24"/>
        </w:rPr>
        <w:t>Hadnagy, C. (2018). Social engineering: The science of human hacking (2nd ed.). Wiley.</w:t>
      </w:r>
    </w:p>
    <w:p w14:paraId="22845821" w14:textId="77777777" w:rsidR="009C0BFC" w:rsidRDefault="007E539B">
      <w:pPr>
        <w:ind w:left="720" w:hanging="720"/>
        <w:jc w:val="both"/>
      </w:pPr>
      <w:r>
        <w:rPr>
          <w:sz w:val="24"/>
          <w:szCs w:val="24"/>
        </w:rPr>
        <w:t>Interpol. (2022). INTERPOL financial crime report 2022: Business email compromise targeting NGOs. https://www.interpol.int/en/News-and-Events/News/2022</w:t>
      </w:r>
    </w:p>
    <w:p w14:paraId="22845822" w14:textId="77777777" w:rsidR="009C0BFC" w:rsidRDefault="007E539B">
      <w:pPr>
        <w:ind w:left="720" w:hanging="720"/>
        <w:jc w:val="both"/>
      </w:pPr>
      <w:r>
        <w:rPr>
          <w:sz w:val="24"/>
          <w:szCs w:val="24"/>
        </w:rPr>
        <w:t>Mitnick, K. D., &amp; Simon, W. L. (2002). The art of deception: Controlling the human element of security. Wiley.</w:t>
      </w:r>
    </w:p>
    <w:p w14:paraId="22845823" w14:textId="77777777" w:rsidR="009C0BFC" w:rsidRDefault="007E539B">
      <w:pPr>
        <w:ind w:left="720" w:hanging="720"/>
        <w:jc w:val="both"/>
      </w:pPr>
      <w:r>
        <w:rPr>
          <w:sz w:val="24"/>
          <w:szCs w:val="24"/>
        </w:rPr>
        <w:t>National Cyber Security Centre (NCSC). (2021). Phishing attacks: Defending your organisation. UK Government. https://www.ncsc.gov.uk/guidance/phishing</w:t>
      </w:r>
    </w:p>
    <w:p w14:paraId="22845824" w14:textId="77777777" w:rsidR="009C0BFC" w:rsidRDefault="007E539B">
      <w:pPr>
        <w:ind w:left="720" w:hanging="720"/>
        <w:jc w:val="both"/>
      </w:pPr>
      <w:r>
        <w:rPr>
          <w:sz w:val="24"/>
          <w:szCs w:val="24"/>
        </w:rPr>
        <w:t>Seligman, M. E. P. (2011). Flourish: A visionary new understanding of happiness and well-being. Free Press.</w:t>
      </w:r>
    </w:p>
    <w:p w14:paraId="22845825" w14:textId="77777777" w:rsidR="009C0BFC" w:rsidRDefault="007E539B">
      <w:pPr>
        <w:ind w:left="720" w:hanging="720"/>
        <w:jc w:val="both"/>
      </w:pPr>
      <w:r>
        <w:rPr>
          <w:sz w:val="24"/>
          <w:szCs w:val="24"/>
        </w:rPr>
        <w:t>United Nations. (2015). Transforming our world: The 2030 Agenda for Sustainable Development (A/RES/70/1). United Nations General Assembly. https://sdgs.un.org/goals/goal2</w:t>
      </w:r>
    </w:p>
    <w:p w14:paraId="22845826" w14:textId="77777777" w:rsidR="009C0BFC" w:rsidRDefault="007E539B">
      <w:pPr>
        <w:ind w:left="720" w:hanging="720"/>
        <w:jc w:val="both"/>
      </w:pPr>
      <w:r>
        <w:rPr>
          <w:sz w:val="24"/>
          <w:szCs w:val="24"/>
        </w:rPr>
        <w:t>United Nations Office for the Coordination of Humanitarian Affairs (OCHA). (2020). Digital humanitarian action: Cybersecurity in aid operations. https://www.unocha.org/</w:t>
      </w:r>
    </w:p>
    <w:p w14:paraId="22845827" w14:textId="77777777" w:rsidR="009C0BFC" w:rsidRDefault="007E539B">
      <w:pPr>
        <w:ind w:left="720" w:hanging="720"/>
        <w:jc w:val="both"/>
      </w:pPr>
      <w:r>
        <w:rPr>
          <w:sz w:val="24"/>
          <w:szCs w:val="24"/>
        </w:rPr>
        <w:t>United Nations Office of Internal Oversight Services (OIOS). (2023). Investigation of fraud and financial misconduct in UN system humanitarian programs. https://oios.un.org/</w:t>
      </w:r>
    </w:p>
    <w:p w14:paraId="22845828" w14:textId="77777777" w:rsidR="009C0BFC" w:rsidRDefault="007E539B">
      <w:pPr>
        <w:ind w:left="720" w:hanging="720"/>
        <w:jc w:val="both"/>
      </w:pPr>
      <w:r>
        <w:rPr>
          <w:sz w:val="24"/>
          <w:szCs w:val="24"/>
        </w:rPr>
        <w:t>World Food Programme (WFP). (2022). WFP annual performance report 2022: Digital systems and cybersecurity. https://www.wfp.org/publications</w:t>
      </w:r>
    </w:p>
    <w:p w14:paraId="22845829" w14:textId="77777777" w:rsidR="009C0BFC" w:rsidRDefault="007E539B">
      <w:pPr>
        <w:ind w:left="720" w:hanging="720"/>
        <w:jc w:val="both"/>
      </w:pPr>
      <w:r>
        <w:rPr>
          <w:sz w:val="24"/>
          <w:szCs w:val="24"/>
        </w:rPr>
        <w:t>World Food Programme (WFP). (2019). Digital safeguarding in humanitarian response: Learning from cyber incidents. Internal Policy Document. WFP Information Technology Division.</w:t>
      </w:r>
    </w:p>
    <w:sectPr w:rsidR="009C0BFC">
      <w:footerReference w:type="default" r:id="rId1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BCDC4" w14:textId="77777777" w:rsidR="007E539B" w:rsidRDefault="007E539B">
      <w:r>
        <w:separator/>
      </w:r>
    </w:p>
  </w:endnote>
  <w:endnote w:type="continuationSeparator" w:id="0">
    <w:p w14:paraId="176F3F93" w14:textId="77777777" w:rsidR="007E539B" w:rsidRDefault="007E53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4582C" w14:textId="66F2C271" w:rsidR="009C0BFC" w:rsidRDefault="007E539B">
    <w:pPr>
      <w:jc w:val="center"/>
    </w:pPr>
    <w:r>
      <w:rPr>
        <w:sz w:val="24"/>
        <w:szCs w:val="24"/>
      </w:rPr>
      <w:fldChar w:fldCharType="begin"/>
    </w:r>
    <w:r>
      <w:rPr>
        <w:sz w:val="24"/>
        <w:szCs w:val="24"/>
      </w:rPr>
      <w:instrText>PAGE</w:instrText>
    </w:r>
    <w:r>
      <w:rPr>
        <w:sz w:val="24"/>
        <w:szCs w:val="24"/>
      </w:rPr>
      <w:fldChar w:fldCharType="separate"/>
    </w:r>
    <w:r w:rsidR="00FD5534">
      <w:rPr>
        <w:noProof/>
        <w:sz w:val="24"/>
        <w:szCs w:val="24"/>
      </w:rPr>
      <w:t>2</w:t>
    </w:r>
    <w:r>
      <w:rPr>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4582D" w14:textId="49057DEC" w:rsidR="009C0BFC" w:rsidRDefault="007E539B">
    <w:pPr>
      <w:jc w:val="center"/>
    </w:pPr>
    <w:r>
      <w:rPr>
        <w:sz w:val="24"/>
        <w:szCs w:val="24"/>
      </w:rPr>
      <w:fldChar w:fldCharType="begin"/>
    </w:r>
    <w:r>
      <w:rPr>
        <w:sz w:val="24"/>
        <w:szCs w:val="24"/>
      </w:rPr>
      <w:instrText>PAGE</w:instrText>
    </w:r>
    <w:r>
      <w:rPr>
        <w:sz w:val="24"/>
        <w:szCs w:val="24"/>
      </w:rPr>
      <w:fldChar w:fldCharType="separate"/>
    </w:r>
    <w:r w:rsidR="00FD5534">
      <w:rPr>
        <w:noProof/>
        <w:sz w:val="24"/>
        <w:szCs w:val="24"/>
      </w:rPr>
      <w:t>3</w:t>
    </w:r>
    <w:r>
      <w:rPr>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4582E" w14:textId="72BC9D80" w:rsidR="009C0BFC" w:rsidRDefault="007E539B">
    <w:pPr>
      <w:jc w:val="center"/>
    </w:pPr>
    <w:r>
      <w:rPr>
        <w:sz w:val="24"/>
        <w:szCs w:val="24"/>
      </w:rPr>
      <w:fldChar w:fldCharType="begin"/>
    </w:r>
    <w:r>
      <w:rPr>
        <w:sz w:val="24"/>
        <w:szCs w:val="24"/>
      </w:rPr>
      <w:instrText>PAGE</w:instrText>
    </w:r>
    <w:r>
      <w:rPr>
        <w:sz w:val="24"/>
        <w:szCs w:val="24"/>
      </w:rPr>
      <w:fldChar w:fldCharType="separate"/>
    </w:r>
    <w:r w:rsidR="00FD5534">
      <w:rPr>
        <w:noProof/>
        <w:sz w:val="24"/>
        <w:szCs w:val="24"/>
      </w:rPr>
      <w:t>4</w:t>
    </w:r>
    <w:r>
      <w:rPr>
        <w:sz w:val="24"/>
        <w:szCs w:val="24"/>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4582F" w14:textId="48F329D7" w:rsidR="009C0BFC" w:rsidRDefault="007E539B">
    <w:pPr>
      <w:jc w:val="center"/>
    </w:pPr>
    <w:r>
      <w:rPr>
        <w:sz w:val="24"/>
        <w:szCs w:val="24"/>
      </w:rPr>
      <w:fldChar w:fldCharType="begin"/>
    </w:r>
    <w:r>
      <w:rPr>
        <w:sz w:val="24"/>
        <w:szCs w:val="24"/>
      </w:rPr>
      <w:instrText>PAGE</w:instrText>
    </w:r>
    <w:r>
      <w:rPr>
        <w:sz w:val="24"/>
        <w:szCs w:val="24"/>
      </w:rPr>
      <w:fldChar w:fldCharType="separate"/>
    </w:r>
    <w:r w:rsidR="00FD5534">
      <w:rPr>
        <w:noProof/>
        <w:sz w:val="24"/>
        <w:szCs w:val="24"/>
      </w:rPr>
      <w:t>5</w:t>
    </w:r>
    <w:r>
      <w:rPr>
        <w:sz w:val="24"/>
        <w:szCs w:val="24"/>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45830" w14:textId="3398FE24" w:rsidR="009C0BFC" w:rsidRDefault="007E539B">
    <w:pPr>
      <w:jc w:val="center"/>
    </w:pPr>
    <w:r>
      <w:rPr>
        <w:sz w:val="24"/>
        <w:szCs w:val="24"/>
      </w:rPr>
      <w:fldChar w:fldCharType="begin"/>
    </w:r>
    <w:r>
      <w:rPr>
        <w:sz w:val="24"/>
        <w:szCs w:val="24"/>
      </w:rPr>
      <w:instrText>PAGE</w:instrText>
    </w:r>
    <w:r>
      <w:rPr>
        <w:sz w:val="24"/>
        <w:szCs w:val="24"/>
      </w:rPr>
      <w:fldChar w:fldCharType="separate"/>
    </w:r>
    <w:r w:rsidR="00FD5534">
      <w:rPr>
        <w:noProof/>
        <w:sz w:val="24"/>
        <w:szCs w:val="24"/>
      </w:rPr>
      <w:t>7</w:t>
    </w:r>
    <w:r>
      <w:rPr>
        <w:sz w:val="24"/>
        <w:szCs w:val="2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45831" w14:textId="0F5A672D" w:rsidR="009C0BFC" w:rsidRDefault="007E539B">
    <w:pPr>
      <w:jc w:val="center"/>
    </w:pPr>
    <w:r>
      <w:rPr>
        <w:sz w:val="24"/>
        <w:szCs w:val="24"/>
      </w:rPr>
      <w:fldChar w:fldCharType="begin"/>
    </w:r>
    <w:r>
      <w:rPr>
        <w:sz w:val="24"/>
        <w:szCs w:val="24"/>
      </w:rPr>
      <w:instrText>PAGE</w:instrText>
    </w:r>
    <w:r>
      <w:rPr>
        <w:sz w:val="24"/>
        <w:szCs w:val="24"/>
      </w:rPr>
      <w:fldChar w:fldCharType="separate"/>
    </w:r>
    <w:r w:rsidR="00FD5534">
      <w:rPr>
        <w:noProof/>
        <w:sz w:val="24"/>
        <w:szCs w:val="24"/>
      </w:rPr>
      <w:t>8</w:t>
    </w:r>
    <w:r>
      <w:rPr>
        <w:sz w:val="24"/>
        <w:szCs w:val="24"/>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45832" w14:textId="1A34D063" w:rsidR="009C0BFC" w:rsidRDefault="007E539B">
    <w:pPr>
      <w:jc w:val="center"/>
    </w:pPr>
    <w:r>
      <w:rPr>
        <w:sz w:val="24"/>
        <w:szCs w:val="24"/>
      </w:rPr>
      <w:fldChar w:fldCharType="begin"/>
    </w:r>
    <w:r>
      <w:rPr>
        <w:sz w:val="24"/>
        <w:szCs w:val="24"/>
      </w:rPr>
      <w:instrText>PAGE</w:instrText>
    </w:r>
    <w:r>
      <w:rPr>
        <w:sz w:val="24"/>
        <w:szCs w:val="24"/>
      </w:rPr>
      <w:fldChar w:fldCharType="separate"/>
    </w:r>
    <w:r w:rsidR="00FD5534">
      <w:rPr>
        <w:noProof/>
        <w:sz w:val="24"/>
        <w:szCs w:val="24"/>
      </w:rPr>
      <w:t>11</w:t>
    </w:r>
    <w:r>
      <w:rPr>
        <w:sz w:val="24"/>
        <w:szCs w:val="24"/>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45833" w14:textId="772B31CA" w:rsidR="009C0BFC" w:rsidRDefault="007E539B">
    <w:pPr>
      <w:jc w:val="center"/>
    </w:pPr>
    <w:r>
      <w:rPr>
        <w:sz w:val="24"/>
        <w:szCs w:val="24"/>
      </w:rPr>
      <w:fldChar w:fldCharType="begin"/>
    </w:r>
    <w:r>
      <w:rPr>
        <w:sz w:val="24"/>
        <w:szCs w:val="24"/>
      </w:rPr>
      <w:instrText>PAGE</w:instrText>
    </w:r>
    <w:r>
      <w:rPr>
        <w:sz w:val="24"/>
        <w:szCs w:val="24"/>
      </w:rPr>
      <w:fldChar w:fldCharType="separate"/>
    </w:r>
    <w:r w:rsidR="00FD5534">
      <w:rPr>
        <w:noProof/>
        <w:sz w:val="24"/>
        <w:szCs w:val="24"/>
      </w:rPr>
      <w:t>12</w:t>
    </w:r>
    <w:r>
      <w:rPr>
        <w:sz w:val="24"/>
        <w:szCs w:val="24"/>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45834" w14:textId="4F220BB1" w:rsidR="009C0BFC" w:rsidRDefault="007E539B">
    <w:pPr>
      <w:jc w:val="center"/>
    </w:pPr>
    <w:r>
      <w:rPr>
        <w:sz w:val="24"/>
        <w:szCs w:val="24"/>
      </w:rPr>
      <w:fldChar w:fldCharType="begin"/>
    </w:r>
    <w:r>
      <w:rPr>
        <w:sz w:val="24"/>
        <w:szCs w:val="24"/>
      </w:rPr>
      <w:instrText>PAGE</w:instrText>
    </w:r>
    <w:r>
      <w:rPr>
        <w:sz w:val="24"/>
        <w:szCs w:val="24"/>
      </w:rPr>
      <w:fldChar w:fldCharType="separate"/>
    </w:r>
    <w:r w:rsidR="00FD5534">
      <w:rPr>
        <w:noProof/>
        <w:sz w:val="24"/>
        <w:szCs w:val="24"/>
      </w:rPr>
      <w:t>14</w:t>
    </w:r>
    <w:r>
      <w:rPr>
        <w:sz w:val="24"/>
        <w:szCs w:val="24"/>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45835" w14:textId="68276223" w:rsidR="009C0BFC" w:rsidRDefault="007E539B">
    <w:pPr>
      <w:jc w:val="center"/>
    </w:pPr>
    <w:r>
      <w:rPr>
        <w:sz w:val="24"/>
        <w:szCs w:val="24"/>
      </w:rPr>
      <w:fldChar w:fldCharType="begin"/>
    </w:r>
    <w:r>
      <w:rPr>
        <w:sz w:val="24"/>
        <w:szCs w:val="24"/>
      </w:rPr>
      <w:instrText>PAGE</w:instrText>
    </w:r>
    <w:r>
      <w:rPr>
        <w:sz w:val="24"/>
        <w:szCs w:val="24"/>
      </w:rPr>
      <w:fldChar w:fldCharType="separate"/>
    </w:r>
    <w:r w:rsidR="00FD5534">
      <w:rPr>
        <w:noProof/>
        <w:sz w:val="24"/>
        <w:szCs w:val="24"/>
      </w:rPr>
      <w:t>15</w:t>
    </w:r>
    <w:r>
      <w:rPr>
        <w:sz w:val="24"/>
        <w:szCs w:val="24"/>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45836" w14:textId="49ECB494" w:rsidR="009C0BFC" w:rsidRDefault="007E539B">
    <w:pPr>
      <w:jc w:val="center"/>
    </w:pPr>
    <w:r>
      <w:rPr>
        <w:sz w:val="24"/>
        <w:szCs w:val="24"/>
      </w:rPr>
      <w:fldChar w:fldCharType="begin"/>
    </w:r>
    <w:r>
      <w:rPr>
        <w:sz w:val="24"/>
        <w:szCs w:val="24"/>
      </w:rPr>
      <w:instrText>PAGE</w:instrText>
    </w:r>
    <w:r>
      <w:rPr>
        <w:sz w:val="24"/>
        <w:szCs w:val="24"/>
      </w:rPr>
      <w:fldChar w:fldCharType="separate"/>
    </w:r>
    <w:r w:rsidR="00FD5534">
      <w:rPr>
        <w:noProof/>
        <w:sz w:val="24"/>
        <w:szCs w:val="24"/>
      </w:rPr>
      <w:t>17</w:t>
    </w:r>
    <w:r>
      <w:rPr>
        <w:sz w:val="24"/>
        <w:szCs w:val="24"/>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45837" w14:textId="18D85FC5" w:rsidR="009C0BFC" w:rsidRDefault="007E539B">
    <w:pPr>
      <w:jc w:val="center"/>
    </w:pPr>
    <w:r>
      <w:rPr>
        <w:sz w:val="24"/>
        <w:szCs w:val="24"/>
      </w:rPr>
      <w:fldChar w:fldCharType="begin"/>
    </w:r>
    <w:r>
      <w:rPr>
        <w:sz w:val="24"/>
        <w:szCs w:val="24"/>
      </w:rPr>
      <w:instrText>PAGE</w:instrText>
    </w:r>
    <w:r>
      <w:rPr>
        <w:sz w:val="24"/>
        <w:szCs w:val="24"/>
      </w:rPr>
      <w:fldChar w:fldCharType="separate"/>
    </w:r>
    <w:r w:rsidR="00FD5534">
      <w:rPr>
        <w:noProof/>
        <w:sz w:val="24"/>
        <w:szCs w:val="24"/>
      </w:rPr>
      <w:t>18</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79F10" w14:textId="77777777" w:rsidR="007E539B" w:rsidRDefault="007E539B">
      <w:r>
        <w:separator/>
      </w:r>
    </w:p>
  </w:footnote>
  <w:footnote w:type="continuationSeparator" w:id="0">
    <w:p w14:paraId="140432EF" w14:textId="77777777" w:rsidR="007E539B" w:rsidRDefault="007E53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0B43F0"/>
    <w:multiLevelType w:val="hybridMultilevel"/>
    <w:tmpl w:val="CFB4D05C"/>
    <w:lvl w:ilvl="0" w:tplc="E4FC3260">
      <w:start w:val="1"/>
      <w:numFmt w:val="bullet"/>
      <w:lvlText w:val="●"/>
      <w:lvlJc w:val="left"/>
      <w:pPr>
        <w:ind w:left="720" w:hanging="360"/>
      </w:pPr>
    </w:lvl>
    <w:lvl w:ilvl="1" w:tplc="E4481F84">
      <w:start w:val="1"/>
      <w:numFmt w:val="bullet"/>
      <w:lvlText w:val="○"/>
      <w:lvlJc w:val="left"/>
      <w:pPr>
        <w:ind w:left="1440" w:hanging="360"/>
      </w:pPr>
    </w:lvl>
    <w:lvl w:ilvl="2" w:tplc="678C0444">
      <w:start w:val="1"/>
      <w:numFmt w:val="bullet"/>
      <w:lvlText w:val="■"/>
      <w:lvlJc w:val="left"/>
      <w:pPr>
        <w:ind w:left="2160" w:hanging="360"/>
      </w:pPr>
    </w:lvl>
    <w:lvl w:ilvl="3" w:tplc="F0DCA910">
      <w:start w:val="1"/>
      <w:numFmt w:val="bullet"/>
      <w:lvlText w:val="●"/>
      <w:lvlJc w:val="left"/>
      <w:pPr>
        <w:ind w:left="2880" w:hanging="360"/>
      </w:pPr>
    </w:lvl>
    <w:lvl w:ilvl="4" w:tplc="5C34AD62">
      <w:start w:val="1"/>
      <w:numFmt w:val="bullet"/>
      <w:lvlText w:val="○"/>
      <w:lvlJc w:val="left"/>
      <w:pPr>
        <w:ind w:left="3600" w:hanging="360"/>
      </w:pPr>
    </w:lvl>
    <w:lvl w:ilvl="5" w:tplc="0470C0B4">
      <w:start w:val="1"/>
      <w:numFmt w:val="bullet"/>
      <w:lvlText w:val="■"/>
      <w:lvlJc w:val="left"/>
      <w:pPr>
        <w:ind w:left="4320" w:hanging="360"/>
      </w:pPr>
    </w:lvl>
    <w:lvl w:ilvl="6" w:tplc="590A6B90">
      <w:start w:val="1"/>
      <w:numFmt w:val="bullet"/>
      <w:lvlText w:val="●"/>
      <w:lvlJc w:val="left"/>
      <w:pPr>
        <w:ind w:left="5040" w:hanging="360"/>
      </w:pPr>
    </w:lvl>
    <w:lvl w:ilvl="7" w:tplc="E8EAD7DC">
      <w:start w:val="1"/>
      <w:numFmt w:val="bullet"/>
      <w:lvlText w:val="●"/>
      <w:lvlJc w:val="left"/>
      <w:pPr>
        <w:ind w:left="5760" w:hanging="360"/>
      </w:pPr>
    </w:lvl>
    <w:lvl w:ilvl="8" w:tplc="B9208CDE">
      <w:start w:val="1"/>
      <w:numFmt w:val="bullet"/>
      <w:lvlText w:val="●"/>
      <w:lvlJc w:val="left"/>
      <w:pPr>
        <w:ind w:left="6480" w:hanging="360"/>
      </w:pPr>
    </w:lvl>
  </w:abstractNum>
  <w:num w:numId="1" w16cid:durableId="17528914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0BFC"/>
    <w:rsid w:val="007E539B"/>
    <w:rsid w:val="009C0BFC"/>
    <w:rsid w:val="00D5729E"/>
    <w:rsid w:val="00FD55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4570A"/>
  <w15:docId w15:val="{F2D744D4-8CAF-4FC6-8C09-1C7B882EE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18" Type="http://schemas.openxmlformats.org/officeDocument/2006/relationships/footer" Target="footer1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footer" Target="footer5.xml"/><Relationship Id="rId17" Type="http://schemas.openxmlformats.org/officeDocument/2006/relationships/footer" Target="footer10.xml"/><Relationship Id="rId2" Type="http://schemas.openxmlformats.org/officeDocument/2006/relationships/styles" Target="styles.xml"/><Relationship Id="rId16" Type="http://schemas.openxmlformats.org/officeDocument/2006/relationships/footer" Target="footer9.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footer" Target="footer8.xml"/><Relationship Id="rId10" Type="http://schemas.openxmlformats.org/officeDocument/2006/relationships/footer" Target="footer3.xml"/><Relationship Id="rId19" Type="http://schemas.openxmlformats.org/officeDocument/2006/relationships/footer" Target="footer1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4084</Words>
  <Characters>23285</Characters>
  <Application>Microsoft Office Word</Application>
  <DocSecurity>0</DocSecurity>
  <Lines>194</Lines>
  <Paragraphs>54</Paragraphs>
  <ScaleCrop>false</ScaleCrop>
  <Company/>
  <LinksUpToDate>false</LinksUpToDate>
  <CharactersWithSpaces>27315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Parth Mundhra</cp:lastModifiedBy>
  <cp:revision>2</cp:revision>
  <dcterms:created xsi:type="dcterms:W3CDTF">2026-04-17T15:49:00Z</dcterms:created>
  <dcterms:modified xsi:type="dcterms:W3CDTF">2026-04-18T10:24:00Z</dcterms:modified>
</cp:coreProperties>
</file>