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about 10 %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≈10 %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Unnecessary.</w:t>
            </w:r>
            <w:r>
              <w:t xml:space="preserve"> </w:t>
            </w:r>
            <w:r>
              <w:t xml:space="preserve">Quantile-normalised ≈ raw ≈ rank priors (0.001–0.005 RMSE apart)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0.761,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~4,400 unique input vectors each</w:t>
      </w:r>
      <w:r>
        <w:t xml:space="preserve"> </w:t>
      </w:r>
      <w:r>
        <w:t xml:space="preserve">measured ~20 times. Because roughly 27 reaction-condition variables are not recorded as features,</w:t>
      </w:r>
      <w:r>
        <w:t xml:space="preserve"> </w:t>
      </w:r>
      <w:r>
        <w:t xml:space="preserve">those repeats are</w:t>
      </w:r>
      <w:r>
        <w:t xml:space="preserve"> </w:t>
      </w:r>
      <w:r>
        <w:rPr>
          <w:i/>
          <w:iCs/>
        </w:rPr>
        <w:t xml:space="preserve">identical inputs with differing yields</w:t>
      </w:r>
      <w:r>
        <w:t xml:space="preserve">. That within-group variance is</w:t>
      </w:r>
      <w:r>
        <w:t xml:space="preserve"> </w:t>
      </w:r>
      <w:r>
        <w:rPr>
          <w:b/>
          <w:bCs/>
        </w:rPr>
        <w:t xml:space="preserve">18.2 % of</w:t>
      </w:r>
      <w:r>
        <w:rPr>
          <w:b/>
          <w:bCs/>
        </w:rPr>
        <w:t xml:space="preserve"> </w:t>
      </w:r>
      <w:r>
        <w:rPr>
          <w:b/>
          <w:bCs/>
        </w:rPr>
        <w:t xml:space="preserve">total yield variance</w:t>
      </w:r>
      <w:r>
        <w:t xml:space="preserve">, so the best attainable row-level RMSE is</w:t>
      </w:r>
      <w:r>
        <w:t xml:space="preserve"> </w:t>
      </w:r>
      <w:r>
        <w:rPr>
          <w:b/>
          <w:bCs/>
        </w:rPr>
        <w:t xml:space="preserve">1.680</w:t>
      </w:r>
      <w:r>
        <w:t xml:space="preserve">.</w:t>
      </w:r>
    </w:p>
    <w:p>
      <w:pPr>
        <w:pStyle w:val="BodyText"/>
      </w:pPr>
      <w:r>
        <w:t xml:space="preserve">Version 1 reported 1.912 — only 0.23 above that floor. In hindsight this should itself have prompted</w:t>
      </w:r>
      <w:r>
        <w:t xml:space="preserve"> </w:t>
      </w:r>
      <w:r>
        <w:t xml:space="preserve">suspicion: a model cannot approach the noise ceiling of data it should not be able to memorise.</w:t>
      </w:r>
      <w:r>
        <w:t xml:space="preserve"> </w:t>
      </w:r>
      <w:r>
        <w:t xml:space="preserve">Point-wise RMSE is therefore not merely less relevant than catalyst-level metrics here; it is close to</w:t>
      </w:r>
      <w:r>
        <w:t xml:space="preserve"> </w:t>
      </w:r>
      <w:r>
        <w:t xml:space="preserve">uninformative.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0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0.790).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independent checks establish the mechanism: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−2.6 %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)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literature-only (</w:t>
      </w:r>
      <w:r>
        <w:rPr>
          <w:b/>
          <w:bCs/>
        </w:rPr>
        <w:t xml:space="preserve">2.938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Literature-only under grouped CV (2.938) is indistinguishable from baseline (2.943)</w:t>
      </w:r>
    </w:p>
    <w:p>
      <w:pPr>
        <w:pStyle w:val="FirstParagraph"/>
      </w:pPr>
      <w:r>
        <w:rPr>
          <w:b/>
          <w:bCs/>
        </w:rPr>
        <w:t xml:space="preserve">Your quantile-normalisation hypothesis was correct, and the effect is essentially exact.</w:t>
      </w:r>
      <w:r>
        <w:t xml:space="preserve"> </w:t>
      </w:r>
      <w:r>
        <w:t xml:space="preserve">Quantile-normalised, raw-yield and pure-rank priors differ by only 0.001–0.005 RMSE under both</w:t>
      </w:r>
      <w:r>
        <w:t xml:space="preserve"> </w:t>
      </w:r>
      <w:r>
        <w:t xml:space="preserve">protocols. The Stage-2 trees consume only the prior’s ordering, so the normalisation step can be</w:t>
      </w:r>
      <w:r>
        <w:t xml:space="preserve"> </w:t>
      </w:r>
      <w:r>
        <w:t xml:space="preserve">removed with no loss.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while training ~100× faster.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</w:tr>
    </w:tbl>
    <w:p>
      <w:pPr>
        <w:pStyle w:val="BodyText"/>
      </w:pPr>
      <w:r>
        <w:t xml:space="preserve">We quote intervals rather than point estimates: with ~18 catalysts in a test decile,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uniquely non-transferable: the other families are already at 89–93 % of their ceiling having</w:t>
      </w:r>
      <w:r>
        <w:t xml:space="preserve"> </w:t>
      </w:r>
      <w:r>
        <w:t xml:space="preserve">never seen a member, because neighbouring chemistry carries the information. Ba’s curve is still</w:t>
      </w:r>
      <w:r>
        <w:t xml:space="preserve"> </w:t>
      </w:r>
      <w:r>
        <w:t xml:space="preserve">rising at n = 200 while the others saturate near n ≈ 50.</w:t>
      </w:r>
      <w:r>
        <w:t xml:space="preserve"> </w:t>
      </w:r>
      <w:r>
        <w:rPr>
          <w:b/>
          <w:bCs/>
        </w:rPr>
        <w:t xml:space="preserve">As a practical budget: a chemically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distinctive new promoter family requires roughly 50–100 labelled catalysts before it can be modelled;</w:t>
      </w:r>
      <w:r>
        <w:rPr>
          <w:b/>
          <w:bCs/>
        </w:rPr>
        <w:t xml:space="preserve"> </w:t>
      </w:r>
      <w:r>
        <w:rPr>
          <w:b/>
          <w:bCs/>
        </w:rPr>
        <w:t xml:space="preserve">a family resembling existing chemistry requires 10–25.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 ± 0.09.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recommended campaign (17 catalysts,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campaign_shortlist.csv</w:t>
      </w:r>
      <w:r>
        <w:rPr>
          <w:b/>
          <w:bCs/>
        </w:rPr>
        <w:t xml:space="preserve">).</w:t>
      </w:r>
      <w:r>
        <w:t xml:space="preserve"> </w:t>
      </w:r>
      <w:r>
        <w:t xml:space="preserve">Rather than submit twenty</w:t>
      </w:r>
      <w:r>
        <w:t xml:space="preserve"> </w:t>
      </w:r>
      <w:r>
        <w:t xml:space="preserve">near-identical catalysts, we suggest splitting the budget: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A — 12 catalysts, the model’s optimum</w:t>
      </w:r>
      <w:r>
        <w:t xml:space="preserve"> </w:t>
      </w:r>
      <w:r>
        <w:t xml:space="preserve">(predicted 18.33–18.79 %). This is where the expected</w:t>
      </w:r>
      <w:r>
        <w:t xml:space="preserve"> </w:t>
      </w:r>
      <w:r>
        <w:t xml:space="preserve">hits are. From the retrospective grouped-CV precision@20, we would expect roughly</w:t>
      </w:r>
      <w:r>
        <w:t xml:space="preserve"> </w:t>
      </w:r>
      <w:r>
        <w:rPr>
          <w:b/>
          <w:bCs/>
        </w:rPr>
        <w:t xml:space="preserve">2–8 of the 12</w:t>
      </w:r>
      <w:r>
        <w:t xml:space="preserve"> </w:t>
      </w:r>
      <w:r>
        <w:t xml:space="preserve">to be genuine top-decile performers (95 % CI 0.15–0.65 — deliberately a wide interval).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Tier B — 5 catalysts, one per alternative support</w:t>
      </w:r>
      <w:r>
        <w:t xml:space="preserve"> </w:t>
      </w:r>
      <w:r>
        <w:t xml:space="preserve">(Ti 16.49, La 15.82, Ca 15.54, Mg 14.66,</w:t>
      </w:r>
      <w:r>
        <w:t xml:space="preserve"> </w:t>
      </w:r>
      <w:r>
        <w:t xml:space="preserve">Si 13.83). These cost predicted yield and we do not expect them to win. They are an</w:t>
      </w:r>
      <w:r>
        <w:t xml:space="preserve"> </w:t>
      </w:r>
      <w:r>
        <w:rPr>
          <w:i/>
          <w:iCs/>
        </w:rPr>
        <w:t xml:space="preserve">information</w:t>
      </w:r>
      <w:r>
        <w:t xml:space="preserve"> </w:t>
      </w:r>
      <w:r>
        <w:t xml:space="preserve">purchase: 78 % of the lab’s existing top decile already contains Ba, so the model’s strong Ba</w:t>
      </w:r>
      <w:r>
        <w:t xml:space="preserve"> </w:t>
      </w:r>
      <w:r>
        <w:t xml:space="preserve">preference may partly reflect that coverage rather than chemistry. If several Tier-B catalysts</w:t>
      </w:r>
      <w:r>
        <w:t xml:space="preserve"> </w:t>
      </w:r>
      <w:r>
        <w:t xml:space="preserve">outperform their predictions, that tells us something the Tier-A catalysts cannot.</w:t>
      </w:r>
    </w:p>
    <w:p>
      <w:pPr>
        <w:pStyle w:val="FirstParagraph"/>
      </w:pPr>
      <w:r>
        <w:t xml:space="preserve">We would of course defer to your judgement on synthesis feasibility, and are happy to reweight the</w:t>
      </w:r>
      <w:r>
        <w:t xml:space="preserve"> </w:t>
      </w:r>
      <w:r>
        <w:t xml:space="preserve">split.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~78.5 %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maxima; part is a pure sampling effect, part appears to be deliberate early</w:t>
      </w:r>
      <w:r>
        <w:t xml:space="preserve"> </w:t>
      </w:r>
      <w:r>
        <w:t xml:space="preserve">stopping. Excluding them changes our headline metric by 0.002, so nothing hinges on it — but we</w:t>
      </w:r>
      <w:r>
        <w:t xml:space="preserve"> </w:t>
      </w:r>
      <w:r>
        <w:t xml:space="preserve">would welcome confirmation of which it 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variables</w:t>
      </w:r>
      <w:r>
        <w:t xml:space="preserve"> </w:t>
      </w:r>
      <w:r>
        <w:t xml:space="preserve">exist in a retrievable form, the 18.2 % irreducible variance becomes partly learnable and</w:t>
      </w:r>
      <w:r>
        <w:t xml:space="preserve"> </w:t>
      </w:r>
      <w:r>
        <w:t xml:space="preserve">condition-level modelling becomes meaningful.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11.35 %</w:t>
      </w:r>
      <w:r>
        <w:t xml:space="preserve"> </w:t>
      </w:r>
      <w:r>
        <w:t xml:space="preserve">true yield against a population mean of 10.33 %, while the genuine top decile averages 21.88 %</w:t>
      </w:r>
      <w:r>
        <w:t xml:space="preserve"> </w:t>
      </w:r>
      <w:r>
        <w:t xml:space="preserve">(enrichment 0.42×, i.e. no better than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2026-08-23T10:38:57Z</dcterms:created>
  <dcterms:modified xsi:type="dcterms:W3CDTF">2026-08-23T10:38:57Z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