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9.png" ContentType="image/png"/>
  <Override PartName="/word/media/rId14.png" ContentType="image/png"/>
  <Override PartName="/word/media/rId22.png" ContentType="image/png"/>
  <Override PartName="/word/media/rId11.png" ContentType="image/png"/>
  <Override PartName="/word/media/rId32.png" ContentType="image/png"/>
  <Override PartName="/word/media/rId36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Xdbae7a93184c8ef360e856119573e2d352041bc"/>
    <w:p>
      <w:pPr>
        <w:pStyle w:val="Heading1"/>
      </w:pPr>
      <w:r>
        <w:t xml:space="preserve">Work Note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approach for C₂-yield prediction in Oxidative Coupling of Methane (OCM)</w:t>
      </w:r>
      <w:r>
        <w:t xml:space="preserve"> </w:t>
      </w:r>
      <w:r>
        <w:rPr>
          <w:b/>
          <w:bCs/>
        </w:rPr>
        <w:t xml:space="preserve">Companion notebook (all code, reproducible):</w:t>
      </w:r>
      <w:r>
        <w:t xml:space="preserve"> </w:t>
      </w:r>
      <w:r>
        <w:rPr>
          <w:rStyle w:val="VerbatimChar"/>
        </w:rPr>
        <w:t xml:space="preserve">ocm_methodology.ipynb</w:t>
      </w:r>
    </w:p>
    <w:p>
      <w:r>
        <w:pict>
          <v:rect style="width:0;height:1.5pt" o:hralign="center" o:hrstd="t" o:hr="t"/>
        </w:pict>
      </w:r>
    </w:p>
    <w:bookmarkStart w:id="9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maintain a machine-learning model that predicts C₂ yield from catalyst composition, trained on the</w:t>
      </w:r>
      <w:r>
        <w:t xml:space="preserve"> </w:t>
      </w:r>
      <w:r>
        <w:t xml:space="preserve">lab’s own</w:t>
      </w:r>
      <w:r>
        <w:t xml:space="preserve"> </w:t>
      </w:r>
      <w:r>
        <w:rPr>
          <w:b/>
          <w:bCs/>
        </w:rPr>
        <w:t xml:space="preserve">lab data</w:t>
      </w:r>
      <w:r>
        <w:t xml:space="preserve"> </w:t>
      </w:r>
      <w:r>
        <w:t xml:space="preserve">(89,074 in-house experiments, 2025, impregnation route). A large body of</w:t>
      </w:r>
      <w:r>
        <w:t xml:space="preserve"> </w:t>
      </w:r>
      <w:r>
        <w:rPr>
          <w:b/>
          <w:bCs/>
        </w:rPr>
        <w:t xml:space="preserve">literature data</w:t>
      </w:r>
      <w:r>
        <w:t xml:space="preserve"> </w:t>
      </w:r>
      <w:r>
        <w:t xml:space="preserve">(3,852 published experiments, 1982–2019) is also available. The objective of this</w:t>
      </w:r>
      <w:r>
        <w:t xml:space="preserve"> </w:t>
      </w:r>
      <w:r>
        <w:t xml:space="preserve">work is to determine whether, and how, the literature data can be used to</w:t>
      </w:r>
      <w:r>
        <w:t xml:space="preserve"> </w:t>
      </w:r>
      <w:r>
        <w:rPr>
          <w:b/>
          <w:bCs/>
        </w:rPr>
        <w:t xml:space="preserve">improve the accuracy of the</w:t>
      </w:r>
      <w:r>
        <w:rPr>
          <w:b/>
          <w:bCs/>
        </w:rPr>
        <w:t xml:space="preserve"> </w:t>
      </w:r>
      <w:r>
        <w:rPr>
          <w:b/>
          <w:bCs/>
        </w:rPr>
        <w:t xml:space="preserve">lab-data model without degrading it</w:t>
      </w:r>
      <w:r>
        <w:t xml:space="preserve">.</w:t>
      </w:r>
    </w:p>
    <w:p>
      <w:pPr>
        <w:pStyle w:val="BodyText"/>
      </w:pPr>
      <w:r>
        <w:t xml:space="preserve">Two well-understood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 — the same</w:t>
      </w:r>
      <w:r>
        <w:t xml:space="preserve"> </w:t>
      </w:r>
      <w:r>
        <w:t xml:space="preserve">prediction task, but two datasets drawn from different distributions: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Label shift.</w:t>
      </w:r>
      <w:r>
        <w:t xml:space="preserve"> </w:t>
      </w:r>
      <w:r>
        <w:t xml:space="preserve">The literature reports a mean C₂ yield of</w:t>
      </w:r>
      <w:r>
        <w:t xml:space="preserve"> </w:t>
      </w:r>
      <w:r>
        <w:rPr>
          <w:b/>
          <w:bCs/>
        </w:rPr>
        <w:t xml:space="preserve">8.670 %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5.245 %</w:t>
      </w:r>
      <w:r>
        <w:t xml:space="preserve"> </w:t>
      </w:r>
      <w:r>
        <w:t xml:space="preserve">in the lab — a</w:t>
      </w:r>
      <w:r>
        <w:t xml:space="preserve"> </w:t>
      </w:r>
      <w:r>
        <w:t xml:space="preserve">systematic</w:t>
      </w:r>
      <w:r>
        <w:t xml:space="preserve"> </w:t>
      </w:r>
      <w:r>
        <w:rPr>
          <w:b/>
          <w:bCs/>
        </w:rPr>
        <w:t xml:space="preserve">+3.425 percentage-point</w:t>
      </w:r>
      <w:r>
        <w:t xml:space="preserve"> </w:t>
      </w:r>
      <w:r>
        <w:t xml:space="preserve">difference. This reflects the different operating conditions and</w:t>
      </w:r>
      <w:r>
        <w:t xml:space="preserve"> </w:t>
      </w:r>
      <w:r>
        <w:t xml:space="preserve">reporting practices of published work (published studies tend to report high-yield results), and is a</w:t>
      </w:r>
      <w:r>
        <w:t xml:space="preserve"> </w:t>
      </w:r>
      <w:r>
        <w:t xml:space="preserve">property of the two collections, not an error in either.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Covariate shift.</w:t>
      </w:r>
      <w:r>
        <w:t xml:space="preserve"> </w:t>
      </w:r>
      <w:r>
        <w:t xml:space="preserve">The two datasets emphasise different elements and preparation methods, so they</w:t>
      </w:r>
      <w:r>
        <w:t xml:space="preserve"> </w:t>
      </w:r>
      <w:r>
        <w:t xml:space="preserve">occupy overlapping but distinct regions of catalyst-composition space.</w:t>
      </w:r>
    </w:p>
    <w:p>
      <w:pPr>
        <w:pStyle w:val="FirstParagraph"/>
      </w:pPr>
      <w:r>
        <w:t xml:space="preserve">Combining the two therefore requires care: if the higher published yields are used directly as training</w:t>
      </w:r>
      <w:r>
        <w:t xml:space="preserve"> </w:t>
      </w:r>
      <w:r>
        <w:t xml:space="preserve">targets, they shift the model’s predictions upward. This note evaluates the established options for this</w:t>
      </w:r>
      <w:r>
        <w:t xml:space="preserve"> </w:t>
      </w:r>
      <w:r>
        <w:t xml:space="preserve">situation and describes the approach we adopted.</w:t>
      </w:r>
    </w:p>
    <w:bookmarkEnd w:id="9"/>
    <w:bookmarkStart w:id="10" w:name="X32e672a2e465fdbab2472d2538f33de9f5104ad"/>
    <w:p>
      <w:pPr>
        <w:pStyle w:val="Heading2"/>
      </w:pPr>
      <w:r>
        <w:t xml:space="preserve">2. Evaluation methodology (applied identically to every method)</w:t>
      </w:r>
    </w:p>
    <w:p>
      <w:pPr>
        <w:pStyle w:val="FirstParagraph"/>
      </w:pPr>
      <w:r>
        <w:t xml:space="preserve">Every method is compared under one protocol so the numbers are directly comparable: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Asymmetric 5-fold cross-validation.</w:t>
      </w:r>
      <w:r>
        <w:t xml:space="preserve"> </w:t>
      </w:r>
      <w:r>
        <w:t xml:space="preserve">The 89,074 lab records are split into 5 folds; each is held out</w:t>
      </w:r>
      <w:r>
        <w:t xml:space="preserve"> </w:t>
      </w:r>
      <w:r>
        <w:t xml:space="preserve">for testing once while the model trains on the other four.</w:t>
      </w:r>
      <w:r>
        <w:t xml:space="preserve"> </w:t>
      </w:r>
      <w:r>
        <w:rPr>
          <w:b/>
          <w:bCs/>
        </w:rPr>
        <w:t xml:space="preserve">Literature data, when used, enters only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side — never the test fold.</w:t>
      </w:r>
      <w:r>
        <w:t xml:space="preserve"> </w:t>
      </w:r>
      <w:r>
        <w:t xml:space="preserve">Every reported number therefore answers the same question: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accurately does the model predict the lab’s own experiments?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Metric.</w:t>
      </w:r>
      <w:r>
        <w:t xml:space="preserve"> </w:t>
      </w:r>
      <w:r>
        <w:t xml:space="preserve">Root-mean-square error (RMSE) of C₂ yield, in yield-% units; lower is better.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For the sake of repeatable experiments, all random splits and model seeds are fixed,</w:t>
      </w:r>
      <w:r>
        <w:t xml:space="preserve"> </w:t>
      </w:r>
      <w:r>
        <w:t xml:space="preserve">hyper-parameters are held constant across every method (no per-method tuning), and each headline result</w:t>
      </w:r>
      <w:r>
        <w:t xml:space="preserve"> </w:t>
      </w:r>
      <w:r>
        <w:t xml:space="preserve">is repeated across 10 independent random seeds (Section 5). Every value in this note is a stored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.</w:t>
      </w:r>
    </w:p>
    <w:bookmarkEnd w:id="10"/>
    <w:bookmarkStart w:id="17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rPr>
          <w:b/>
          <w:bCs/>
        </w:rPr>
        <w:t xml:space="preserve">Baseline model.</w:t>
      </w:r>
      <w:r>
        <w:t xml:space="preserve"> </w:t>
      </w:r>
      <w:r>
        <w:t xml:space="preserve">A LightGBM gradient-boosted-tree regressor trained on lab data only — input: 67 catalyst</w:t>
      </w:r>
      <w:r>
        <w:t xml:space="preserve"> </w:t>
      </w:r>
      <w:r>
        <w:t xml:space="preserve">features (temperature, preparation code, 65 element loadings); output: predicted C₂ yield.</w:t>
      </w:r>
      <w:r>
        <w:t xml:space="preserve"> </w:t>
      </w:r>
      <w:r>
        <w:rPr>
          <w:b/>
          <w:bCs/>
        </w:rPr>
        <w:t xml:space="preserve">CV RMSE =</w:t>
      </w:r>
      <w:r>
        <w:rPr>
          <w:b/>
          <w:bCs/>
        </w:rPr>
        <w:t xml:space="preserve"> </w:t>
      </w:r>
      <w:r>
        <w:rPr>
          <w:b/>
          <w:bCs/>
        </w:rPr>
        <w:t xml:space="preserve">2.133.</w:t>
      </w:r>
      <w:r>
        <w:t xml:space="preserve"> </w:t>
      </w:r>
      <w:r>
        <w:t xml:space="preserve">This is the reference every subsequent method must improve upon.</w:t>
      </w:r>
    </w:p>
    <w:p>
      <w:pPr>
        <w:pStyle w:val="BodyText"/>
      </w:pPr>
      <w:r>
        <w:t xml:space="preserve">The two distributional differences that shape the study are shown below.</w:t>
      </w:r>
    </w:p>
    <w:p>
      <w:pPr>
        <w:pStyle w:val="CaptionedFigure"/>
      </w:pPr>
      <w:r>
        <w:drawing>
          <wp:inline>
            <wp:extent cx="5334000" cy="1526952"/>
            <wp:effectExtent b="0" l="0" r="0" t="0"/>
            <wp:docPr descr="Figure 1 — Label shift. Y(C₂) distributions of the two datasets: the literature (orange) is centred about 3.4 points above the lab data (blue). The gap is systematic, not noise." title="" id="12" name="Picture"/>
            <a:graphic>
              <a:graphicData uri="http://schemas.openxmlformats.org/drawingml/2006/picture">
                <pic:pic>
                  <pic:nvPicPr>
                    <pic:cNvPr descr="fig_mean_shif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Label shift.</w:t>
      </w:r>
      <w:r>
        <w:t xml:space="preserve"> </w:t>
      </w:r>
      <w:r>
        <w:t xml:space="preserve">Y(C₂) distributions of the two datasets: the literature (orange) is centred about 3.4 points above the lab data (blue). The gap is systematic, not noise.</w:t>
      </w:r>
    </w:p>
    <w:p>
      <w:pPr>
        <w:pStyle w:val="CaptionedFigure"/>
      </w:pPr>
      <w:r>
        <w:drawing>
          <wp:inline>
            <wp:extent cx="5334000" cy="1864446"/>
            <wp:effectExtent b="0" l="0" r="0" t="0"/>
            <wp:docPr descr="Figure 2 — Covariate shift. The most-used elements differ between the two datasets: the lab and the literature emphasise different chemistry." title="" id="15" name="Picture"/>
            <a:graphic>
              <a:graphicData uri="http://schemas.openxmlformats.org/drawingml/2006/picture">
                <pic:pic>
                  <pic:nvPicPr>
                    <pic:cNvPr descr="fig_element_usag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4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Covariate shift.</w:t>
      </w:r>
      <w:r>
        <w:t xml:space="preserve"> </w:t>
      </w:r>
      <w:r>
        <w:t xml:space="preserve">The most-used elements differ between the two datasets: the lab and the literature emphasise different chemistry.</w:t>
      </w:r>
    </w:p>
    <w:bookmarkEnd w:id="17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t xml:space="preserve">We first evaluated the established options for combining datasets of this kind, then developed the method we</w:t>
      </w:r>
      <w:r>
        <w:t xml:space="preserve"> </w:t>
      </w:r>
      <w:r>
        <w:t xml:space="preserve">adopted. The established options are described briefly; the adopted method (Section 4.3) is described in</w:t>
      </w:r>
      <w:r>
        <w:t xml:space="preserve"> </w:t>
      </w:r>
      <w:r>
        <w:t xml:space="preserve">full.</w:t>
      </w:r>
    </w:p>
    <w:bookmarkStart w:id="18" w:name="direct-merge-a-reference-point"/>
    <w:p>
      <w:pPr>
        <w:pStyle w:val="Heading3"/>
      </w:pPr>
      <w:r>
        <w:t xml:space="preserve">4.1 Direct merge — a reference point</w:t>
      </w:r>
    </w:p>
    <w:p>
      <w:pPr>
        <w:pStyle w:val="FirstParagraph"/>
      </w:pPr>
      <w:r>
        <w:t xml:space="preserve">Pool all 3,852 literature records with the lab data and train a single LightGBM. Because the literature</w:t>
      </w:r>
      <w:r>
        <w:t xml:space="preserve"> </w:t>
      </w:r>
      <w:r>
        <w:t xml:space="preserve">carries the +3.4-point label shift, using its yields directly as training targets moves the combined model’s</w:t>
      </w:r>
      <w:r>
        <w:t xml:space="preserve"> </w:t>
      </w:r>
      <w:r>
        <w:t xml:space="preserve">predictions upward, and accuracy is not improved.</w:t>
      </w:r>
      <w:r>
        <w:t xml:space="preserve"> </w:t>
      </w:r>
      <w:r>
        <w:rPr>
          <w:b/>
          <w:bCs/>
        </w:rPr>
        <w:t xml:space="preserve">CV RMSE = 2.241.</w:t>
      </w:r>
      <w:r>
        <w:t xml:space="preserve"> </w:t>
      </w:r>
      <w:r>
        <w:t xml:space="preserve">This shows that the two datasets</w:t>
      </w:r>
      <w:r>
        <w:t xml:space="preserve"> </w:t>
      </w:r>
      <w:r>
        <w:t xml:space="preserve">cannot simply be concatenated as-is — the label shift needs to be handled — which motivates the selective</w:t>
      </w:r>
      <w:r>
        <w:t xml:space="preserve"> </w:t>
      </w:r>
      <w:r>
        <w:t xml:space="preserve">approaches below.</w:t>
      </w:r>
    </w:p>
    <w:bookmarkEnd w:id="18"/>
    <w:bookmarkStart w:id="25" w:name="X4e4ee7d787795d9129f7d3ac56665ea951e2ef1"/>
    <w:p>
      <w:pPr>
        <w:pStyle w:val="Heading3"/>
      </w:pPr>
      <w:r>
        <w:t xml:space="preserve">4.2 Selective merge — filtering (DRST) and weighting (KMM)</w:t>
      </w:r>
    </w:p>
    <w:p>
      <w:pPr>
        <w:pStyle w:val="FirstParagraph"/>
      </w:pPr>
      <w:r>
        <w:t xml:space="preserve">A natural refinement is to make the literature more representative of the lab’s chemistry before merging.</w:t>
      </w:r>
      <w:r>
        <w:t xml:space="preserve"> </w:t>
      </w:r>
      <w:r>
        <w:t xml:space="preserve">This is the standard covariate-shift toolkit, in two forms: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DRST (hard filter).</w:t>
      </w:r>
      <w:r>
        <w:t xml:space="preserve"> </w:t>
      </w:r>
      <w:r>
        <w:t xml:space="preserve">A logistic-regression domain classifier scores each literature record by how much</w:t>
      </w:r>
      <w:r>
        <w:t xml:space="preserve"> </w:t>
      </w:r>
      <w:r>
        <w:t xml:space="preserve">its chemistry resembles the lab data,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; records above a threshold are kept. At</w:t>
      </w:r>
      <w:r>
        <w:t xml:space="preserve"> </w:t>
      </w:r>
      <w:r>
        <w:rPr>
          <w:b/>
          <w:bCs/>
        </w:rPr>
        <w:t xml:space="preserve">τ = 0.30</w:t>
      </w:r>
      <w:r>
        <w:t xml:space="preserve"> </w:t>
      </w:r>
      <w:r>
        <w:t xml:space="preserve">this retains</w:t>
      </w:r>
      <w:r>
        <w:t xml:space="preserve"> </w:t>
      </w:r>
      <w:r>
        <w:rPr>
          <w:b/>
          <w:bCs/>
        </w:rPr>
        <w:t xml:space="preserve">782 / 3,852 = 20.3 %</w:t>
      </w:r>
      <w:r>
        <w:t xml:space="preserve"> </w:t>
      </w:r>
      <w:r>
        <w:t xml:space="preserve">of the literature.</w:t>
      </w:r>
      <w:r>
        <w:t xml:space="preserve"> </w:t>
      </w:r>
      <w:r>
        <w:rPr>
          <w:i/>
          <w:iCs/>
        </w:rPr>
        <w:t xml:space="preserve">(LogReg selector → LightGBM.)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KMM (soft weighting).</w:t>
      </w:r>
      <w:r>
        <w:t xml:space="preserve"> </w:t>
      </w:r>
      <w:r>
        <w:t xml:space="preserve">Kernel Mean Matching assigns every literature record a continuous importance</w:t>
      </w:r>
      <w:r>
        <w:t xml:space="preserve"> </w:t>
      </w:r>
      <w:r>
        <w:t xml:space="preserve">weight so the weighted literature distribution matches the lab distribution.</w:t>
      </w:r>
      <w:r>
        <w:t xml:space="preserve"> </w:t>
      </w:r>
      <w:r>
        <w:rPr>
          <w:i/>
          <w:iCs/>
        </w:rPr>
        <w:t xml:space="preserve">(KMM weights → weighted</w:t>
      </w:r>
      <w:r>
        <w:rPr>
          <w:i/>
          <w:iCs/>
        </w:rPr>
        <w:t xml:space="preserve"> </w:t>
      </w:r>
      <w:r>
        <w:rPr>
          <w:i/>
          <w:iCs/>
        </w:rPr>
        <w:t xml:space="preserve">LightGBM.)</w:t>
      </w:r>
    </w:p>
    <w:p>
      <w:pPr>
        <w:pStyle w:val="CaptionedFigure"/>
      </w:pPr>
      <w:r>
        <w:drawing>
          <wp:inline>
            <wp:extent cx="5334000" cy="1930635"/>
            <wp:effectExtent b="0" l="0" r="0" t="0"/>
            <wp:docPr descr="Figure 3 — DRST scores. Each literature record scored by how lab-like its chemistry is; the high-scoring subset (right tail) is what the filter keeps." title="" id="20" name="Picture"/>
            <a:graphic>
              <a:graphicData uri="http://schemas.openxmlformats.org/drawingml/2006/picture">
                <pic:pic>
                  <pic:nvPicPr>
                    <pic:cNvPr descr="fig_drst_scor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0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DRST scores.</w:t>
      </w:r>
      <w:r>
        <w:t xml:space="preserve"> </w:t>
      </w:r>
      <w:r>
        <w:t xml:space="preserve">Each literature record scored by how lab-like its chemistry is; the high-scoring subset (right tail) is what the filter keeps.</w:t>
      </w:r>
    </w:p>
    <w:p>
      <w:pPr>
        <w:pStyle w:val="CaptionedFigure"/>
      </w:pPr>
      <w:r>
        <w:drawing>
          <wp:inline>
            <wp:extent cx="5334000" cy="1093434"/>
            <wp:effectExtent b="0" l="0" r="0" t="0"/>
            <wp:docPr descr="Figure 4 — KMM weights. The continuous importance weights closely agree with the DRST filter (their scores correlate at r = 0.790) — two independent methods reaching the same view of which literature is lab-like." title="" id="23" name="Picture"/>
            <a:graphic>
              <a:graphicData uri="http://schemas.openxmlformats.org/drawingml/2006/picture">
                <pic:pic>
                  <pic:nvPicPr>
                    <pic:cNvPr descr="fig_kmm_weight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KMM weights.</w:t>
      </w:r>
      <w:r>
        <w:t xml:space="preserve"> </w:t>
      </w:r>
      <w:r>
        <w:t xml:space="preserve">The continuous importance weights closely agree with the DRST filter (their scores correlate at r = 0.790) — two independent methods reaching the same view of which literature is lab-like.</w:t>
      </w:r>
    </w:p>
    <w:p>
      <w:pPr>
        <w:pStyle w:val="BodyText"/>
      </w:pPr>
      <w:r>
        <w:rPr>
          <w:b/>
          <w:bCs/>
        </w:rPr>
        <w:t xml:space="preserve">Result.</w:t>
      </w:r>
      <w:r>
        <w:t xml:space="preserve"> </w:t>
      </w:r>
      <w:r>
        <w:t xml:space="preserve">Best DRST</w:t>
      </w:r>
      <w:r>
        <w:t xml:space="preserve"> </w:t>
      </w:r>
      <w:r>
        <w:rPr>
          <w:b/>
          <w:bCs/>
        </w:rPr>
        <w:t xml:space="preserve">CV RMSE = 2.127</w:t>
      </w:r>
      <w:r>
        <w:t xml:space="preserve">; KMM</w:t>
      </w:r>
      <w:r>
        <w:t xml:space="preserve"> </w:t>
      </w:r>
      <w:r>
        <w:rPr>
          <w:b/>
          <w:bCs/>
        </w:rPr>
        <w:t xml:space="preserve">CV RMSE = 2.261</w:t>
      </w:r>
      <w:r>
        <w:t xml:space="preserve"> </w:t>
      </w:r>
      <w:r>
        <w:t xml:space="preserve">— both close to, and not better than, the</w:t>
      </w:r>
      <w:r>
        <w:t xml:space="preserve"> </w:t>
      </w:r>
      <w:r>
        <w:t xml:space="preserve">baseline. Correcting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records are used addresses the covariate shift, but these methods still use the</w:t>
      </w:r>
      <w:r>
        <w:t xml:space="preserve"> </w:t>
      </w:r>
      <w:r>
        <w:t xml:space="preserve">literature’s yields as training targets, so the label shift is not resolved.</w:t>
      </w:r>
    </w:p>
    <w:p>
      <w:pPr>
        <w:pStyle w:val="BodyText"/>
      </w:pPr>
      <w:r>
        <w:rPr>
          <w:b/>
          <w:bCs/>
        </w:rPr>
        <w:t xml:space="preserve">Reading of Sections 4.1–4.2.</w:t>
      </w:r>
      <w:r>
        <w:t xml:space="preserve"> </w:t>
      </w:r>
      <w:r>
        <w:t xml:space="preserve">Every approach that places the literature yields into the training objective</w:t>
      </w:r>
      <w:r>
        <w:t xml:space="preserve"> </w:t>
      </w:r>
      <w:r>
        <w:t xml:space="preserve">is limited by the label shift. The open question is whether the literature’s</w:t>
      </w:r>
      <w:r>
        <w:t xml:space="preserve"> </w:t>
      </w:r>
      <w:r>
        <w:rPr>
          <w:i/>
          <w:iCs/>
        </w:rPr>
        <w:t xml:space="preserve">chemical information</w:t>
      </w:r>
      <w:r>
        <w:t xml:space="preserve"> </w:t>
      </w:r>
      <w:r>
        <w:t xml:space="preserve">can be</w:t>
      </w:r>
      <w:r>
        <w:t xml:space="preserve"> </w:t>
      </w:r>
      <w:r>
        <w:t xml:space="preserve">used without its</w:t>
      </w:r>
      <w:r>
        <w:t xml:space="preserve"> </w:t>
      </w:r>
      <w:r>
        <w:rPr>
          <w:i/>
          <w:iCs/>
        </w:rPr>
        <w:t xml:space="preserve">yields</w:t>
      </w:r>
      <w:r>
        <w:t xml:space="preserve"> </w:t>
      </w:r>
      <w:r>
        <w:t xml:space="preserve">entering the objective. That is what the adopted method does.</w:t>
      </w:r>
    </w:p>
    <w:bookmarkEnd w:id="25"/>
    <w:bookmarkStart w:id="29" w:name="X617189b3f34ebd5278b61e4a85c8108b3fecbe1"/>
    <w:p>
      <w:pPr>
        <w:pStyle w:val="Heading3"/>
      </w:pPr>
      <w:r>
        <w:t xml:space="preserve">4.3 Adopted method — a two-stage prior-feature approach (stacking-based domain adaptation) ★</w:t>
      </w:r>
    </w:p>
    <w:p>
      <w:pPr>
        <w:pStyle w:val="FirstParagraph"/>
      </w:pPr>
      <w:r>
        <w:rPr>
          <w:b/>
          <w:bCs/>
        </w:rPr>
        <w:t xml:space="preserve">Core idea.</w:t>
      </w:r>
      <w:r>
        <w:t xml:space="preserve"> </w:t>
      </w:r>
      <w:r>
        <w:t xml:space="preserve">Let the literature influence the final model</w:t>
      </w:r>
      <w:r>
        <w:t xml:space="preserve"> </w:t>
      </w:r>
      <w:r>
        <w:rPr>
          <w:b/>
          <w:bCs/>
        </w:rPr>
        <w:t xml:space="preserve">only through a predicted value used as an input</w:t>
      </w:r>
      <w:r>
        <w:rPr>
          <w:b/>
          <w:bCs/>
        </w:rPr>
        <w:t xml:space="preserve"> </w:t>
      </w:r>
      <w:r>
        <w:rPr>
          <w:b/>
          <w:bCs/>
        </w:rPr>
        <w:t xml:space="preserve">feature</w:t>
      </w:r>
      <w:r>
        <w:t xml:space="preserve">, never as a training label. Concretely, three stages: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0 — (optional) selection.</w:t>
      </w:r>
      <w:r>
        <w:t xml:space="preserve"> </w:t>
      </w:r>
      <w:r>
        <w:t xml:space="preserve">Choose the literature used to build the expert: either the</w:t>
      </w:r>
      <w:r>
        <w:t xml:space="preserve"> </w:t>
      </w:r>
      <w:r>
        <w:t xml:space="preserve">DRST-filtered subset (782 records, τ = 0.30) or all 3,852 records. We tested both (Section 4.4); the</w:t>
      </w:r>
      <w:r>
        <w:t xml:space="preserve"> </w:t>
      </w:r>
      <w:r>
        <w:t xml:space="preserve">choice makes a negligible difference, so this stage is optional.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1 — literature expert.</w:t>
      </w:r>
      <w:r>
        <w:t xml:space="preserve"> </w:t>
      </w:r>
      <w:r>
        <w:t xml:space="preserve">Train an XGBoost regressor on the chosen literature. Its published yields</w:t>
      </w:r>
      <w:r>
        <w:t xml:space="preserve"> </w:t>
      </w:r>
      <w:r>
        <w:t xml:space="preserve">are first</w:t>
      </w:r>
      <w:r>
        <w:t xml:space="preserve"> </w:t>
      </w:r>
      <w:r>
        <w:rPr>
          <w:b/>
          <w:bCs/>
        </w:rPr>
        <w:t xml:space="preserve">rank-rescaled onto the lab yield range</w:t>
      </w:r>
      <w:r>
        <w:t xml:space="preserve"> </w:t>
      </w:r>
      <w:r>
        <w:t xml:space="preserve">(quantile normalisation — a monotone, rank-preserving</w:t>
      </w:r>
      <w:r>
        <w:t xml:space="preserve"> </w:t>
      </w:r>
      <w:r>
        <w:t xml:space="preserve">map), so the expert’s outputs are expressed on the lab scale.</w:t>
      </w:r>
      <w:r>
        <w:t xml:space="preserve"> </w:t>
      </w:r>
      <w:r>
        <w:rPr>
          <w:i/>
          <w:iCs/>
        </w:rPr>
        <w:t xml:space="preserve">(Input: literature catalyst features;</w:t>
      </w:r>
      <w:r>
        <w:rPr>
          <w:i/>
          <w:iCs/>
        </w:rPr>
        <w:t xml:space="preserve"> </w:t>
      </w:r>
      <w:r>
        <w:rPr>
          <w:i/>
          <w:iCs/>
        </w:rPr>
        <w:t xml:space="preserve">output: an expert yield estimate.)</w:t>
      </w:r>
    </w:p>
    <w:p>
      <w:pPr>
        <w:pStyle w:val="CaptionedFigure"/>
      </w:pPr>
      <w:r>
        <w:drawing>
          <wp:inline>
            <wp:extent cx="5334000" cy="1713911"/>
            <wp:effectExtent b="0" l="0" r="0" t="0"/>
            <wp:docPr descr="Figure 5 — Stage 1 rescaling. The literature yields (orange, mean 8.670 %) are mapped onto the lab yield range (green, ≈ blue lab data, mean 5.245 %), preserving their ordering. This lets the expert express its estimates on the lab scale." title="" id="27" name="Picture"/>
            <a:graphic>
              <a:graphicData uri="http://schemas.openxmlformats.org/drawingml/2006/picture">
                <pic:pic>
                  <pic:nvPicPr>
                    <pic:cNvPr descr="fig_bias_correct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3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Stage 1 rescaling.</w:t>
      </w:r>
      <w:r>
        <w:t xml:space="preserve"> </w:t>
      </w:r>
      <w:r>
        <w:t xml:space="preserve">The literature yields (orange, mean 8.670 %) are mapped onto the lab yield range (green, ≈ blue lab data, mean 5.245 %), preserving their ordering. This lets the expert express its estimates on the lab scale.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Stage 2 — final model.</w:t>
      </w:r>
      <w:r>
        <w:t xml:space="preserve"> </w:t>
      </w:r>
      <w:r>
        <w:t xml:space="preserve">Train a LightGBM on the lab data, adding the Stage-1 expert’s prediction as one</w:t>
      </w:r>
      <w:r>
        <w:t xml:space="preserve"> </w:t>
      </w:r>
      <w:r>
        <w:t xml:space="preserve">additional input feature,</w:t>
      </w:r>
      <w:r>
        <w:t xml:space="preserve"> </w:t>
      </w:r>
      <w:r>
        <w:rPr>
          <w:rStyle w:val="VerbatimChar"/>
        </w:rPr>
        <w:t xml:space="preserve">lit_prior_prediction</w:t>
      </w:r>
      <w:r>
        <w:t xml:space="preserve">, and training on</w:t>
      </w:r>
      <w:r>
        <w:t xml:space="preserve"> </w:t>
      </w:r>
      <w:r>
        <w:rPr>
          <w:b/>
          <w:bCs/>
        </w:rPr>
        <w:t xml:space="preserve">lab labels only</w:t>
      </w:r>
      <w:r>
        <w:t xml:space="preserve">. The literature’s</w:t>
      </w:r>
      <w:r>
        <w:t xml:space="preserve"> </w:t>
      </w:r>
      <w:r>
        <w:t xml:space="preserve">yields never enter this model’s objective.</w:t>
      </w:r>
    </w:p>
    <w:p>
      <w:pPr>
        <w:pStyle w:val="FirstParagraph"/>
      </w:pPr>
      <w:r>
        <w:rPr>
          <w:b/>
          <w:bCs/>
        </w:rPr>
        <w:t xml:space="preserve">Why this addresses the label-shift limitation.</w:t>
      </w:r>
      <w:r>
        <w:t xml:space="preserve"> </w:t>
      </w:r>
      <w:r>
        <w:t xml:space="preserve">The literature’s scale now resides in a</w:t>
      </w:r>
      <w:r>
        <w:t xml:space="preserve"> </w:t>
      </w:r>
      <w:r>
        <w:rPr>
          <w:i/>
          <w:iCs/>
        </w:rPr>
        <w:t xml:space="preserve">feature value</w:t>
      </w:r>
      <w:r>
        <w:t xml:space="preserve">,</w:t>
      </w:r>
      <w:r>
        <w:t xml:space="preserve"> </w:t>
      </w:r>
      <w:r>
        <w:t xml:space="preserve">which the final model can weight, discount, or recalibrate per sample using the lab data — rather than in the</w:t>
      </w:r>
      <w:r>
        <w:t xml:space="preserve"> </w:t>
      </w:r>
      <w:r>
        <w:t xml:space="preserve">training target. The systematic offset is contained within a feature instead of propagating into the</w:t>
      </w:r>
      <w:r>
        <w:t xml:space="preserve"> </w:t>
      </w:r>
      <w:r>
        <w:t xml:space="preserve">objective.</w:t>
      </w:r>
    </w:p>
    <w:p>
      <w:pPr>
        <w:pStyle w:val="BodyText"/>
      </w:pPr>
      <w:r>
        <w:rPr>
          <w:b/>
          <w:bCs/>
        </w:rPr>
        <w:t xml:space="preserve">Result. CV RMSE = 1.907 — a 10.6 % improvement over the baseline</w:t>
      </w:r>
      <w:r>
        <w:t xml:space="preserve">, and the only approach evaluated that</w:t>
      </w:r>
      <w:r>
        <w:t xml:space="preserve"> </w:t>
      </w:r>
      <w:r>
        <w:t xml:space="preserve">improves on it.</w:t>
      </w:r>
    </w:p>
    <w:bookmarkEnd w:id="29"/>
    <w:bookmarkStart w:id="30" w:name="X62c024ba899e7295fca4c23af2571af20612ac2"/>
    <w:p>
      <w:pPr>
        <w:pStyle w:val="Heading3"/>
      </w:pPr>
      <w:r>
        <w:t xml:space="preserve">4.4 Does the Stage-0 filter matter? Filtered vs. all literature</w:t>
      </w:r>
    </w:p>
    <w:p>
      <w:pPr>
        <w:pStyle w:val="FirstParagraph"/>
      </w:pPr>
      <w:r>
        <w:t xml:space="preserve">Because Stage 2 uses the expert only as a feature it can down-weight, the expert can be built from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literature — including records whose chemistry is unlike the lab’s. We compared both, across 10 seeds: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Stage-1 training data</w:t>
            </w:r>
          </w:p>
        </w:tc>
        <w:tc>
          <w:tcPr/>
          <w:p>
            <w:pPr>
              <w:pStyle w:val="Compact"/>
            </w:pPr>
            <w:r>
              <w:t xml:space="preserve">CV RMSE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DRST-filtered (782, 20.3 %)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1.909 ± 0.002</w:t>
            </w:r>
          </w:p>
        </w:tc>
        <w:tc>
          <w:tcPr/>
          <w:p>
            <w:pPr>
              <w:pStyle w:val="Compact"/>
            </w:pPr>
            <w:r>
              <w:t xml:space="preserve">1.386</w:t>
            </w:r>
          </w:p>
        </w:tc>
        <w:tc>
          <w:tcPr/>
          <w:p>
            <w:pPr>
              <w:pStyle w:val="Compact"/>
            </w:pPr>
            <w:r>
              <w:t xml:space="preserve">0.765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literature (3,852)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1.917 ± 0.002</w:t>
            </w:r>
          </w:p>
        </w:tc>
        <w:tc>
          <w:tcPr/>
          <w:p>
            <w:pPr>
              <w:pStyle w:val="Compact"/>
            </w:pPr>
            <w:r>
              <w:t xml:space="preserve">1.395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</w:tr>
    </w:tbl>
    <w:p>
      <w:pPr>
        <w:pStyle w:val="BodyText"/>
      </w:pPr>
      <w:r>
        <w:t xml:space="preserve">Both improve on the baseline on</w:t>
      </w:r>
      <w:r>
        <w:t xml:space="preserve"> </w:t>
      </w:r>
      <w:r>
        <w:rPr>
          <w:b/>
          <w:bCs/>
        </w:rPr>
        <w:t xml:space="preserve">10 / 10</w:t>
      </w:r>
      <w:r>
        <w:t xml:space="preserve"> </w:t>
      </w:r>
      <w:r>
        <w:t xml:space="preserve">seeds; the filter contributes only a</w:t>
      </w:r>
      <w:r>
        <w:t xml:space="preserve"> </w:t>
      </w:r>
      <w:r>
        <w:rPr>
          <w:b/>
          <w:bCs/>
        </w:rPr>
        <w:t xml:space="preserve">0.008 RMSE (~0.4 %)</w:t>
      </w:r>
      <w:r>
        <w:t xml:space="preserve"> </w:t>
      </w:r>
      <w:r>
        <w:t xml:space="preserve">edge. This answers a useful question —</w:t>
      </w:r>
      <w:r>
        <w:t xml:space="preserve"> </w:t>
      </w:r>
      <w:r>
        <w:rPr>
          <w:i/>
          <w:iCs/>
        </w:rPr>
        <w:t xml:space="preserve">how can information be drawn from records that do not look like the</w:t>
      </w:r>
      <w:r>
        <w:rPr>
          <w:i/>
          <w:iCs/>
        </w:rPr>
        <w:t xml:space="preserve"> </w:t>
      </w:r>
      <w:r>
        <w:rPr>
          <w:i/>
          <w:iCs/>
        </w:rPr>
        <w:t xml:space="preserve">lab’s data?</w:t>
      </w:r>
      <w:r>
        <w:t xml:space="preserve"> </w:t>
      </w:r>
      <w:r>
        <w:t xml:space="preserve">The gain comes from the two-stage design rather than the filter, and the method is</w:t>
      </w:r>
      <w:r>
        <w:t xml:space="preserve"> </w:t>
      </w:r>
      <w:r>
        <w:rPr>
          <w:b/>
          <w:bCs/>
        </w:rPr>
        <w:t xml:space="preserve">robust to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literature unlike the lab’s chemistry</w:t>
      </w:r>
      <w:r>
        <w:t xml:space="preserve">: because that information arrives as a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(not a</w:t>
      </w:r>
      <w:r>
        <w:t xml:space="preserve"> </w:t>
      </w:r>
      <w:r>
        <w:t xml:space="preserve">label), the final model weights it appropriately per sample instead of being pulled off-scale. Stage 0 is</w:t>
      </w:r>
      <w:r>
        <w:t xml:space="preserve"> </w:t>
      </w:r>
      <w:r>
        <w:t xml:space="preserve">therefore optional; we report the filtered variant as the primary result and note the all-literature variant</w:t>
      </w:r>
      <w:r>
        <w:t xml:space="preserve"> </w:t>
      </w:r>
      <w:r>
        <w:t xml:space="preserve">is essentially equivalent.</w:t>
      </w:r>
    </w:p>
    <w:bookmarkEnd w:id="30"/>
    <w:bookmarkEnd w:id="31"/>
    <w:bookmarkStart w:id="35" w:name="robustness-of-the-result"/>
    <w:p>
      <w:pPr>
        <w:pStyle w:val="Heading2"/>
      </w:pPr>
      <w:r>
        <w:t xml:space="preserve">5. Robustness of the result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Repeatability across 10 seeds.</w:t>
      </w:r>
      <w:r>
        <w:t xml:space="preserve"> </w:t>
      </w:r>
      <w:r>
        <w:t xml:space="preserve">Baseline</w:t>
      </w:r>
      <w:r>
        <w:t xml:space="preserve"> </w:t>
      </w:r>
      <w:r>
        <w:rPr>
          <w:b/>
          <w:bCs/>
        </w:rPr>
        <w:t xml:space="preserve">2.121 ± 0.005</w:t>
      </w:r>
      <w:r>
        <w:t xml:space="preserve"> </w:t>
      </w:r>
      <w:r>
        <w:t xml:space="preserve">vs. adopted method</w:t>
      </w:r>
      <w:r>
        <w:t xml:space="preserve"> </w:t>
      </w:r>
      <w:r>
        <w:rPr>
          <w:b/>
          <w:bCs/>
        </w:rPr>
        <w:t xml:space="preserve">1.909 ± 0.002</w:t>
      </w:r>
      <w:r>
        <w:t xml:space="preserve">; the</w:t>
      </w:r>
      <w:r>
        <w:t xml:space="preserve"> </w:t>
      </w:r>
      <w:r>
        <w:t xml:space="preserve">method improves on the baseline on</w:t>
      </w:r>
      <w:r>
        <w:t xml:space="preserve"> </w:t>
      </w:r>
      <w:r>
        <w:rPr>
          <w:b/>
          <w:bCs/>
        </w:rPr>
        <w:t xml:space="preserve">10 / 10</w:t>
      </w:r>
      <w:r>
        <w:t xml:space="preserve"> </w:t>
      </w:r>
      <w:r>
        <w:t xml:space="preserve">seeds, with a paired t-test</w:t>
      </w:r>
      <w:r>
        <w:t xml:space="preserve"> </w:t>
      </w:r>
      <w:r>
        <w:rPr>
          <w:b/>
          <w:bCs/>
        </w:rPr>
        <w:t xml:space="preserve">p ≈ 4 × 10⁻¹⁵</w:t>
      </w:r>
      <w:r>
        <w:t xml:space="preserve">.</w:t>
      </w:r>
    </w:p>
    <w:p>
      <w:pPr>
        <w:pStyle w:val="CaptionedFigure"/>
      </w:pPr>
      <w:r>
        <w:drawing>
          <wp:inline>
            <wp:extent cx="5334000" cy="2044700"/>
            <wp:effectExtent b="0" l="0" r="0" t="0"/>
            <wp:docPr descr="Figure 6 — Repeatability. Per-seed CV RMSE across 10 random seeds; the adopted method (lower line) is below the baseline on every seed. The effect is reproducible across CV splits and model initialisations." title="" id="33" name="Picture"/>
            <a:graphic>
              <a:graphicData uri="http://schemas.openxmlformats.org/drawingml/2006/picture">
                <pic:pic>
                  <pic:nvPicPr>
                    <pic:cNvPr descr="fig_repeated_ru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4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Repeatability.</w:t>
      </w:r>
      <w:r>
        <w:t xml:space="preserve"> </w:t>
      </w:r>
      <w:r>
        <w:t xml:space="preserve">Per-seed CV RMSE across 10 random seeds; the adopted method (lower line) is below the baseline on every seed. The effect is reproducible across CV splits and model initialisations.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Held-out test, used nowhere in the pipeline.</w:t>
      </w:r>
      <w:r>
        <w:t xml:space="preserve"> </w:t>
      </w:r>
      <w:r>
        <w:t xml:space="preserve">A random 20 % of the lab data (17,814 records) was set</w:t>
      </w:r>
      <w:r>
        <w:t xml:space="preserve"> </w:t>
      </w:r>
      <w:r>
        <w:t xml:space="preserve">aside at the outset and used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part of the pipeline — not the domain classifier, not Stage 1, not</w:t>
      </w:r>
      <w:r>
        <w:t xml:space="preserve"> </w:t>
      </w:r>
      <w:r>
        <w:t xml:space="preserve">Stage 2 (verified by rebuilding the domain classifier on the training portion only). On this untouched set:</w:t>
      </w:r>
      <w:r>
        <w:t xml:space="preserve"> </w:t>
      </w:r>
      <w:r>
        <w:t xml:space="preserve">baseline RMSE</w:t>
      </w:r>
      <w:r>
        <w:t xml:space="preserve"> </w:t>
      </w:r>
      <w:r>
        <w:rPr>
          <w:b/>
          <w:bCs/>
        </w:rPr>
        <w:t xml:space="preserve">2.097</w:t>
      </w:r>
      <w:r>
        <w:t xml:space="preserve"> </w:t>
      </w:r>
      <w:r>
        <w:t xml:space="preserve">→ adopted method</w:t>
      </w:r>
      <w:r>
        <w:t xml:space="preserve"> </w:t>
      </w:r>
      <w:r>
        <w:rPr>
          <w:b/>
          <w:bCs/>
        </w:rPr>
        <w:t xml:space="preserve">1.890</w:t>
      </w:r>
      <w:r>
        <w:t xml:space="preserve"> </w:t>
      </w:r>
      <w:r>
        <w:t xml:space="preserve">(R² = 0.763) — the same ~10 % improvement, confirming</w:t>
      </w:r>
      <w:r>
        <w:t xml:space="preserve"> </w:t>
      </w:r>
      <w:r>
        <w:t xml:space="preserve">the result is not an artefact of the cross-validation splits.</w:t>
      </w:r>
    </w:p>
    <w:bookmarkEnd w:id="35"/>
    <w:bookmarkStart w:id="39" w:name="what-drives-the-improvement"/>
    <w:p>
      <w:pPr>
        <w:pStyle w:val="Heading2"/>
      </w:pPr>
      <w:r>
        <w:t xml:space="preserve">6. What drives the improvement</w:t>
      </w:r>
    </w:p>
    <w:p>
      <w:pPr>
        <w:pStyle w:val="FirstParagraph"/>
      </w:pPr>
      <w:r>
        <w:t xml:space="preserve">Using SHAP (a standard feature-attribution method), the engineered feature</w:t>
      </w:r>
      <w:r>
        <w:t xml:space="preserve"> </w:t>
      </w:r>
      <w:r>
        <w:rPr>
          <w:rStyle w:val="VerbatimChar"/>
        </w:rPr>
        <w:t xml:space="preserve">lit_prior_prediction</w:t>
      </w:r>
      <w:r>
        <w:t xml:space="preserve"> </w:t>
      </w:r>
      <w:r>
        <w:t xml:space="preserve">— the</w:t>
      </w:r>
      <w:r>
        <w:t xml:space="preserve"> </w:t>
      </w:r>
      <w:r>
        <w:t xml:space="preserve">literature expert’s estimate — is the</w:t>
      </w:r>
      <w:r>
        <w:t xml:space="preserve"> </w:t>
      </w:r>
      <w:r>
        <w:rPr>
          <w:b/>
          <w:bCs/>
        </w:rPr>
        <w:t xml:space="preserve">most influential input by a wide margin</w:t>
      </w:r>
      <w:r>
        <w:t xml:space="preserve"> </w:t>
      </w:r>
      <w:r>
        <w:t xml:space="preserve">(roughly an order of</w:t>
      </w:r>
      <w:r>
        <w:t xml:space="preserve"> </w:t>
      </w:r>
      <w:r>
        <w:t xml:space="preserve">magnitude above the next feature), followed by chemically sensible drivers (temperature and known OCM</w:t>
      </w:r>
      <w:r>
        <w:t xml:space="preserve"> </w:t>
      </w:r>
      <w:r>
        <w:t xml:space="preserve">promoters such as Ba, Mn, La, Ce). This confirms that the transferred chemical information, delivered as a</w:t>
      </w:r>
      <w:r>
        <w:t xml:space="preserve"> </w:t>
      </w:r>
      <w:r>
        <w:t xml:space="preserve">feature, is what produces the gain.</w:t>
      </w:r>
    </w:p>
    <w:p>
      <w:pPr>
        <w:pStyle w:val="CaptionedFigure"/>
      </w:pPr>
      <w:r>
        <w:drawing>
          <wp:inline>
            <wp:extent cx="5334000" cy="3495650"/>
            <wp:effectExtent b="0" l="0" r="0" t="0"/>
            <wp:docPr descr="Figure 7 — Feature importance (SHAP). lit_prior_prediction (the literature expert’s estimate) ranks first by a wide margin, ahead of temperature and known OCM promoters.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Feature importance (SHAP).</w:t>
      </w:r>
      <w:r>
        <w:t xml:space="preserve"> </w:t>
      </w:r>
      <w:r>
        <w:rPr>
          <w:rStyle w:val="VerbatimChar"/>
        </w:rPr>
        <w:t xml:space="preserve">lit_prior_prediction</w:t>
      </w:r>
      <w:r>
        <w:t xml:space="preserve"> </w:t>
      </w:r>
      <w:r>
        <w:t xml:space="preserve">(the literature expert’s estimate) ranks first by a wide margin, ahead of temperature and known OCM promoters.</w:t>
      </w:r>
    </w:p>
    <w:bookmarkEnd w:id="39"/>
    <w:bookmarkStart w:id="40" w:name="X68f96a4a8030c9195cc4451b81d8b90933a5a66"/>
    <w:p>
      <w:pPr>
        <w:pStyle w:val="Heading2"/>
      </w:pPr>
      <w:r>
        <w:t xml:space="preserve">7. Relation to prior work and our contribution</w:t>
      </w:r>
    </w:p>
    <w:p>
      <w:pPr>
        <w:pStyle w:val="FirstParagraph"/>
      </w:pPr>
      <w:r>
        <w:t xml:space="preserve">The individual ingredients are established;</w:t>
      </w:r>
      <w:r>
        <w:t xml:space="preserve"> </w:t>
      </w:r>
      <w:r>
        <w:rPr>
          <w:b/>
          <w:bCs/>
        </w:rPr>
        <w:t xml:space="preserve">the contribution here is the specific pipeline and its</w:t>
      </w:r>
      <w:r>
        <w:rPr>
          <w:b/>
          <w:bCs/>
        </w:rPr>
        <w:t xml:space="preserve"> </w:t>
      </w:r>
      <w:r>
        <w:rPr>
          <w:b/>
          <w:bCs/>
        </w:rPr>
        <w:t xml:space="preserve">application.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Positioning.</w:t>
      </w:r>
      <w:r>
        <w:t xml:space="preserve"> </w:t>
      </w:r>
      <w:r>
        <w:t xml:space="preserve">Because the lab and the literature share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prediction task and differ only in</w:t>
      </w:r>
      <w:r>
        <w:t xml:space="preserve"> </w:t>
      </w:r>
      <w:r>
        <w:t xml:space="preserve">distribution, this 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 (a sub-field of transfer learning), not transfer to a</w:t>
      </w:r>
      <w:r>
        <w:t xml:space="preserve"> </w:t>
      </w:r>
      <w:r>
        <w:t xml:space="preserve">new task. Using a model’s</w:t>
      </w:r>
      <w:r>
        <w:t xml:space="preserve"> </w:t>
      </w:r>
      <w:r>
        <w:rPr>
          <w:i/>
          <w:iCs/>
        </w:rPr>
        <w:t xml:space="preserve">prediction as an input feature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 </w:t>
      </w:r>
      <w:r>
        <w:t xml:space="preserve">5, 1992, 241–259) applied across distributions — a documented family sometimes termed</w:t>
      </w:r>
      <w:r>
        <w:t xml:space="preserve"> </w:t>
      </w:r>
      <w:r>
        <w:rPr>
          <w:i/>
          <w:iCs/>
        </w:rPr>
        <w:t xml:space="preserve">stacked</w:t>
      </w:r>
      <w:r>
        <w:rPr>
          <w:i/>
          <w:iCs/>
        </w:rPr>
        <w:t xml:space="preserve"> </w:t>
      </w:r>
      <w:r>
        <w:rPr>
          <w:i/>
          <w:iCs/>
        </w:rPr>
        <w:t xml:space="preserve">transfer learning</w:t>
      </w:r>
      <w:r>
        <w:t xml:space="preserve">. The mechanism is therefore not itself new.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 the name.</w:t>
      </w:r>
      <w:r>
        <w:t xml:space="preserve"> </w:t>
      </w:r>
      <w:r>
        <w:t xml:space="preserve">We use</w:t>
      </w:r>
      <w:r>
        <w:t xml:space="preserve"> </w:t>
      </w:r>
      <w:r>
        <w:t xml:space="preserve">“Prior Feature Transfer (PFT)”</w:t>
      </w:r>
      <w:r>
        <w:t xml:space="preserve"> </w:t>
      </w:r>
      <w:r>
        <w:t xml:space="preserve">only as an internal shorthand; it is not a standard</w:t>
      </w:r>
      <w:r>
        <w:t xml:space="preserve"> </w:t>
      </w:r>
      <w:r>
        <w:t xml:space="preserve">term.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in the literature usually denotes</w:t>
      </w:r>
      <w:r>
        <w:t xml:space="preserve"> </w:t>
      </w:r>
      <w:r>
        <w:rPr>
          <w:i/>
          <w:iCs/>
        </w:rPr>
        <w:t xml:space="preserve">feature-representation</w:t>
      </w:r>
      <w:r>
        <w:t xml:space="preserve"> </w:t>
      </w:r>
      <w:r>
        <w:t xml:space="preserve">transfer</w:t>
      </w:r>
      <w:r>
        <w:t xml:space="preserve"> </w:t>
      </w:r>
      <w:r>
        <w:t xml:space="preserve">(learning a shared feature space),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what this method does. A precise description is</w:t>
      </w:r>
      <w:r>
        <w:t xml:space="preserve"> </w:t>
      </w:r>
      <w:r>
        <w:rPr>
          <w:i/>
          <w:iCs/>
        </w:rPr>
        <w:t xml:space="preserve">stacking-based domain adaptation using a literature-derived prior feature</w:t>
      </w:r>
      <w:r>
        <w:t xml:space="preserve"> </w:t>
      </w:r>
      <w:r>
        <w:t xml:space="preserve">(a clear alternative name would</w:t>
      </w:r>
      <w:r>
        <w:t xml:space="preserve"> </w:t>
      </w:r>
      <w:r>
        <w:t xml:space="preserve">be</w:t>
      </w:r>
      <w:r>
        <w:t xml:space="preserve"> </w:t>
      </w:r>
      <w:r>
        <w:t xml:space="preserve">“Literature-Prior Stacking”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Distinctions from related methods.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Δ-machine-learning / multi-fidelity</w:t>
      </w:r>
      <w:r>
        <w:t xml:space="preserve"> </w:t>
      </w:r>
      <w:r>
        <w:t xml:space="preserve">(Ramakrishnan, Dral, Rupp, von Lilienfeld,</w:t>
      </w:r>
      <w:r>
        <w:t xml:space="preserve"> </w:t>
      </w:r>
      <w:r>
        <w:rPr>
          <w:i/>
          <w:iCs/>
        </w:rPr>
        <w:t xml:space="preserve">J. Chem. Theory</w:t>
      </w:r>
      <w:r>
        <w:rPr>
          <w:i/>
          <w:iCs/>
        </w:rPr>
        <w:t xml:space="preserve"> </w:t>
      </w:r>
      <w:r>
        <w:rPr>
          <w:i/>
          <w:iCs/>
        </w:rPr>
        <w:t xml:space="preserve">Comput.</w:t>
      </w:r>
      <w:r>
        <w:t xml:space="preserve"> </w:t>
      </w:r>
      <w:r>
        <w:t xml:space="preserve">11, 2015, 2087) combines a source estimate with a learned correction as</w:t>
      </w:r>
      <w:r>
        <w:t xml:space="preserve"> </w:t>
      </w:r>
      <w:r>
        <w:rPr>
          <w:rStyle w:val="VerbatimChar"/>
        </w:rPr>
        <w:t xml:space="preserve">final = source_estimate + Δ</w:t>
      </w:r>
      <w:r>
        <w:t xml:space="preserve">, so the source value is added into the output and its scale is inherited.</w:t>
      </w:r>
      <w:r>
        <w:t xml:space="preserve"> </w:t>
      </w:r>
      <w:r>
        <w:t xml:space="preserve">Our method instead supplies the source estimate</w:t>
      </w:r>
      <w:r>
        <w:t xml:space="preserve"> </w:t>
      </w:r>
      <w:r>
        <w:rPr>
          <w:b/>
          <w:bCs/>
        </w:rPr>
        <w:t xml:space="preserve">only as a feature</w:t>
      </w:r>
      <w:r>
        <w:t xml:space="preserve"> </w:t>
      </w:r>
      <w:r>
        <w:t xml:space="preserve">the final model may weight or</w:t>
      </w:r>
      <w:r>
        <w:t xml:space="preserve"> </w:t>
      </w:r>
      <w:r>
        <w:t xml:space="preserve">ignore.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Importance weighting for covariate shift</w:t>
      </w:r>
      <w:r>
        <w:t xml:space="preserve"> </w:t>
      </w:r>
      <w:r>
        <w:t xml:space="preserve">(Huang, Gretton, Borgwardt, Schölkopf, Smola — KMM, NIPS</w:t>
      </w:r>
      <w:r>
        <w:t xml:space="preserve"> </w:t>
      </w:r>
      <w:r>
        <w:t xml:space="preserve">2006; Sugiyama, Krauledat, Müller,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2007, 985) corrects which records are used but keeps the</w:t>
      </w:r>
      <w:r>
        <w:t xml:space="preserve"> </w:t>
      </w:r>
      <w:r>
        <w:t xml:space="preserve">source labels in the objective — our DRST and KMM baselines are instances, which is why they do not</w:t>
      </w:r>
      <w:r>
        <w:t xml:space="preserve"> </w:t>
      </w:r>
      <w:r>
        <w:t xml:space="preserve">overcome the label shift.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Label-shift correction</w:t>
      </w:r>
      <w:r>
        <w:t xml:space="preserve"> </w:t>
      </w:r>
      <w:r>
        <w:t xml:space="preserve">(Lipton, Wang, Smola — BBSE, ICML 2018) reweights examples to correct the label</w:t>
      </w:r>
      <w:r>
        <w:t xml:space="preserve"> </w:t>
      </w:r>
      <w:r>
        <w:t xml:space="preserve">distribution; our method keeps the source labels out of the objective entirely.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genuinely ours (an applied/methodological contribution):</w:t>
      </w:r>
      <w:r>
        <w:t xml:space="preserve"> </w:t>
      </w:r>
      <w:r>
        <w:t xml:space="preserve">the specific pipeline —</w:t>
      </w:r>
      <w:r>
        <w:t xml:space="preserve"> </w:t>
      </w:r>
      <w:r>
        <w:rPr>
          <w:i/>
          <w:iCs/>
        </w:rPr>
        <w:t xml:space="preserve">(optionally)</w:t>
      </w:r>
      <w:r>
        <w:rPr>
          <w:i/>
          <w:iCs/>
        </w:rPr>
        <w:t xml:space="preserve"> </w:t>
      </w:r>
      <w:r>
        <w:rPr>
          <w:i/>
          <w:iCs/>
        </w:rPr>
        <w:t xml:space="preserve">select literature by chemistry → build an expert whose yields are rescaled to the lab scale → use its</w:t>
      </w:r>
      <w:r>
        <w:rPr>
          <w:i/>
          <w:iCs/>
        </w:rPr>
        <w:t xml:space="preserve"> </w:t>
      </w:r>
      <w:r>
        <w:rPr>
          <w:i/>
          <w:iCs/>
        </w:rPr>
        <w:t xml:space="preserve">prediction as the sole channel into a lab-labelled final model</w:t>
      </w:r>
      <w:r>
        <w:t xml:space="preserve"> </w:t>
      </w:r>
      <w:r>
        <w:t xml:space="preserve">— applied to</w:t>
      </w:r>
      <w:r>
        <w:t xml:space="preserve"> </w:t>
      </w:r>
      <w:r>
        <w:rPr>
          <w:b/>
          <w:bCs/>
        </w:rPr>
        <w:t xml:space="preserve">OCM literature→lab yield</w:t>
      </w:r>
      <w:r>
        <w:rPr>
          <w:b/>
          <w:bCs/>
        </w:rPr>
        <w:t xml:space="preserve"> </w:t>
      </w:r>
      <w:r>
        <w:rPr>
          <w:b/>
          <w:bCs/>
        </w:rPr>
        <w:t xml:space="preserve">transfer under simultaneous covariate and label shift</w:t>
      </w:r>
      <w:r>
        <w:t xml:space="preserve">, together with the empirical finding that it is the</w:t>
      </w:r>
      <w:r>
        <w:t xml:space="preserve"> </w:t>
      </w:r>
      <w:r>
        <w:t xml:space="preserve">only evaluated approach to improve on the baseline, verified across 10 seeds and on an untouched held-out</w:t>
      </w:r>
      <w:r>
        <w:t xml:space="preserve"> </w:t>
      </w:r>
      <w:r>
        <w:t xml:space="preserve">set.</w:t>
      </w:r>
    </w:p>
    <w:bookmarkEnd w:id="40"/>
    <w:bookmarkStart w:id="44" w:name="results-summary"/>
    <w:p>
      <w:pPr>
        <w:pStyle w:val="Heading2"/>
      </w:pPr>
      <w:r>
        <w:t xml:space="preserve">8. Results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Model(s)</w:t>
            </w:r>
          </w:p>
        </w:tc>
        <w:tc>
          <w:tcPr/>
          <w:p>
            <w:pPr>
              <w:pStyle w:val="Compact"/>
            </w:pPr>
            <w:r>
              <w:t xml:space="preserve">Literature used as</w:t>
            </w:r>
          </w:p>
        </w:tc>
        <w:tc>
          <w:tcPr/>
          <w:p>
            <w:pPr>
              <w:pStyle w:val="Compact"/>
            </w:pPr>
            <w:r>
              <w:t xml:space="preserve">CV RMSE</w:t>
            </w:r>
          </w:p>
        </w:tc>
        <w:tc>
          <w:tcPr/>
          <w:p>
            <w:pPr>
              <w:pStyle w:val="Compact"/>
            </w:pPr>
            <w:r>
              <w:t xml:space="preserve">vs. 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Baseline (lab only)</w:t>
            </w:r>
          </w:p>
        </w:tc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2.133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Direct merge</w:t>
            </w:r>
          </w:p>
        </w:tc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training labels</w:t>
            </w:r>
          </w:p>
        </w:tc>
        <w:tc>
          <w:tcPr/>
          <w:p>
            <w:pPr>
              <w:pStyle w:val="Compact"/>
            </w:pPr>
            <w:r>
              <w:t xml:space="preserve">2.241</w:t>
            </w:r>
          </w:p>
        </w:tc>
        <w:tc>
          <w:tcPr/>
          <w:p>
            <w:pPr>
              <w:pStyle w:val="Compact"/>
            </w:pPr>
            <w:r>
              <w:t xml:space="preserve">+5.1 %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Selective merge — DRST filter</w:t>
            </w:r>
          </w:p>
        </w:tc>
        <w:tc>
          <w:tcPr/>
          <w:p>
            <w:pPr>
              <w:pStyle w:val="Compact"/>
            </w:pPr>
            <w:r>
              <w:t xml:space="preserve">LogReg → LightGBM</w:t>
            </w:r>
          </w:p>
        </w:tc>
        <w:tc>
          <w:tcPr/>
          <w:p>
            <w:pPr>
              <w:pStyle w:val="Compact"/>
            </w:pPr>
            <w:r>
              <w:t xml:space="preserve">filtered training labels</w:t>
            </w:r>
          </w:p>
        </w:tc>
        <w:tc>
          <w:tcPr/>
          <w:p>
            <w:pPr>
              <w:pStyle w:val="Compact"/>
            </w:pPr>
            <w:r>
              <w:t xml:space="preserve">2.127</w:t>
            </w:r>
          </w:p>
        </w:tc>
        <w:tc>
          <w:tcPr/>
          <w:p>
            <w:pPr>
              <w:pStyle w:val="Compact"/>
            </w:pPr>
            <w:r>
              <w:t xml:space="preserve">≈ 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Selective merge — KMM weights</w:t>
            </w:r>
          </w:p>
        </w:tc>
        <w:tc>
          <w:tcPr/>
          <w:p>
            <w:pPr>
              <w:pStyle w:val="Compact"/>
            </w:pPr>
            <w:r>
              <w:t xml:space="preserve">KMM → LightGBM</w:t>
            </w:r>
          </w:p>
        </w:tc>
        <w:tc>
          <w:tcPr/>
          <w:p>
            <w:pPr>
              <w:pStyle w:val="Compact"/>
            </w:pPr>
            <w:r>
              <w:t xml:space="preserve">weighted training labels</w:t>
            </w:r>
          </w:p>
        </w:tc>
        <w:tc>
          <w:tcPr/>
          <w:p>
            <w:pPr>
              <w:pStyle w:val="Compact"/>
            </w:pPr>
            <w:r>
              <w:t xml:space="preserve">2.261</w:t>
            </w:r>
          </w:p>
        </w:tc>
        <w:tc>
          <w:tcPr/>
          <w:p>
            <w:pPr>
              <w:pStyle w:val="Compact"/>
            </w:pPr>
            <w:r>
              <w:t xml:space="preserve">+6.0 %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Prior-feature method (adopted)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 → LightGBM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predicted feature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−10.6 %</w:t>
            </w:r>
          </w:p>
        </w:tc>
      </w:tr>
    </w:tbl>
    <w:p>
      <w:pPr>
        <w:pStyle w:val="CaptionedFigure"/>
      </w:pPr>
      <w:r>
        <w:drawing>
          <wp:inline>
            <wp:extent cx="5334000" cy="2252133"/>
            <wp:effectExtent b="0" l="0" r="0" t="0"/>
            <wp:docPr descr="Figure 8 — All approaches. 5-fold CV RMSE on lab data; only the prior-feature method improves on the baseline (dashed line)." title="" id="42" name="Picture"/>
            <a:graphic>
              <a:graphicData uri="http://schemas.openxmlformats.org/drawingml/2006/picture">
                <pic:pic>
                  <pic:nvPicPr>
                    <pic:cNvPr descr="fig_worknote_resul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All approaches.</w:t>
      </w:r>
      <w:r>
        <w:t xml:space="preserve"> </w:t>
      </w:r>
      <w:r>
        <w:t xml:space="preserve">5-fold CV RMSE on lab data; only the prior-feature method improves on the baseline (dashed line).</w:t>
      </w:r>
    </w:p>
    <w:bookmarkEnd w:id="44"/>
    <w:bookmarkStart w:id="45" w:name="limitations-and-next-steps"/>
    <w:p>
      <w:pPr>
        <w:pStyle w:val="Heading2"/>
      </w:pPr>
      <w:r>
        <w:t xml:space="preserve">9. Limitations and next steps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Operating regime.</w:t>
      </w:r>
      <w:r>
        <w:t xml:space="preserve"> </w:t>
      </w:r>
      <w:r>
        <w:t xml:space="preserve">The improvement is established for prediction on lab-like chemistry (the lab’s</w:t>
      </w:r>
      <w:r>
        <w:t xml:space="preserve"> </w:t>
      </w:r>
      <w:r>
        <w:t xml:space="preserve">operating regime). Predicting</w:t>
      </w:r>
      <w:r>
        <w:t xml:space="preserve"> </w:t>
      </w:r>
      <w:r>
        <w:rPr>
          <w:i/>
          <w:iCs/>
        </w:rPr>
        <w:t xml:space="preserve">very different</w:t>
      </w:r>
      <w:r>
        <w:t xml:space="preserve"> </w:t>
      </w:r>
      <w:r>
        <w:t xml:space="preserve">catalyst families (out-of-distribution) is a separate</w:t>
      </w:r>
      <w:r>
        <w:t xml:space="preserve"> </w:t>
      </w:r>
      <w:r>
        <w:t xml:space="preserve">objective; a preliminary check indicates that the current rescaling — tuned to the lab yield range — does</w:t>
      </w:r>
      <w:r>
        <w:t xml:space="preserve"> </w:t>
      </w:r>
      <w:r>
        <w:t xml:space="preserve">not by itself improve out-of-distribution accuracy. Extending the method for that use-case (e.g. building</w:t>
      </w:r>
      <w:r>
        <w:t xml:space="preserve"> </w:t>
      </w:r>
      <w:r>
        <w:t xml:space="preserve">the expert from all literature and retaining the literature scale) is a direction we will examine next.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Domain knowledge.</w:t>
      </w:r>
      <w:r>
        <w:t xml:space="preserve"> </w:t>
      </w:r>
      <w:r>
        <w:t xml:space="preserve">Incorporating explicit chemical or process knowledge — for example known promoter</w:t>
      </w:r>
      <w:r>
        <w:t xml:space="preserve"> </w:t>
      </w:r>
      <w:r>
        <w:t xml:space="preserve">groupings, or reaction-condition variables such as gas hourly space velocity and CH₄:O₂ ratio (not present</w:t>
      </w:r>
      <w:r>
        <w:t xml:space="preserve"> </w:t>
      </w:r>
      <w:r>
        <w:t xml:space="preserve">in the current dataset) — is a promising avenue for a future iteration.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All hyper-parameters were fixed across every method (LightGBM</w:t>
      </w:r>
      <w:r>
        <w:t xml:space="preserve"> </w:t>
      </w:r>
      <w:r>
        <w:rPr>
          <w:rStyle w:val="VerbatimChar"/>
        </w:rPr>
        <w:t xml:space="preserve">num_leaves = 63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 = 7</w:t>
      </w:r>
      <w:r>
        <w:t xml:space="preserve">; XGBoost</w:t>
      </w:r>
      <w:r>
        <w:t xml:space="preserve"> </w:t>
      </w:r>
      <w:r>
        <w:rPr>
          <w:rStyle w:val="VerbatimChar"/>
        </w:rPr>
        <w:t xml:space="preserve">max_depth = 6</w:t>
      </w:r>
      <w:r>
        <w:t xml:space="preserve">), with no validation-set tuning; all results are stored outputs of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9" Target="media/rId19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1" Target="media/rId11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2026-07-06T15:36:29Z</dcterms:created>
  <dcterms:modified xsi:type="dcterms:W3CDTF">2026-07-06T15:36:29Z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