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10.6 %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10.6 % (v1: 1.907 vs baseline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supported.</w:t>
            </w:r>
            <w:r>
              <w:t xml:space="preserve"> </w:t>
            </w:r>
            <w:r>
              <w:t xml:space="preserve">Label treatment moves RMSE by 0.001–0.023, which at 3 seeds is inside run-to-run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0.761,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~4,400 unique input vectors each</w:t>
      </w:r>
      <w:r>
        <w:t xml:space="preserve"> </w:t>
      </w:r>
      <w:r>
        <w:t xml:space="preserve">measured ~20 times. Because roughly 27 distinct reaction-condition settings per catalyst-temperature are not recorded as features,</w:t>
      </w:r>
      <w:r>
        <w:t xml:space="preserve"> </w:t>
      </w:r>
      <w:r>
        <w:t xml:space="preserve">those repeats are</w:t>
      </w:r>
      <w:r>
        <w:t xml:space="preserve"> </w:t>
      </w:r>
      <w:r>
        <w:rPr>
          <w:i/>
          <w:iCs/>
        </w:rPr>
        <w:t xml:space="preserve">identical inputs with differing yields</w:t>
      </w:r>
      <w:r>
        <w:t xml:space="preserve">. That within-group variance is</w:t>
      </w:r>
      <w:r>
        <w:t xml:space="preserve"> </w:t>
      </w:r>
      <w:r>
        <w:rPr>
          <w:b/>
          <w:bCs/>
        </w:rPr>
        <w:t xml:space="preserve">18.2 % of</w:t>
      </w:r>
      <w:r>
        <w:rPr>
          <w:b/>
          <w:bCs/>
        </w:rPr>
        <w:t xml:space="preserve"> </w:t>
      </w:r>
      <w:r>
        <w:rPr>
          <w:b/>
          <w:bCs/>
        </w:rPr>
        <w:t xml:space="preserve">total yield variance</w:t>
      </w:r>
      <w:r>
        <w:t xml:space="preserve">, so the best attainable row-level RMSE is</w:t>
      </w:r>
      <w:r>
        <w:t xml:space="preserve"> </w:t>
      </w:r>
      <w:r>
        <w:rPr>
          <w:b/>
          <w:bCs/>
        </w:rPr>
        <w:t xml:space="preserve">1.680</w:t>
      </w:r>
      <w:r>
        <w:t xml:space="preserve">.</w:t>
      </w:r>
    </w:p>
    <w:p>
      <w:pPr>
        <w:pStyle w:val="BodyText"/>
      </w:pPr>
      <w:r>
        <w:t xml:space="preserve">Version 1 reported 1.907 — only 0.23 above that floor. In hindsight this should itself have prompted</w:t>
      </w:r>
      <w:r>
        <w:t xml:space="preserve"> </w:t>
      </w:r>
      <w:r>
        <w:t xml:space="preserve">suspicion: a model cannot approach the noise ceiling of data it should not be able to memorise.</w:t>
      </w:r>
      <w:r>
        <w:t xml:space="preserve"> </w:t>
      </w:r>
      <w:r>
        <w:t xml:space="preserve">Point-wise RMSE is therefore not merely less relevant than catalyst-level metrics here; it is close to</w:t>
      </w:r>
      <w:r>
        <w:t xml:space="preserve"> </w:t>
      </w:r>
      <w:r>
        <w:t xml:space="preserve">uninformative.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2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0.792).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readings of the same ablation grid point to the mechanism (they share one 3-seed run, so we do</w:t>
      </w:r>
      <w:r>
        <w:t xml:space="preserve"> </w:t>
      </w:r>
      <w:r>
        <w:t xml:space="preserve">not present them as independent experiments):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−2.4 %</w:t>
      </w:r>
      <w:r>
        <w:t xml:space="preserve"> </w:t>
      </w:r>
      <w:r>
        <w:t xml:space="preserve">(QN prior) or</w:t>
      </w:r>
      <w:r>
        <w:t xml:space="preserve"> </w:t>
      </w:r>
      <w:r>
        <w:rPr>
          <w:b/>
          <w:bCs/>
        </w:rPr>
        <w:t xml:space="preserve">−2.7 %</w:t>
      </w:r>
      <w:r>
        <w:t xml:space="preserve"> </w:t>
      </w:r>
      <w:r>
        <w:t xml:space="preserve">(rank prior)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, 3 seeds) is worse than literature-only (</w:t>
      </w:r>
      <w:r>
        <w:rPr>
          <w:b/>
          <w:bCs/>
        </w:rPr>
        <w:t xml:space="preserve">2.938</w:t>
      </w:r>
      <w:r>
        <w:t xml:space="preserve">, rank prior, 3 seeds)</w:t>
      </w:r>
    </w:p>
    <w:p>
      <w:pPr>
        <w:pStyle w:val="Compact"/>
        <w:numPr>
          <w:ilvl w:val="0"/>
          <w:numId w:val="1001"/>
        </w:numPr>
      </w:pPr>
      <w:r>
        <w:t xml:space="preserve">On those same three seeds, literature-only (2.938) and the baseline (2.928) are indistinguishable</w:t>
      </w:r>
    </w:p>
    <w:p>
      <w:pPr>
        <w:pStyle w:val="FirstParagraph"/>
      </w:pPr>
      <w:r>
        <w:rPr>
          <w:i/>
          <w:iCs/>
        </w:rPr>
        <w:t xml:space="preserve">(Seed counts differ between these checks and the headline table. The headline PFT figure of 2.995 is a</w:t>
      </w:r>
      <w:r>
        <w:rPr>
          <w:i/>
          <w:iCs/>
        </w:rPr>
        <w:t xml:space="preserve"> </w:t>
      </w:r>
      <w:r>
        <w:rPr>
          <w:i/>
          <w:iCs/>
        </w:rPr>
        <w:t xml:space="preserve">5-seed mean; 2.982 is the same configuration over the first 3 seeds only. The ablation grid ran at 3</w:t>
      </w:r>
      <w:r>
        <w:rPr>
          <w:i/>
          <w:iCs/>
        </w:rPr>
        <w:t xml:space="preserve"> </w:t>
      </w:r>
      <w:r>
        <w:rPr>
          <w:i/>
          <w:iCs/>
        </w:rPr>
        <w:t xml:space="preserve">seeds throughout.)</w:t>
      </w:r>
    </w:p>
    <w:p>
      <w:pPr>
        <w:pStyle w:val="BodyText"/>
      </w:pPr>
      <w:r>
        <w:rPr>
          <w:b/>
          <w:bCs/>
        </w:rPr>
        <w:t xml:space="preserve">Your quantile-normalisation hypothesis is supported, though we will not state it as strongly as we</w:t>
      </w:r>
      <w:r>
        <w:rPr>
          <w:b/>
          <w:bCs/>
        </w:rPr>
        <w:t xml:space="preserve"> </w:t>
      </w:r>
      <w:r>
        <w:rPr>
          <w:b/>
          <w:bCs/>
        </w:rPr>
        <w:t xml:space="preserve">first did.</w:t>
      </w:r>
      <w:r>
        <w:t xml:space="preserve"> </w:t>
      </w:r>
      <w:r>
        <w:t xml:space="preserve">We compared the three label treatments you named under both protocols. The gaps are:</w:t>
      </w:r>
      <w:r>
        <w:t xml:space="preserve"> </w:t>
      </w:r>
      <w:r>
        <w:t xml:space="preserve">row-level 0.006 (QN vs raw) and 0.006 (QN vs rank); catalyst-grouped 0.023 (QN vs raw) and 0.001</w:t>
      </w:r>
      <w:r>
        <w:t xml:space="preserve"> </w:t>
      </w:r>
      <w:r>
        <w:t xml:space="preserve">(QN vs rank). The largest gap sits under our primary protocol, and it is close to the run-to-run</w:t>
      </w:r>
      <w:r>
        <w:t xml:space="preserve"> </w:t>
      </w:r>
      <w:r>
        <w:t xml:space="preserve">spread there (per-configuration standard deviations of 0.022 and 0.035 over 3 seeds). The honest</w:t>
      </w:r>
      <w:r>
        <w:t xml:space="preserve"> </w:t>
      </w:r>
      <w:r>
        <w:t xml:space="preserve">statement is therefore that</w:t>
      </w:r>
      <w:r>
        <w:t xml:space="preserve"> </w:t>
      </w:r>
      <w:r>
        <w:rPr>
          <w:b/>
          <w:bCs/>
        </w:rPr>
        <w:t xml:space="preserve">no label treatment is distinguishable from another at this seed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not that the effect is exact. On that evidence the normalisation step can be dropped without</w:t>
      </w:r>
      <w:r>
        <w:t xml:space="preserve"> </w:t>
      </w:r>
      <w:r>
        <w:t xml:space="preserve">a measurable penalty, which is the practical conclusion you anticipated.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(Spearman 0.760 vs 0.766, within seed noise) while</w:t>
      </w:r>
      <w:r>
        <w:t xml:space="preserve"> </w:t>
      </w:r>
      <w:r>
        <w:t xml:space="preserve">training on ~100× fewer rows.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</w:tr>
    </w:tbl>
    <w:p>
      <w:pPr>
        <w:pStyle w:val="BodyText"/>
      </w:pPr>
      <w:r>
        <w:t xml:space="preserve">We quote intervals rather than point estimates: with 92 catalysts in the top decile of 917,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the most</w:t>
      </w:r>
      <w:r>
        <w:t xml:space="preserve"> </w:t>
      </w:r>
      <w:r>
        <w:rPr>
          <w:i/>
          <w:iCs/>
        </w:rPr>
        <w:t xml:space="preserve">consequential</w:t>
      </w:r>
      <w:r>
        <w:t xml:space="preserve"> </w:t>
      </w:r>
      <w:r>
        <w:t xml:space="preserve">family to lose, not the hardest to predict. Across all 28 families we</w:t>
      </w:r>
      <w:r>
        <w:t xml:space="preserve"> </w:t>
      </w:r>
      <w:r>
        <w:t xml:space="preserve">tested, five score below Ba’s 0.526: Pd 0.217, Cu 0.286, Al 0.329, Ni 0.329 and Co 0.493. What sets Ba</w:t>
      </w:r>
      <w:r>
        <w:t xml:space="preserve"> </w:t>
      </w:r>
      <w:r>
        <w:t xml:space="preserve">apart is its weight. It holds 78 % of the top decile, so losing it removes the high-yield regime</w:t>
      </w:r>
      <w:r>
        <w:t xml:space="preserve"> </w:t>
      </w:r>
      <w:r>
        <w:t xml:space="preserve">itself, and it gains far more than any other family from seeing its own members (+0.175, against</w:t>
      </w:r>
      <w:r>
        <w:t xml:space="preserve"> </w:t>
      </w:r>
      <w:r>
        <w:t xml:space="preserve">+0.047 to +0.079 elsewhere).</w:t>
      </w:r>
    </w:p>
    <w:p>
      <w:pPr>
        <w:pStyle w:val="BodyText"/>
      </w:pPr>
      <w:r>
        <w:rPr>
          <w:b/>
          <w:bCs/>
        </w:rPr>
        <w:t xml:space="preserve">On the data budget</w:t>
      </w:r>
      <w:r>
        <w:t xml:space="preserve">, our stored measure is the number of family members needed to reach 80 % of the</w:t>
      </w:r>
      <w:r>
        <w:t xml:space="preserve"> </w:t>
      </w:r>
      <w:r>
        <w:t xml:space="preserve">achievable performance. That number is</w:t>
      </w:r>
      <w:r>
        <w:t xml:space="preserve"> </w:t>
      </w:r>
      <w:r>
        <w:rPr>
          <w:b/>
          <w:bCs/>
        </w:rPr>
        <w:t xml:space="preserve">10 for Ba and 0 for La, Ti, Zr and Ce</w:t>
      </w:r>
      <w:r>
        <w:t xml:space="preserve"> </w:t>
      </w:r>
      <w:r>
        <w:t xml:space="preserve">— those four already</w:t>
      </w:r>
      <w:r>
        <w:t xml:space="preserve"> </w:t>
      </w:r>
      <w:r>
        <w:t xml:space="preserve">exceed 80 % having seen none. Reaching 95 % takes about 50 for Ba and 25–50 for the others. We would</w:t>
      </w:r>
      <w:r>
        <w:t xml:space="preserve"> </w:t>
      </w:r>
      <w:r>
        <w:t xml:space="preserve">treat this as order-of-magnitude guidance only: for Ti and Zr the per-point seed spread (0.03–0.12) is</w:t>
      </w:r>
      <w:r>
        <w:t xml:space="preserve"> </w:t>
      </w:r>
      <w:r>
        <w:t xml:space="preserve">comparable to the whole learning-curve gain, so those two curves are not resolved.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18.79 %. We</w:t>
      </w:r>
      <w:r>
        <w:t xml:space="preserve"> </w:t>
      </w:r>
      <w:r>
        <w:t xml:space="preserve">deliberately do not attach an error bar to that figure. The ± 0.09 our ensemble reports is only the</w:t>
      </w:r>
      <w:r>
        <w:t xml:space="preserve"> </w:t>
      </w:r>
      <w:r>
        <w:t xml:space="preserve">spread across 10 seeds; the model’s actual catalyst-level error on held-out catalysts is about</w:t>
      </w:r>
      <w:r>
        <w:t xml:space="preserve"> </w:t>
      </w:r>
      <w:r>
        <w:t xml:space="preserve">2.7 yield points (MAE). The number ranks candidates. It does not forecast a yield.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recommended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).</w:t>
      </w:r>
      <w:r>
        <w:t xml:space="preserve"> </w:t>
      </w:r>
      <w:r>
        <w:t xml:space="preserve">Rather than submit twenty</w:t>
      </w:r>
      <w:r>
        <w:t xml:space="preserve"> </w:t>
      </w:r>
      <w:r>
        <w:t xml:space="preserve">near-identical catalysts, we suggest splitting the budget: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A — 12 catalysts, the model’s optimum</w:t>
      </w:r>
      <w:r>
        <w:t xml:space="preserve"> </w:t>
      </w:r>
      <w:r>
        <w:t xml:space="preserve">(predicted 18.33–18.79 %). This is where the expected</w:t>
      </w:r>
      <w:r>
        <w:t xml:space="preserve"> </w:t>
      </w:r>
      <w:r>
        <w:t xml:space="preserve">hits are. From the retrospective grouped-CV precision@20, we would expect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to be genuine top-decile performers (95 % CI 0.15–0.65 — deliberately a wide interval).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B — 5 catalysts, one per alternative support</w:t>
      </w:r>
      <w:r>
        <w:t xml:space="preserve"> </w:t>
      </w:r>
      <w:r>
        <w:t xml:space="preserve">(Ti 16.49, La 15.82, Ca 15.54, Mg 14.66,</w:t>
      </w:r>
      <w:r>
        <w:t xml:space="preserve"> </w:t>
      </w:r>
      <w:r>
        <w:t xml:space="preserve">Si 13.83). These cost predicted yield and we do not expect them to win. They are an</w:t>
      </w:r>
      <w:r>
        <w:t xml:space="preserve"> </w:t>
      </w:r>
      <w:r>
        <w:rPr>
          <w:i/>
          <w:iCs/>
        </w:rPr>
        <w:t xml:space="preserve">information</w:t>
      </w:r>
      <w:r>
        <w:t xml:space="preserve"> </w:t>
      </w:r>
      <w:r>
        <w:t xml:space="preserve">purchase: 78 % of the lab’s existing top decile already contains Ba, so the model’s strong Ba</w:t>
      </w:r>
      <w:r>
        <w:t xml:space="preserve"> </w:t>
      </w:r>
      <w:r>
        <w:t xml:space="preserve">preference may partly reflect that coverage rather than chemistry. If several Tier-B catalysts</w:t>
      </w:r>
      <w:r>
        <w:t xml:space="preserve"> </w:t>
      </w:r>
      <w:r>
        <w:t xml:space="preserve">outperform their predictions, that tells us something the Tier-A catalysts cannot.</w:t>
      </w:r>
    </w:p>
    <w:p>
      <w:pPr>
        <w:pStyle w:val="FirstParagraph"/>
      </w:pPr>
      <w:r>
        <w:t xml:space="preserve">We would of course defer to your judgement on synthesis feasibility, and are happy to reweight the</w:t>
      </w:r>
      <w:r>
        <w:t xml:space="preserve"> </w:t>
      </w:r>
      <w:r>
        <w:t xml:space="preserve">split.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~79.7 %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target carries a measurement-effort confound.</w:t>
      </w:r>
      <w:r>
        <w:t xml:space="preserve"> </w:t>
      </w:r>
      <w:r>
        <w:t xml:space="preserve">47 catalysts have fewer than 20 measurements</w:t>
      </w:r>
      <w:r>
        <w:t xml:space="preserve"> </w:t>
      </w:r>
      <w:r>
        <w:t xml:space="preserve">and systematically low maxima; part is a pure sampling effect, part appears to be deliberate early</w:t>
      </w:r>
      <w:r>
        <w:t xml:space="preserve"> </w:t>
      </w:r>
      <w:r>
        <w:t xml:space="preserve">stopping. Excluding them changes our headline metric by 0.002, so nothing hinges on it — but we</w:t>
      </w:r>
      <w:r>
        <w:t xml:space="preserve"> </w:t>
      </w:r>
      <w:r>
        <w:t xml:space="preserve">would welcome confirmation of which it 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variables</w:t>
      </w:r>
      <w:r>
        <w:t xml:space="preserve"> </w:t>
      </w:r>
      <w:r>
        <w:t xml:space="preserve">exist in a retrievable form, the 18.2 % irreducible variance becomes partly learnable and</w:t>
      </w:r>
      <w:r>
        <w:t xml:space="preserve"> </w:t>
      </w:r>
      <w:r>
        <w:t xml:space="preserve">condition-level modelling becomes meaningful.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Cross-preparation transfer is now measured, and it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(different source, same preparation) gives ρ = 0.398; 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gives ρ = 0.238 — so changing preparation costs a further 0.160. At that</w:t>
      </w:r>
      <w:r>
        <w:t xml:space="preserve"> </w:t>
      </w:r>
      <w:r>
        <w:t xml:space="preserve">range the model is not usable for selection out of preparation: its top-decile picks average 11.50 %</w:t>
      </w:r>
      <w:r>
        <w:t xml:space="preserve"> </w:t>
      </w:r>
      <w:r>
        <w:t xml:space="preserve">true yield against a population mean of 10.34 %, while the genuine top decile averages 21.92 %</w:t>
      </w:r>
      <w:r>
        <w:t xml:space="preserve"> </w:t>
      </w:r>
      <w:r>
        <w:t xml:space="preserve">(enrichment 0.42×, i.e. worse than picking at random).</w:t>
      </w:r>
      <w:r>
        <w:t xml:space="preserve"> </w:t>
      </w:r>
      <w:r>
        <w:rPr>
          <w:b/>
          <w:bCs/>
        </w:rPr>
        <w:t xml:space="preserve">But adding impregnation literature to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raises ρ from 0.238 to 0.388 (+0.150, 5/5 seeds)</w:t>
      </w:r>
      <w:r>
        <w:t xml:space="preserve"> </w:t>
      </w:r>
      <w:r>
        <w:t xml:space="preserve">— the first setting in this study where literature</w:t>
      </w:r>
      <w:r>
        <w:t xml:space="preserve"> </w:t>
      </w:r>
      <w:r>
        <w:t xml:space="preserve">data measurably helps, and consistent with the scope statement in §9: the lab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coverage of</w:t>
      </w:r>
      <w:r>
        <w:t xml:space="preserve"> </w:t>
      </w:r>
      <w:r>
        <w:t xml:space="preserve">non-impregnation chemistry, so the literature supplies genuinely new information there. Two caveats:</w:t>
      </w:r>
      <w:r>
        <w:t xml:space="preserve"> </w:t>
      </w:r>
      <w:r>
        <w:t xml:space="preserve">absolute performance remains poor, and plain merging outperforms the prior-feature construction</w:t>
      </w:r>
      <w:r>
        <w:t xml:space="preserve"> </w:t>
      </w:r>
      <w:r>
        <w:t xml:space="preserve">(0.388 vs 0.318). Details in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; this supersedes the earlier row-level OOD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2026-08-31T05:16:38Z</dcterms:created>
  <dcterms:modified xsi:type="dcterms:W3CDTF">2026-08-31T05:16:38Z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