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work-note-v2-update"/>
    <w:p>
      <w:pPr>
        <w:pStyle w:val="Heading1"/>
      </w:pPr>
      <w:r>
        <w:t xml:space="preserve">Work Note v2 — Update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C₂-yield prediction for OCM — results under the stricter validation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1. Problem setup, datasets and the five candidate methods are described there</w:t>
      </w:r>
      <w:r>
        <w:t xml:space="preserve"> </w:t>
      </w:r>
      <w:r>
        <w:t xml:space="preserve">and are not repeated. This note reports only what has changed.</w:t>
      </w:r>
      <w:r>
        <w:t xml:space="preserve"> </w:t>
      </w:r>
      <w:r>
        <w:rPr>
          <w:b/>
          <w:bCs/>
        </w:rPr>
        <w:t xml:space="preserve">Code:</w:t>
      </w:r>
      <w:r>
        <w:t xml:space="preserve"> </w:t>
      </w:r>
      <w:r>
        <w:rPr>
          <w:rStyle w:val="VerbatimChar"/>
        </w:rPr>
        <w:t xml:space="preserve">ocm_eval.py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phase8_target_robustness.py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phase9_equal_effort_eval.py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phase10_condition_subsampling.py</w:t>
      </w:r>
    </w:p>
    <w:p>
      <w:r>
        <w:pict>
          <v:rect style="width:0;height:1.5pt" o:hralign="center" o:hrstd="t" o:hr="t"/>
        </w:pict>
      </w:r>
    </w:p>
    <w:bookmarkStart w:id="9" w:name="Xb602309158fd887560881f481a0a22a1d72b64f"/>
    <w:p>
      <w:pPr>
        <w:pStyle w:val="Heading2"/>
      </w:pPr>
      <w:r>
        <w:t xml:space="preserve">1. The improvement does not survive, and we withdraw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10.6 % (1.907 vs 2.133)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</w:t>
            </w:r>
            <w:r>
              <w:t xml:space="preserve"> </w:t>
            </w:r>
            <w:r>
              <w:t xml:space="preserve">— the gain was catalyst-identity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 in-domain</w:t>
            </w:r>
            <w:r>
              <w:t xml:space="preserve">; it does help across preparation methods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necessary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supported</w:t>
            </w:r>
            <w:r>
              <w:t xml:space="preserve"> </w:t>
            </w:r>
            <w:r>
              <w:t xml:space="preserve">— label treatment moves RMSE inside run-to-run noise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PFT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Row-level split (v1)</w:t>
            </w:r>
          </w:p>
        </w:tc>
        <w:tc>
          <w:tcPr/>
          <w:p>
            <w:pPr>
              <w:pStyle w:val="Compact"/>
            </w:pPr>
            <w:r>
              <w:t xml:space="preserve">2.118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1.912 (−9.7 %)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Catalyst-grouped split</w:t>
            </w:r>
          </w:p>
        </w:tc>
        <w:tc>
          <w:tcPr/>
          <w:p>
            <w:pPr>
              <w:pStyle w:val="Compact"/>
            </w:pPr>
            <w:r>
              <w:t xml:space="preserve">2.943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2.995 (+1.8 %, worse)</w:t>
            </w:r>
          </w:p>
        </w:tc>
      </w:tr>
    </w:tbl>
    <w:p>
      <w:pPr>
        <w:pStyle w:val="BodyText"/>
      </w:pPr>
      <w:r>
        <w:t xml:space="preserve">Same models, same data; the difference between the two lines is leakage.</w:t>
      </w:r>
      <w:r>
        <w:t xml:space="preserve"> </w:t>
      </w:r>
      <w:r>
        <w:rPr>
          <w:b/>
          <w:bCs/>
        </w:rPr>
        <w:t xml:space="preserve">Mechanism:</w:t>
      </w:r>
      <w:r>
        <w:t xml:space="preserve"> </w:t>
      </w:r>
      <w:r>
        <w:t xml:space="preserve">our Stage-1</w:t>
      </w:r>
      <w:r>
        <w:t xml:space="preserve"> </w:t>
      </w:r>
      <w:r>
        <w:t xml:space="preserve">expert was trained on literature data</w:t>
      </w:r>
      <w:r>
        <w:t xml:space="preserve"> </w:t>
      </w:r>
      <w:r>
        <w:rPr>
          <w:i/>
          <w:iCs/>
        </w:rPr>
        <w:t xml:space="preserve">together with the lab training rows</w:t>
      </w:r>
      <w:r>
        <w:t xml:space="preserve">, so under a random row</w:t>
      </w:r>
      <w:r>
        <w:t xml:space="preserve"> </w:t>
      </w:r>
      <w:r>
        <w:t xml:space="preserve">split it had already seen the catalysts it was later asked to help predict. Catalyst-grouped</w:t>
      </w:r>
      <w:r>
        <w:t xml:space="preserve"> </w:t>
      </w:r>
      <w:r>
        <w:t xml:space="preserve">splitting is now the default in our shared evaluation module and cannot be bypassed by accident.</w:t>
      </w:r>
    </w:p>
    <w:bookmarkEnd w:id="9"/>
    <w:bookmarkStart w:id="10" w:name="what-the-data-actually-contains"/>
    <w:p>
      <w:pPr>
        <w:pStyle w:val="Heading2"/>
      </w:pPr>
      <w:r>
        <w:t xml:space="preserve">2. What the data actually contains</w:t>
      </w:r>
    </w:p>
    <w:p>
      <w:pPr>
        <w:pStyle w:val="FirstParagraph"/>
      </w:pPr>
      <w:r>
        <w:t xml:space="preserve">The 89,074 measurements are</w:t>
      </w:r>
      <w:r>
        <w:t xml:space="preserve"> </w:t>
      </w:r>
      <w:r>
        <w:rPr>
          <w:b/>
          <w:bCs/>
        </w:rPr>
        <w:t xml:space="preserve">917 distinct catalysts</w:t>
      </w:r>
      <w:r>
        <w:t xml:space="preserve"> </w:t>
      </w:r>
      <w:r>
        <w:t xml:space="preserve">across 4,399 (catalyst, temperature) cells</w:t>
      </w:r>
      <w:r>
        <w:t xml:space="preserve"> </w:t>
      </w:r>
      <w:r>
        <w:t xml:space="preserve">averaging 20.2 rows. Your description of these rows as measurements</w:t>
      </w:r>
      <w:r>
        <w:t xml:space="preserve"> </w:t>
      </w:r>
      <w:r>
        <w:rPr>
          <w:i/>
          <w:iCs/>
        </w:rPr>
        <w:t xml:space="preserve">under different reaction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conditions</w:t>
      </w:r>
      <w:r>
        <w:t xml:space="preserve"> </w:t>
      </w:r>
      <w:r>
        <w:t xml:space="preserve">is borne out by the row counts, and we should have taken it more literally.</w:t>
      </w:r>
    </w:p>
    <w:p>
      <w:pPr>
        <w:pStyle w:val="BodyText"/>
      </w:pPr>
      <w:r>
        <w:t xml:space="preserve">Cell sizes have a hard ceiling at exactly</w:t>
      </w:r>
      <w:r>
        <w:t xml:space="preserve"> </w:t>
      </w:r>
      <w:r>
        <w:rPr>
          <w:b/>
          <w:bCs/>
        </w:rPr>
        <w:t xml:space="preserve">27</w:t>
      </w:r>
      <w:r>
        <w:t xml:space="preserve">, a second at exactly</w:t>
      </w:r>
      <w:r>
        <w:t xml:space="preserve"> </w:t>
      </w:r>
      <w:r>
        <w:rPr>
          <w:b/>
          <w:bCs/>
        </w:rPr>
        <w:t xml:space="preserve">54 = 2 × 27</w:t>
      </w:r>
      <w:r>
        <w:t xml:space="preserve">, nothing above;</w:t>
      </w:r>
      <w:r>
        <w:t xml:space="preserve"> </w:t>
      </w:r>
      <w:r>
        <w:rPr>
          <w:b/>
          <w:bCs/>
        </w:rPr>
        <w:t xml:space="preserve">15 catalysts hold exactly 135 rows, and all 15 decompose as (27, 27, 27, 27, 27)</w:t>
      </w:r>
      <w:r>
        <w:t xml:space="preserve"> </w:t>
      </w:r>
      <w:r>
        <w:t xml:space="preserve">— that is</w:t>
      </w:r>
      <w:r>
        <w:t xml:space="preserve"> </w:t>
      </w:r>
      <w:r>
        <w:t xml:space="preserve">5 temperatures × 27 condition settings = 135, matching your figure. We tested the competing reading</w:t>
      </w:r>
      <w:r>
        <w:t xml:space="preserve"> </w:t>
      </w:r>
      <w:r>
        <w:t xml:space="preserve">that 27 was an export cut-off and rejected it: spacing between the two lowest values in a 27-row cell</w:t>
      </w:r>
      <w:r>
        <w:t xml:space="preserve"> </w:t>
      </w:r>
      <w:r>
        <w:t xml:space="preserve">is 2.03× the interior spacing, against 0.90× when a larger cell is truncated to 27.</w:t>
      </w:r>
    </w:p>
    <w:p>
      <w:pPr>
        <w:pStyle w:val="BodyText"/>
      </w:pPr>
      <w:r>
        <w:t xml:space="preserve">Because those 27 settings are absent from the feature table,</w:t>
      </w:r>
      <w:r>
        <w:t xml:space="preserve"> </w:t>
      </w:r>
      <w:r>
        <w:rPr>
          <w:b/>
          <w:bCs/>
        </w:rPr>
        <w:t xml:space="preserve">19.9 % of total yield variance lies</w:t>
      </w:r>
      <w:r>
        <w:rPr>
          <w:b/>
          <w:bCs/>
        </w:rPr>
        <w:t xml:space="preserve"> </w:t>
      </w:r>
      <w:r>
        <w:rPr>
          <w:b/>
          <w:bCs/>
        </w:rPr>
        <w:t xml:space="preserve">within cells</w:t>
      </w:r>
      <w:r>
        <w:t xml:space="preserve">, unreachable from composition and temperature, flooring row-level RMSE at</w:t>
      </w:r>
      <w:r>
        <w:t xml:space="preserve"> </w:t>
      </w:r>
      <w:r>
        <w:rPr>
          <w:b/>
          <w:bCs/>
        </w:rPr>
        <w:t xml:space="preserve">1.757</w:t>
      </w:r>
      <w:r>
        <w:t xml:space="preserve"> </w:t>
      </w:r>
      <w:r>
        <w:t xml:space="preserve">—</w:t>
      </w:r>
      <w:r>
        <w:t xml:space="preserve"> </w:t>
      </w:r>
      <w:r>
        <w:t xml:space="preserve">a property of missing columns, not a physical limit. Version 1 reported 1.907, only 0.15 above that</w:t>
      </w:r>
      <w:r>
        <w:t xml:space="preserve"> </w:t>
      </w:r>
      <w:r>
        <w:t xml:space="preserve">floor, which should itself have prompted suspicion.</w:t>
      </w:r>
      <w:r>
        <w:t xml:space="preserve"> </w:t>
      </w:r>
      <w:r>
        <w:rPr>
          <w:b/>
          <w:bCs/>
        </w:rPr>
        <w:t xml:space="preserve">Primary metrics are therefore catalyst-level,</w:t>
      </w:r>
      <w:r>
        <w:rPr>
          <w:b/>
          <w:bCs/>
        </w:rPr>
        <w:t xml:space="preserve"> </w:t>
      </w:r>
      <w:r>
        <w:rPr>
          <w:b/>
          <w:bCs/>
        </w:rPr>
        <w:t xml:space="preserve">as you proposed:</w:t>
      </w:r>
      <w:r>
        <w:t xml:space="preserve"> </w:t>
      </w:r>
      <w:r>
        <w:t xml:space="preserve">rank correlation on maximum yield, and enrichment among top-ranked predictions.</w:t>
      </w:r>
    </w:p>
    <w:bookmarkEnd w:id="10"/>
    <w:bookmarkStart w:id="11" w:name="Xa1ce10ebd0de4845cc64dce580205d0dfe72c94"/>
    <w:p>
      <w:pPr>
        <w:pStyle w:val="Heading2"/>
      </w:pPr>
      <w:r>
        <w:t xml:space="preserve">3. Literature integration: null in-domain, useful across preparations</w:t>
      </w:r>
    </w:p>
    <w:p>
      <w:pPr>
        <w:pStyle w:val="FirstParagraph"/>
      </w:pPr>
      <w:r>
        <w:t xml:space="preserve">With the leak closed we retested four designs — a literature-only rank prior, similarity features, a</w:t>
      </w:r>
      <w:r>
        <w:t xml:space="preserve"> </w:t>
      </w:r>
      <w:r>
        <w:t xml:space="preserve">gated prior, and a catalyst-level direct merge — with criteria fixed before running.</w:t>
      </w:r>
      <w:r>
        <w:t xml:space="preserve"> </w:t>
      </w:r>
      <w:r>
        <w:rPr>
          <w:b/>
          <w:bCs/>
        </w:rPr>
        <w:t xml:space="preserve">None improved</w:t>
      </w:r>
      <w:r>
        <w:rPr>
          <w:b/>
          <w:bCs/>
        </w:rPr>
        <w:t xml:space="preserve"> </w:t>
      </w:r>
      <w:r>
        <w:rPr>
          <w:b/>
          <w:bCs/>
        </w:rPr>
        <w:t xml:space="preserve">on composition alone</w:t>
      </w:r>
      <w:r>
        <w:t xml:space="preserve"> </w:t>
      </w:r>
      <w:r>
        <w:t xml:space="preserve">(control ρ = 0.761; best variant 0.758). A follow-up across</w:t>
      </w:r>
      <w:r>
        <w:t xml:space="preserve"> </w:t>
      </w:r>
      <w:r>
        <w:rPr>
          <w:b/>
          <w:bCs/>
        </w:rPr>
        <w:t xml:space="preserve">all 28 element</w:t>
      </w:r>
      <w:r>
        <w:rPr>
          <w:b/>
          <w:bCs/>
        </w:rPr>
        <w:t xml:space="preserve"> </w:t>
      </w:r>
      <w:r>
        <w:rPr>
          <w:b/>
          <w:bCs/>
        </w:rPr>
        <w:t xml:space="preserve">families with ≥50 catalysts</w:t>
      </w:r>
      <w:r>
        <w:t xml:space="preserve"> </w:t>
      </w:r>
      <w:r>
        <w:t xml:space="preserve">was also null: mean effect −0.0025, strongest correlation with any</w:t>
      </w:r>
      <w:r>
        <w:t xml:space="preserve"> </w:t>
      </w:r>
      <w:r>
        <w:t xml:space="preserve">coverage measure |ρ| = 0.276 against a pre-registered threshold of 0.5.</w:t>
      </w:r>
    </w:p>
    <w:p>
      <w:pPr>
        <w:pStyle w:val="BodyText"/>
      </w:pPr>
      <w:r>
        <w:rPr>
          <w:b/>
          <w:bCs/>
        </w:rPr>
        <w:t xml:space="preserve">The exception is cross-preparation transfer.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literature from lab</w:t>
      </w:r>
      <w:r>
        <w:t xml:space="preserve"> </w:t>
      </w:r>
      <w:r>
        <w:t xml:space="preserve">data alone gives ρ = 0.238 with enrichment 0.42× — worse than random selection. Adding impregnation</w:t>
      </w:r>
      <w:r>
        <w:t xml:space="preserve"> </w:t>
      </w:r>
      <w:r>
        <w:t xml:space="preserve">literature to training raises this to</w:t>
      </w:r>
      <w:r>
        <w:t xml:space="preserve"> </w:t>
      </w:r>
      <w:r>
        <w:rPr>
          <w:b/>
          <w:bCs/>
        </w:rPr>
        <w:t xml:space="preserve">ρ = 0.388, enrichment 1.34×</w:t>
      </w:r>
      <w:r>
        <w:t xml:space="preserve">. This is the one setting where</w:t>
      </w:r>
      <w:r>
        <w:t xml:space="preserve"> </w:t>
      </w:r>
      <w:r>
        <w:t xml:space="preserve">literature data measurably helps, and it is where the lab has no coverage at all. Two caveats:</w:t>
      </w:r>
      <w:r>
        <w:t xml:space="preserve"> </w:t>
      </w:r>
      <w:r>
        <w:t xml:space="preserve">absolute performance remains poor, and a</w:t>
      </w:r>
      <w:r>
        <w:t xml:space="preserve"> </w:t>
      </w:r>
      <w:r>
        <w:rPr>
          <w:b/>
          <w:bCs/>
        </w:rPr>
        <w:t xml:space="preserve">plain merge outperforms our two-stage construction (0.388</w:t>
      </w:r>
      <w:r>
        <w:rPr>
          <w:b/>
          <w:bCs/>
        </w:rPr>
        <w:t xml:space="preserve"> </w:t>
      </w:r>
      <w:r>
        <w:rPr>
          <w:b/>
          <w:bCs/>
        </w:rPr>
        <w:t xml:space="preserve">vs 0.318)</w:t>
      </w:r>
      <w:r>
        <w:t xml:space="preserve"> </w:t>
      </w:r>
      <w:r>
        <w:t xml:space="preserve">— the value is the data, not the machinery.</w:t>
      </w:r>
    </w:p>
    <w:bookmarkEnd w:id="11"/>
    <w:bookmarkStart w:id="12" w:name="X0d309c76f654410fd710124bba539bcc691de42"/>
    <w:p>
      <w:pPr>
        <w:pStyle w:val="Heading2"/>
      </w:pPr>
      <w:r>
        <w:t xml:space="preserve">4. Screening performance, and a correction to our own number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All 917 catalysts</w:t>
            </w:r>
          </w:p>
        </w:tc>
        <w:tc>
          <w:tcPr/>
          <w:p>
            <w:pPr>
              <w:pStyle w:val="Compact"/>
            </w:pPr>
            <w:r>
              <w:t xml:space="preserve">Equal-effort set (771)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 correlation (predicted vs observed max)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</w:t>
            </w:r>
          </w:p>
        </w:tc>
        <w:tc>
          <w:tcPr/>
          <w:p>
            <w:pPr>
              <w:pStyle w:val="Compact"/>
            </w:pPr>
            <w:r>
              <w:t xml:space="preserve">4.35×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the second column exists.</w:t>
      </w:r>
      <w:r>
        <w:t xml:space="preserve"> </w:t>
      </w:r>
      <w:r>
        <w:t xml:space="preserve">Grid coverage is coupled to performance — cells run further contain</w:t>
      </w:r>
      <w:r>
        <w:t xml:space="preserve"> </w:t>
      </w:r>
      <w:r>
        <w:t xml:space="preserve">better yields — so a score over all 917 is partly a record of which experiments were completed. The</w:t>
      </w:r>
      <w:r>
        <w:t xml:space="preserve"> </w:t>
      </w:r>
      <w:r>
        <w:t xml:space="preserve">equal-effort set is the 771 catalysts with ≥20 measurements in at least one cell; there the coupling</w:t>
      </w:r>
      <w:r>
        <w:t xml:space="preserve"> </w:t>
      </w:r>
      <w:r>
        <w:t xml:space="preserve">is gone by measurement, with Spearman(measurement count, observed maximum) falling from</w:t>
      </w:r>
      <w:r>
        <w:t xml:space="preserve"> </w:t>
      </w:r>
      <w:r>
        <w:rPr>
          <w:b/>
          <w:bCs/>
        </w:rPr>
        <w:t xml:space="preserve">+0.293 to</w:t>
      </w:r>
      <w:r>
        <w:rPr>
          <w:b/>
          <w:bCs/>
        </w:rPr>
        <w:t xml:space="preserve"> </w:t>
      </w:r>
      <w:r>
        <w:rPr>
          <w:b/>
          <w:bCs/>
        </w:rPr>
        <w:t xml:space="preserve">+0.003</w:t>
      </w:r>
      <w:r>
        <w:t xml:space="preserve">. We regard 0.724 as the honest figure. The drop is not an artifact of scoring fewer</w:t>
      </w:r>
      <w:r>
        <w:t xml:space="preserve"> </w:t>
      </w:r>
      <w:r>
        <w:t xml:space="preserve">catalysts: 300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771-catalyst subsets of the same predictions give 0.767 with a 95 % range</w:t>
      </w:r>
      <w:r>
        <w:t xml:space="preserve"> </w:t>
      </w:r>
      <w:r>
        <w:t xml:space="preserve">of 0.756–0.780, and 0.724 lies below it.</w:t>
      </w:r>
    </w:p>
    <w:p>
      <w:pPr>
        <w:pStyle w:val="BodyText"/>
      </w:pPr>
      <w:r>
        <w:rPr>
          <w:b/>
          <w:bCs/>
        </w:rPr>
        <w:t xml:space="preserve">A negative control we value more than either number.</w:t>
      </w:r>
      <w:r>
        <w:t xml:space="preserve"> </w:t>
      </w:r>
      <w:r>
        <w:t xml:space="preserve">Refitting the identical model with the</w:t>
      </w:r>
      <w:r>
        <w:t xml:space="preserve"> </w:t>
      </w:r>
      <w:r>
        <w:rPr>
          <w:i/>
          <w:iCs/>
        </w:rPr>
        <w:t xml:space="preserve">number of measurements</w:t>
      </w:r>
      <w:r>
        <w:t xml:space="preserve"> </w:t>
      </w:r>
      <w:r>
        <w:t xml:space="preserve">as its target — it never sees a yield — still reaches</w:t>
      </w:r>
      <w:r>
        <w:t xml:space="preserve"> </w:t>
      </w:r>
      <w:r>
        <w:rPr>
          <w:b/>
          <w:bCs/>
        </w:rPr>
        <w:t xml:space="preserve">ρ = 0.400</w:t>
      </w:r>
      <w:r>
        <w:t xml:space="preserve"> </w:t>
      </w:r>
      <w:r>
        <w:t xml:space="preserve">against</w:t>
      </w:r>
      <w:r>
        <w:t xml:space="preserve"> </w:t>
      </w:r>
      <w:r>
        <w:t xml:space="preserve">observed maximum yield, but enrichment</w:t>
      </w:r>
      <w:r>
        <w:t xml:space="preserve"> </w:t>
      </w:r>
      <w:r>
        <w:rPr>
          <w:b/>
          <w:bCs/>
        </w:rPr>
        <w:t xml:space="preserve">0.87×</w:t>
      </w:r>
      <w:r>
        <w:t xml:space="preserve">, no better than chance. Rank correlation is partly</w:t>
      </w:r>
      <w:r>
        <w:t xml:space="preserve"> </w:t>
      </w:r>
      <w:r>
        <w:t xml:space="preserve">purchasable from experimental effort; enrichment is not. That is why enrichment is our primary metric.</w:t>
      </w:r>
    </w:p>
    <w:p>
      <w:pPr>
        <w:pStyle w:val="BodyText"/>
      </w:pPr>
      <w:r>
        <w:rPr>
          <w:b/>
          <w:bCs/>
        </w:rPr>
        <w:t xml:space="preserve">One limit for campaign design.</w:t>
      </w:r>
      <w:r>
        <w:t xml:space="preserve"> </w:t>
      </w:r>
      <w:r>
        <w:t xml:space="preserve">Inside the model’s own top-ranked region the internal ordering</w:t>
      </w:r>
      <w:r>
        <w:t xml:space="preserve"> </w:t>
      </w:r>
      <w:r>
        <w:t xml:space="preserve">carries little information: ρ = 0.179 within the top 150,</w:t>
      </w:r>
      <w:r>
        <w:t xml:space="preserve"> </w:t>
      </w:r>
      <w:r>
        <w:rPr>
          <w:b/>
          <w:bCs/>
        </w:rPr>
        <w:t xml:space="preserve">−0.066 within the top 20</w:t>
      </w:r>
      <w:r>
        <w:t xml:space="preserve">. It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well (top 20 average 17.3 % observed maximum against ~10.5 % library-wide) but does not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within its selection — a shortlist is a set to test, not a ranking.</w:t>
      </w:r>
    </w:p>
    <w:bookmarkEnd w:id="12"/>
    <w:bookmarkStart w:id="13" w:name="training-label-maximum-versus-median"/>
    <w:p>
      <w:pPr>
        <w:pStyle w:val="Heading2"/>
      </w:pPr>
      <w:r>
        <w:t xml:space="preserve">5. Training label: maximum versus median</w:t>
      </w:r>
    </w:p>
    <w:p>
      <w:pPr>
        <w:pStyle w:val="FirstParagraph"/>
      </w:pPr>
      <w:r>
        <w:t xml:space="preserve">Each catalyst’s label must be built from its ~135 readings. We compared the single highest reading</w:t>
      </w:r>
      <w:r>
        <w:t xml:space="preserve"> </w:t>
      </w:r>
      <w:r>
        <w:t xml:space="preserve">anywhere against the median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temperature group — across the cluster of near-identical</w:t>
      </w:r>
      <w:r>
        <w:t xml:space="preserve"> </w:t>
      </w:r>
      <w:r>
        <w:t xml:space="preserve">readings — then the best of those per-group medians. Both scored against the same quantity, the true</w:t>
      </w:r>
      <w:r>
        <w:t xml:space="preserve"> </w:t>
      </w:r>
      <w:r>
        <w:t xml:space="preserve">observed maximum; only the training label differs.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label</w:t>
            </w:r>
          </w:p>
        </w:tc>
        <w:tc>
          <w:tcPr/>
          <w:p>
            <w:pPr>
              <w:pStyle w:val="Compact"/>
            </w:pPr>
            <w:r>
              <w:t xml:space="preserve">ρ, all 917</w:t>
            </w:r>
          </w:p>
        </w:tc>
        <w:tc>
          <w:tcPr/>
          <w:p>
            <w:pPr>
              <w:pStyle w:val="Compact"/>
            </w:pPr>
            <w:r>
              <w:t xml:space="preserve">ρ, equal-effort</w:t>
            </w:r>
          </w:p>
        </w:tc>
        <w:tc>
          <w:tcPr/>
          <w:p>
            <w:pPr>
              <w:pStyle w:val="Compact"/>
            </w:pPr>
            <w:r>
              <w:t xml:space="preserve">Enrichment, all 917</w:t>
            </w:r>
          </w:p>
        </w:tc>
        <w:tc>
          <w:tcPr/>
          <w:p>
            <w:pPr>
              <w:pStyle w:val="Compact"/>
            </w:pPr>
            <w:r>
              <w:t xml:space="preserve">Enrichment, equal-effort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highest reading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4.35×</w:t>
            </w:r>
          </w:p>
        </w:tc>
        <w:tc>
          <w:tcPr/>
          <w:p>
            <w:pPr>
              <w:pStyle w:val="Compact"/>
            </w:pPr>
            <w:r>
              <w:t xml:space="preserve">3.77×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Per-group median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0.733</w:t>
            </w:r>
          </w:p>
        </w:tc>
        <w:tc>
          <w:tcPr/>
          <w:p>
            <w:pPr>
              <w:pStyle w:val="Compact"/>
            </w:pPr>
            <w:r>
              <w:t xml:space="preserve">4.13×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3.90×</w:t>
            </w:r>
          </w:p>
        </w:tc>
      </w:tr>
    </w:tbl>
    <w:p>
      <w:pPr>
        <w:pStyle w:val="BodyText"/>
      </w:pPr>
      <w:r>
        <w:t xml:space="preserve">The median leads on rank correlation in both populations and on enrichment among comparably-tested</w:t>
      </w:r>
      <w:r>
        <w:t xml:space="preserve"> </w:t>
      </w:r>
      <w:r>
        <w:t xml:space="preserve">catalysts; it trails on enrichment across all 917. Differences are small and a catalyst-level</w:t>
      </w:r>
      <w:r>
        <w:t xml:space="preserve"> </w:t>
      </w:r>
      <w:r>
        <w:t xml:space="preserve">bootstrap does not separate them.</w:t>
      </w:r>
      <w:r>
        <w:t xml:space="preserve"> </w:t>
      </w:r>
      <w:r>
        <w:rPr>
          <w:b/>
          <w:bCs/>
        </w:rPr>
        <w:t xml:space="preserve">We are proceeding with the per-group median</w:t>
      </w:r>
      <w:r>
        <w:t xml:space="preserve">, because it cannot</w:t>
      </w:r>
      <w:r>
        <w:t xml:space="preserve"> </w:t>
      </w:r>
      <w:r>
        <w:t xml:space="preserve">be set by a single high reading — a choice rather than a result, since the evidence permits but does</w:t>
      </w:r>
      <w:r>
        <w:t xml:space="preserve"> </w:t>
      </w:r>
      <w:r>
        <w:t xml:space="preserve">not compel it.</w:t>
      </w:r>
    </w:p>
    <w:bookmarkEnd w:id="13"/>
    <w:bookmarkStart w:id="14" w:name="X248ea7c53a0e28c0d97fdffcded404aca1bd928"/>
    <w:p>
      <w:pPr>
        <w:pStyle w:val="Heading2"/>
      </w:pPr>
      <w:r>
        <w:t xml:space="preserve">6. How much of the condition grid is actually needed</w:t>
      </w:r>
    </w:p>
    <w:p>
      <w:pPr>
        <w:pStyle w:val="FirstParagraph"/>
      </w:pPr>
      <w:r>
        <w:t xml:space="preserve">Keeping only k of the ~27 measurements per catalyst–temperature cell (random draws, 5 independent</w:t>
      </w:r>
      <w:r>
        <w:t xml:space="preserve"> </w:t>
      </w:r>
      <w:r>
        <w:t xml:space="preserve">repeats per k, always scored against the true maximum from the full data):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Measurements kept</w:t>
            </w:r>
          </w:p>
        </w:tc>
        <w:tc>
          <w:tcPr/>
          <w:p>
            <w:pPr>
              <w:pStyle w:val="Compact"/>
            </w:pPr>
            <w:r>
              <w:t xml:space="preserve">Share of grid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Enrichment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per cell (~5 runs/catalyst)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0.759 ± 0.002</w:t>
            </w:r>
          </w:p>
        </w:tc>
        <w:tc>
          <w:tcPr/>
          <w:p>
            <w:pPr>
              <w:pStyle w:val="Compact"/>
            </w:pPr>
            <w:r>
              <w:t xml:space="preserve">3.99×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per cell (~15 runs/catalyst)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  <w:tc>
          <w:tcPr/>
          <w:p>
            <w:pPr>
              <w:pStyle w:val="Compact"/>
            </w:pPr>
            <w:r>
              <w:t xml:space="preserve">0.765 ± 0.002</w:t>
            </w:r>
          </w:p>
        </w:tc>
        <w:tc>
          <w:tcPr/>
          <w:p>
            <w:pPr>
              <w:pStyle w:val="Compact"/>
            </w:pPr>
            <w:r>
              <w:t xml:space="preserve">4.24×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~27 per cell</w:t>
            </w:r>
          </w:p>
        </w:tc>
        <w:tc>
          <w:tcPr/>
          <w:p>
            <w:pPr>
              <w:pStyle w:val="Compact"/>
            </w:pPr>
            <w:r>
              <w:t xml:space="preserve">100 %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</w:tr>
    </w:tbl>
    <w:p>
      <w:pPr>
        <w:pStyle w:val="BodyText"/>
      </w:pPr>
      <w:r>
        <w:t xml:space="preserve">One measurement per cell ranks almost as well as all 27, stable across draws. Labels are biased low</w:t>
      </w:r>
      <w:r>
        <w:t xml:space="preserve"> </w:t>
      </w:r>
      <w:r>
        <w:t xml:space="preserve">(−2.8 yield points at k = 1) but roughly uniformly, so ranking survives; absolute estimates would not.</w:t>
      </w:r>
    </w:p>
    <w:p>
      <w:pPr>
        <w:pStyle w:val="BodyText"/>
      </w:pPr>
      <w:r>
        <w:rPr>
          <w:b/>
          <w:bCs/>
        </w:rPr>
        <w:t xml:space="preserve">Temperature is different.</w:t>
      </w:r>
      <w:r>
        <w:t xml:space="preserve"> </w:t>
      </w:r>
      <w:r>
        <w:t xml:space="preserve">700 °C alone gives ρ = 0.346, enrichment 1.07× — no better than chance</w:t>
      </w:r>
      <w:r>
        <w:t xml:space="preserve"> </w:t>
      </w:r>
      <w:r>
        <w:t xml:space="preserve">— because 70 % of catalysts peak at 800 °C or above. Redundancy is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temperature, not across</w:t>
      </w:r>
      <w:r>
        <w:t xml:space="preserve"> </w:t>
      </w:r>
      <w:r>
        <w:t xml:space="preserve">them: between-catalyst spread in true maximum (SD 5.32) is 3.8× the spread within one cell (SD 1.41).</w:t>
      </w:r>
    </w:p>
    <w:p>
      <w:pPr>
        <w:pStyle w:val="BodyText"/>
      </w:pPr>
      <w:r>
        <w:t xml:space="preserve">This assumes the 27 slots are individually selectable — see question 2.</w:t>
      </w:r>
    </w:p>
    <w:bookmarkEnd w:id="14"/>
    <w:bookmarkStart w:id="15" w:name="X432ee9301230b1c3d5a60fb9b92eb0099199e8d"/>
    <w:p>
      <w:pPr>
        <w:pStyle w:val="Heading2"/>
      </w:pPr>
      <w:r>
        <w:t xml:space="preserve">7. Novel promoter families, and a candidate list</w:t>
      </w:r>
    </w:p>
    <w:p>
      <w:pPr>
        <w:pStyle w:val="FirstParagraph"/>
      </w:pPr>
      <w:r>
        <w:t xml:space="preserve">Family holdouts behave reasonably for La, Ti, Zr and Ce (ρ 0.62–0.68) but poorly for Ba (ρ = 0.526,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). Ba catalysts average 13.76 % maximum yield against 8.95 % for the rest,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78 % of the lab’s top decile contains Ba</w:t>
      </w:r>
      <w:r>
        <w:t xml:space="preserve"> </w:t>
      </w:r>
      <w:r>
        <w:t xml:space="preserve">— removing them removes the high-yield regime. The</w:t>
      </w:r>
      <w:r>
        <w:t xml:space="preserve"> </w:t>
      </w:r>
      <w:r>
        <w:t xml:space="preserve">mechanism is provable: with no Ba in training the Ba column is constant, no tree splits on it, and</w:t>
      </w:r>
      <w:r>
        <w:t xml:space="preserve"> </w:t>
      </w:r>
      <w:r>
        <w:t xml:space="preserve">retraining with that column</w:t>
      </w:r>
      <w:r>
        <w:t xml:space="preserve"> </w:t>
      </w:r>
      <w:r>
        <w:rPr>
          <w:b/>
          <w:bCs/>
        </w:rPr>
        <w:t xml:space="preserve">deleted entirely gives bit-identical predictions</w:t>
      </w:r>
      <w:r>
        <w:t xml:space="preserve">. The model</w:t>
      </w:r>
      <w:r>
        <w:t xml:space="preserve"> </w:t>
      </w:r>
      <w:r>
        <w:t xml:space="preserve">underprices the best Ba catalysts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</w:t>
      </w:r>
    </w:p>
    <w:p>
      <w:pPr>
        <w:pStyle w:val="BodyText"/>
      </w:pPr>
      <w:r>
        <w:t xml:space="preserve">A learning curve (</w:t>
      </w:r>
      <w:r>
        <w:rPr>
          <w:rStyle w:val="VerbatimChar"/>
        </w:rPr>
        <w:t xml:space="preserve">phase6_our_experiments.py</w:t>
      </w:r>
      <w:r>
        <w:t xml:space="preserve">) gives a data budget: Ba runs 0.509 (none seen) → 0.565</w:t>
      </w:r>
      <w:r>
        <w:t xml:space="preserve"> </w:t>
      </w:r>
      <w:r>
        <w:t xml:space="preserve">(10) → 0.616 (25) → 0.651 (50) → 0.683 (all 204). Taking 80 % of the</w:t>
      </w:r>
      <w:r>
        <w:t xml:space="preserve"> </w:t>
      </w:r>
      <w:r>
        <w:rPr>
          <w:i/>
          <w:iCs/>
        </w:rPr>
        <w:t xml:space="preserve">final level</w:t>
      </w:r>
      <w:r>
        <w:t xml:space="preserve"> </w:t>
      </w:r>
      <w:r>
        <w:t xml:space="preserve">gives ~10 members;</w:t>
      </w:r>
      <w:r>
        <w:t xml:space="preserve"> </w:t>
      </w:r>
      <w:r>
        <w:t xml:space="preserve">80 % of the</w:t>
      </w:r>
      <w:r>
        <w:t xml:space="preserve"> </w:t>
      </w:r>
      <w:r>
        <w:rPr>
          <w:i/>
          <w:iCs/>
        </w:rPr>
        <w:t xml:space="preserve">gain</w:t>
      </w:r>
      <w:r>
        <w:t xml:space="preserve"> </w:t>
      </w:r>
      <w:r>
        <w:t xml:space="preserve">gives ~50. The second is the meaningful reading, since Ba reaches 0.509 having seen</w:t>
      </w:r>
      <w:r>
        <w:t xml:space="preserve"> </w:t>
      </w:r>
      <w:r>
        <w:t xml:space="preserve">none.</w:t>
      </w:r>
    </w:p>
    <w:p>
      <w:pPr>
        <w:pStyle w:val="BodyText"/>
      </w:pPr>
      <w:r>
        <w:t xml:space="preserve">We also ranked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your design grammar;</w:t>
      </w:r>
      <w:r>
        <w:t xml:space="preserve"> </w:t>
      </w:r>
      <w:r>
        <w:rPr>
          <w:rStyle w:val="VerbatimChar"/>
        </w:rPr>
        <w:t xml:space="preserve">campaign_shortlist.csv</w:t>
      </w:r>
      <w:r>
        <w:t xml:space="preserve"> </w:t>
      </w:r>
      <w:r>
        <w:t xml:space="preserve">holds a</w:t>
      </w:r>
      <w:r>
        <w:t xml:space="preserve"> </w:t>
      </w:r>
      <w:r>
        <w:t xml:space="preserve">suggested 17. The ranking is the deliverable, not the predicted value (ensemble maximum 18.79 %</w:t>
      </w:r>
      <w:r>
        <w:t xml:space="preserve"> </w:t>
      </w:r>
      <w:r>
        <w:t xml:space="preserve">against observed yields reaching 21.50 %; catalyst-level error ~2.7 points).</w:t>
      </w:r>
    </w:p>
    <w:bookmarkEnd w:id="15"/>
    <w:bookmarkStart w:id="16" w:name="Xc7746dea014a0cdd8b1c10fc3c9a89c630d7f20"/>
    <w:p>
      <w:pPr>
        <w:pStyle w:val="Heading2"/>
      </w:pPr>
      <w:r>
        <w:t xml:space="preserve">8. Two questions, and what we are doing meanwhile</w:t>
      </w:r>
    </w:p>
    <w:p>
      <w:pPr>
        <w:pStyle w:val="FirstParagraph"/>
      </w:pPr>
      <w:r>
        <w:t xml:space="preserve">Both concern information absent from the exported data file that further analysis on our side cannot</w:t>
      </w:r>
      <w:r>
        <w:t xml:space="preserve"> </w:t>
      </w:r>
      <w:r>
        <w:t xml:space="preserve">recover.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 the ~27 condition settings per catalyst–temperature exist in retrievable form?</w:t>
      </w:r>
      <w:r>
        <w:t xml:space="preserve"> </w:t>
      </w:r>
      <w:r>
        <w:t xml:space="preserve">They are</w:t>
      </w:r>
      <w:r>
        <w:t xml:space="preserve"> </w:t>
      </w:r>
      <w:r>
        <w:t xml:space="preserve">currently invisible to the model, leaving the 19.9 % above unreachable. With them we could model</w:t>
      </w:r>
      <w:r>
        <w:t xml:space="preserve"> </w:t>
      </w:r>
      <w:r>
        <w:t xml:space="preserve">conditions directly rather than averaging across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Are those ~27 measurements distinct reaction conditions, or successive time-on-stream samples at</w:t>
      </w:r>
      <w:r>
        <w:rPr>
          <w:b/>
          <w:bCs/>
        </w:rPr>
        <w:t xml:space="preserve"> </w:t>
      </w:r>
      <w:r>
        <w:rPr>
          <w:b/>
          <w:bCs/>
        </w:rPr>
        <w:t xml:space="preserve">a single condition?</w:t>
      </w:r>
      <w:r>
        <w:t xml:space="preserve"> </w:t>
      </w:r>
      <w:r>
        <w:t xml:space="preserve">We could not settle this from the file, and it changes what our target</w:t>
      </w:r>
      <w:r>
        <w:t xml:space="preserve"> </w:t>
      </w:r>
      <w:r>
        <w:t xml:space="preserve">represents: under the second reading a catalyst’s maximum reflects early-run behaviour rather than</w:t>
      </w:r>
      <w:r>
        <w:t xml:space="preserve"> </w:t>
      </w:r>
      <w:r>
        <w:t xml:space="preserve">a sustained operating point, and §6 would not transfer to a prospective design.</w:t>
      </w:r>
    </w:p>
    <w:p>
      <w:pPr>
        <w:pStyle w:val="FirstParagraph"/>
      </w:pPr>
      <w:r>
        <w:t xml:space="preserve">A related observation rather than a question: coverage correlates with performance</w:t>
      </w:r>
      <w:r>
        <w:t xml:space="preserve"> </w:t>
      </w:r>
      <w:r>
        <w:t xml:space="preserve">(Spearman(cell size, cell maximum) = +0.441) and 186 cells are absent entirely. If incomplete runs</w:t>
      </w:r>
      <w:r>
        <w:t xml:space="preserve"> </w:t>
      </w:r>
      <w:r>
        <w:t xml:space="preserve">were stopped deliberately, that bias is correctable; if not, it may itself be informative. The</w:t>
      </w:r>
      <w:r>
        <w:t xml:space="preserve"> </w:t>
      </w:r>
      <w:r>
        <w:t xml:space="preserve">correction in §4 holds either way.</w:t>
      </w:r>
    </w:p>
    <w:p>
      <w:pPr>
        <w:pStyle w:val="BodyText"/>
      </w:pPr>
      <w:r>
        <w:rPr>
          <w:b/>
          <w:bCs/>
        </w:rPr>
        <w:t xml:space="preserve">Meanwhile</w:t>
      </w:r>
      <w:r>
        <w:t xml:space="preserve">, our focus is accuracy rather than scope: refining the composition-based model, since §6</w:t>
      </w:r>
      <w:r>
        <w:t xml:space="preserve"> </w:t>
      </w:r>
      <w:r>
        <w:t xml:space="preserve">suggests the data may support a simpler and more stable formulation than we use now; and revisiting</w:t>
      </w:r>
      <w:r>
        <w:t xml:space="preserve"> </w:t>
      </w:r>
      <w:r>
        <w:t xml:space="preserve">the two-stage construction for cross-preparation specifically, where it still loses to a plain merge</w:t>
      </w:r>
      <w:r>
        <w:t xml:space="preserve"> </w:t>
      </w:r>
      <w:r>
        <w:t xml:space="preserve">(0.318 vs 0.388). That gap looks closable.</w:t>
      </w:r>
    </w:p>
    <w:p>
      <w:pPr>
        <w:pStyle w:val="BodyText"/>
      </w:pPr>
      <w:r>
        <w:rPr>
          <w:i/>
          <w:iCs/>
        </w:rPr>
        <w:t xml:space="preserve">All numbers are stored outputs of the scripts named above.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2026-09-19T07:14:31Z</dcterms:created>
  <dcterms:modified xsi:type="dcterms:W3CDTF">2026-09-19T07:14:31Z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