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22.png" ContentType="image/png"/>
  <Override PartName="/word/media/rId18.png" ContentType="image/png"/>
  <Override PartName="/word/media/rId32.png" ContentType="image/png"/>
  <Override PartName="/word/media/rId25.png" ContentType="image/png"/>
  <Override PartName="/word/media/rId40.png" ContentType="image/png"/>
  <Override PartName="/word/media/rId15.png" ContentType="image/png"/>
  <Override PartName="/word/media/rId9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7" w:name="Xc1683ef03f67eb891eab605de8d4b95addc8aac"/>
    <w:p>
      <w:pPr>
        <w:pStyle w:val="Heading1"/>
      </w:pPr>
      <w:r>
        <w:t xml:space="preserve">Work Note (v2) — Incorporating Published Literature Data into the Lab OCM Yield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A domain-adaptation study for C₂-yield prediction in Oxidative Coupling of Methane (OCM)</w:t>
      </w:r>
      <w:r>
        <w:t xml:space="preserve"> </w:t>
      </w:r>
      <w:r>
        <w:rPr>
          <w:b/>
          <w:bCs/>
        </w:rPr>
        <w:t xml:space="preserve">Supersedes:</w:t>
      </w:r>
      <w:r>
        <w:t xml:space="preserve"> </w:t>
      </w:r>
      <w:r>
        <w:t xml:space="preserve">version 1 of this note.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,</w:t>
      </w:r>
      <w:r>
        <w:t xml:space="preserve"> </w:t>
      </w:r>
      <w:r>
        <w:rPr>
          <w:rStyle w:val="VerbatimChar"/>
        </w:rPr>
        <w:t xml:space="preserve">taniike_validation.py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phase3_lit_prior.py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phase4_family_diagnosis.py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phase5_target_audit.py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phase6_our_experiments.py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phase6_candidates.py</w:t>
      </w:r>
    </w:p>
    <w:p>
      <w:r>
        <w:pict>
          <v:rect style="width:0;height:1.5pt" o:hralign="center" o:hrstd="t" o:hr="t"/>
        </w:pict>
      </w:r>
    </w:p>
    <w:bookmarkStart w:id="12" w:name="what-changed-since-version-1"/>
    <w:p>
      <w:pPr>
        <w:pStyle w:val="Heading2"/>
      </w:pPr>
      <w:r>
        <w:t xml:space="preserve">What changed since version 1</w:t>
      </w:r>
    </w:p>
    <w:p>
      <w:pPr>
        <w:pStyle w:val="FirstParagraph"/>
      </w:pPr>
      <w:r>
        <w:t xml:space="preserve">Version 1 reported that a two-stage prior-feature method (</w:t>
      </w:r>
      <w:r>
        <w:t xml:space="preserve">“PFT”</w:t>
      </w:r>
      <w:r>
        <w:t xml:space="preserve">) improved C₂-yield prediction by</w:t>
      </w:r>
      <w:r>
        <w:t xml:space="preserve"> </w:t>
      </w:r>
      <w:r>
        <w:t xml:space="preserve">about 10 % over a lab-only baseline.</w:t>
      </w:r>
      <w:r>
        <w:t xml:space="preserve"> </w:t>
      </w:r>
      <w:r>
        <w:rPr>
          <w:b/>
          <w:bCs/>
        </w:rPr>
        <w:t xml:space="preserve">Following the stricter validation Prof. Taniike proposed, that</w:t>
      </w:r>
      <w:r>
        <w:rPr>
          <w:b/>
          <w:bCs/>
        </w:rPr>
        <w:t xml:space="preserve"> </w:t>
      </w:r>
      <w:r>
        <w:rPr>
          <w:b/>
          <w:bCs/>
        </w:rPr>
        <w:t xml:space="preserve">improvement does not survive, and we withdraw the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 in v1</w:t>
            </w:r>
          </w:p>
        </w:tc>
        <w:tc>
          <w:tcPr/>
          <w:p>
            <w:pPr>
              <w:pStyle w:val="Compact"/>
            </w:pPr>
            <w:r>
              <w:t xml:space="preserve">Status in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PFT improves CV RMSE by ≈10 %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Withdrawn.</w:t>
            </w:r>
            <w:r>
              <w:t xml:space="preserve"> </w:t>
            </w:r>
            <w:r>
              <w:t xml:space="preserve">The gain was catalyst-identity leakage; under catalyst-grouped CV, PFT is 1.8 %</w:t>
            </w:r>
            <w:r>
              <w:t xml:space="preserve"> </w:t>
            </w:r>
            <w:r>
              <w:rPr>
                <w:i/>
                <w:iCs/>
              </w:rPr>
              <w:t xml:space="preserve">worse</w:t>
            </w:r>
            <w:r>
              <w:t xml:space="preserve"> </w:t>
            </w:r>
            <w:r>
              <w:t xml:space="preserve">than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data measurably helps the lab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demonstrated.</w:t>
            </w:r>
            <w:r>
              <w:t xml:space="preserve"> </w:t>
            </w:r>
            <w:r>
              <w:t xml:space="preserve">Four honest designs, all ≤ the composition-only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Quantile normalisation is a necessary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Unnecessary.</w:t>
            </w:r>
            <w:r>
              <w:t xml:space="preserve"> </w:t>
            </w:r>
            <w:r>
              <w:t xml:space="preserve">Quantile-normalised ≈ raw ≈ rank priors (0.001–0.005 RMSE apart)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composition-only model screens</w:t>
            </w:r>
            <w:r>
              <w:t xml:space="preserve"> </w:t>
            </w:r>
            <w:r>
              <w:rPr>
                <w:i/>
                <w:iCs/>
              </w:rPr>
              <w:t xml:space="preserve">unseen</w:t>
            </w:r>
            <w:r>
              <w:t xml:space="preserve"> </w:t>
            </w:r>
            <w:r>
              <w:t xml:space="preserve">catalysts usefully (ρ = 0.761, enrichment 3.04–4.89×)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New:</w:t>
            </w:r>
            <w:r>
              <w:t xml:space="preserve"> </w:t>
            </w:r>
            <w:r>
              <w:t xml:space="preserve">the Ba-family failure is mechanistically explained, and yields a data budget for new chemistry</w:t>
            </w:r>
          </w:p>
        </w:tc>
      </w:tr>
    </w:tbl>
    <w:p>
      <w:pPr>
        <w:pStyle w:val="BodyText"/>
      </w:pPr>
      <w:r>
        <w:t xml:space="preserve">The cause was specific and is now understood: our Stage-1 expert was trained on literature data</w:t>
      </w:r>
      <w:r>
        <w:t xml:space="preserve"> </w:t>
      </w:r>
      <w:r>
        <w:rPr>
          <w:i/>
          <w:iCs/>
        </w:rPr>
        <w:t xml:space="preserve">together with the lab training rows</w:t>
      </w:r>
      <w:r>
        <w:t xml:space="preserve">, so under a random row split it had seen the very catalysts it</w:t>
      </w:r>
      <w:r>
        <w:t xml:space="preserve"> </w:t>
      </w:r>
      <w:r>
        <w:t xml:space="preserve">was later asked to help predict. What follows is the corrected study.</w:t>
      </w:r>
    </w:p>
    <w:p>
      <w:pPr>
        <w:pStyle w:val="CaptionedFigure"/>
      </w:pPr>
      <w:r>
        <w:drawing>
          <wp:inline>
            <wp:extent cx="5334000" cy="1925208"/>
            <wp:effectExtent b="0" l="0" r="0" t="0"/>
            <wp:docPr descr="Figure 1 — The central finding. Identical models under two evaluation protocols. When every measurement of a catalyst is confined to one fold, the reported improvement inverts." title="" id="10" name="Picture"/>
            <a:graphic>
              <a:graphicData uri="http://schemas.openxmlformats.org/drawingml/2006/picture">
                <pic:pic>
                  <pic:nvPicPr>
                    <pic:cNvPr descr="fig_protocol_comparison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 — The central finding.</w:t>
      </w:r>
      <w:r>
        <w:t xml:space="preserve"> </w:t>
      </w:r>
      <w:r>
        <w:t xml:space="preserve">Identical models under two evaluation protocols. When every measurement of a catalyst is confined to one fold, the reported improvement inverts.</w:t>
      </w:r>
    </w:p>
    <w:bookmarkEnd w:id="12"/>
    <w:bookmarkStart w:id="13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We predict C₂ yield from catalyst composition using the lab’s own data (89,074 measurements, 2025,</w:t>
      </w:r>
      <w:r>
        <w:t xml:space="preserve"> </w:t>
      </w:r>
      <w:r>
        <w:t xml:space="preserve">impregnation route). A body of published literature data (3,852 measurements, 1982–2019) is also</w:t>
      </w:r>
      <w:r>
        <w:t xml:space="preserve"> </w:t>
      </w:r>
      <w:r>
        <w:t xml:space="preserve">available. The question is whether the literature can improve the lab model without degrading it.</w:t>
      </w:r>
    </w:p>
    <w:p>
      <w:pPr>
        <w:pStyle w:val="BodyText"/>
      </w:pPr>
      <w:r>
        <w:t xml:space="preserve">Two distributional differences make this a</w:t>
      </w:r>
      <w:r>
        <w:t xml:space="preserve"> </w:t>
      </w:r>
      <w:r>
        <w:rPr>
          <w:b/>
          <w:bCs/>
        </w:rPr>
        <w:t xml:space="preserve">domain-adaptation</w:t>
      </w:r>
      <w:r>
        <w:t xml:space="preserve"> </w:t>
      </w:r>
      <w:r>
        <w:t xml:space="preserve">problem: a</w:t>
      </w:r>
      <w:r>
        <w:t xml:space="preserve"> </w:t>
      </w:r>
      <w:r>
        <w:rPr>
          <w:b/>
          <w:bCs/>
        </w:rPr>
        <w:t xml:space="preserve">label shift</w:t>
      </w:r>
      <w:r>
        <w:t xml:space="preserve"> </w:t>
      </w:r>
      <w:r>
        <w:t xml:space="preserve">(literature</w:t>
      </w:r>
      <w:r>
        <w:t xml:space="preserve"> </w:t>
      </w:r>
      <w:r>
        <w:t xml:space="preserve">mean 8.670 % vs. lab 5.245 %, a +3.425 pp gap reflecting publication practice) and a</w:t>
      </w:r>
      <w:r>
        <w:t xml:space="preserve"> </w:t>
      </w:r>
      <w:r>
        <w:rPr>
          <w:b/>
          <w:bCs/>
        </w:rPr>
        <w:t xml:space="preserve">covariate</w:t>
      </w:r>
      <w:r>
        <w:rPr>
          <w:b/>
          <w:bCs/>
        </w:rP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(the two collections emphasise different chemistry).</w:t>
      </w:r>
    </w:p>
    <w:bookmarkEnd w:id="13"/>
    <w:bookmarkStart w:id="14" w:name="evaluation-methodology"/>
    <w:p>
      <w:pPr>
        <w:pStyle w:val="Heading2"/>
      </w:pPr>
      <w:r>
        <w:t xml:space="preserve">2. Evaluation methodology</w:t>
      </w:r>
    </w:p>
    <w:p>
      <w:pPr>
        <w:pStyle w:val="FirstParagraph"/>
      </w:pPr>
      <w:r>
        <w:rPr>
          <w:b/>
          <w:bCs/>
        </w:rPr>
        <w:t xml:space="preserve">Catalyst-grouped cross-validation is now our default protocol.</w:t>
      </w:r>
      <w:r>
        <w:t xml:space="preserve"> </w:t>
      </w:r>
      <w:r>
        <w:t xml:space="preserve">All measurements of a given</w:t>
      </w:r>
      <w:r>
        <w:t xml:space="preserve"> </w:t>
      </w:r>
      <w:r>
        <w:t xml:space="preserve">catalyst are assigned to exactly one fold, so every reported number answers:</w:t>
      </w:r>
      <w:r>
        <w:t xml:space="preserve"> </w:t>
      </w:r>
      <w:r>
        <w:rPr>
          <w:i/>
          <w:iCs/>
        </w:rPr>
        <w:t xml:space="preserve">how well do we predict</w:t>
      </w:r>
      <w:r>
        <w:rPr>
          <w:i/>
          <w:iCs/>
        </w:rPr>
        <w:t xml:space="preserve"> </w:t>
      </w:r>
      <w:r>
        <w:rPr>
          <w:i/>
          <w:iCs/>
        </w:rPr>
        <w:t xml:space="preserve">a catalyst nobody has made yet?</w:t>
      </w:r>
      <w:r>
        <w:t xml:space="preserve"> </w:t>
      </w:r>
      <w:r>
        <w:t xml:space="preserve">Anything fitted on data — scaler, domain classifier, both model</w:t>
      </w:r>
      <w:r>
        <w:t xml:space="preserve"> </w:t>
      </w:r>
      <w:r>
        <w:t xml:space="preserve">stages — sees training-fold data only.</w:t>
      </w:r>
    </w:p>
    <w:p>
      <w:pPr>
        <w:pStyle w:val="BodyText"/>
      </w:pPr>
      <w:r>
        <w:rPr>
          <w:b/>
          <w:bCs/>
        </w:rPr>
        <w:t xml:space="preserve">Why the previous protocol was inadequate — a quantitative argument.</w:t>
      </w:r>
      <w:r>
        <w:t xml:space="preserve"> </w:t>
      </w:r>
      <w:r>
        <w:t xml:space="preserve">The 89,074 measurements</w:t>
      </w:r>
      <w:r>
        <w:t xml:space="preserve"> </w:t>
      </w:r>
      <w:r>
        <w:t xml:space="preserve">comprise only</w:t>
      </w:r>
      <w:r>
        <w:t xml:space="preserve"> </w:t>
      </w:r>
      <w:r>
        <w:rPr>
          <w:b/>
          <w:bCs/>
        </w:rPr>
        <w:t xml:space="preserve">917 distinct catalysts</w:t>
      </w:r>
      <w:r>
        <w:t xml:space="preserve"> </w:t>
      </w:r>
      <w:r>
        <w:t xml:space="preserve">at 5 temperatures, giving ~4,400 unique input vectors each</w:t>
      </w:r>
      <w:r>
        <w:t xml:space="preserve"> </w:t>
      </w:r>
      <w:r>
        <w:t xml:space="preserve">measured ~20 times. Because roughly 27 reaction-condition variables are not recorded as features,</w:t>
      </w:r>
      <w:r>
        <w:t xml:space="preserve"> </w:t>
      </w:r>
      <w:r>
        <w:t xml:space="preserve">those repeats are</w:t>
      </w:r>
      <w:r>
        <w:t xml:space="preserve"> </w:t>
      </w:r>
      <w:r>
        <w:rPr>
          <w:i/>
          <w:iCs/>
        </w:rPr>
        <w:t xml:space="preserve">identical inputs with differing yields</w:t>
      </w:r>
      <w:r>
        <w:t xml:space="preserve">. That within-group variance is</w:t>
      </w:r>
      <w:r>
        <w:t xml:space="preserve"> </w:t>
      </w:r>
      <w:r>
        <w:rPr>
          <w:b/>
          <w:bCs/>
        </w:rPr>
        <w:t xml:space="preserve">18.2 % of</w:t>
      </w:r>
      <w:r>
        <w:rPr>
          <w:b/>
          <w:bCs/>
        </w:rPr>
        <w:t xml:space="preserve"> </w:t>
      </w:r>
      <w:r>
        <w:rPr>
          <w:b/>
          <w:bCs/>
        </w:rPr>
        <w:t xml:space="preserve">total yield variance</w:t>
      </w:r>
      <w:r>
        <w:t xml:space="preserve">, so the best attainable row-level RMSE is</w:t>
      </w:r>
      <w:r>
        <w:t xml:space="preserve"> </w:t>
      </w:r>
      <w:r>
        <w:rPr>
          <w:b/>
          <w:bCs/>
        </w:rPr>
        <w:t xml:space="preserve">1.680</w:t>
      </w:r>
      <w:r>
        <w:t xml:space="preserve">.</w:t>
      </w:r>
    </w:p>
    <w:p>
      <w:pPr>
        <w:pStyle w:val="BodyText"/>
      </w:pPr>
      <w:r>
        <w:t xml:space="preserve">Version 1 reported 1.912 — only 0.23 above that floor. In hindsight this should itself have prompted</w:t>
      </w:r>
      <w:r>
        <w:t xml:space="preserve"> </w:t>
      </w:r>
      <w:r>
        <w:t xml:space="preserve">suspicion: a model cannot approach the noise ceiling of data it should not be able to memorise.</w:t>
      </w:r>
      <w:r>
        <w:t xml:space="preserve"> </w:t>
      </w:r>
      <w:r>
        <w:t xml:space="preserve">Point-wise RMSE is therefore not merely less relevant than catalyst-level metrics here; it is close to</w:t>
      </w:r>
      <w:r>
        <w:t xml:space="preserve"> </w:t>
      </w:r>
      <w:r>
        <w:t xml:space="preserve">uninformative.</w:t>
      </w:r>
    </w:p>
    <w:p>
      <w:pPr>
        <w:pStyle w:val="BodyText"/>
      </w:pPr>
      <w:r>
        <w:rPr>
          <w:b/>
          <w:bCs/>
        </w:rPr>
        <w:t xml:space="preserve">Primary metrics</w:t>
      </w:r>
      <w:r>
        <w:t xml:space="preserve"> </w:t>
      </w:r>
      <w:r>
        <w:t xml:space="preserve">are consequently catalyst-level, as proposed: Spearman correlation between</w:t>
      </w:r>
      <w:r>
        <w:t xml:space="preserve"> </w:t>
      </w:r>
      <w:r>
        <w:t xml:space="preserve">predicted and observed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yield, and enrichment of true high performers among top-ranked</w:t>
      </w:r>
      <w:r>
        <w:t xml:space="preserve"> </w:t>
      </w:r>
      <w:r>
        <w:t xml:space="preserve">predictions.</w:t>
      </w:r>
    </w:p>
    <w:bookmarkEnd w:id="14"/>
    <w:bookmarkStart w:id="21" w:name="baseline-and-the-two-datasets"/>
    <w:p>
      <w:pPr>
        <w:pStyle w:val="Heading2"/>
      </w:pPr>
      <w:r>
        <w:t xml:space="preserve">3. Baseline and the two datasets</w:t>
      </w:r>
    </w:p>
    <w:p>
      <w:pPr>
        <w:pStyle w:val="FirstParagraph"/>
      </w:pPr>
      <w:r>
        <w:t xml:space="preserve">A LightGBM regressor trained on lab data only. Under the grouped protocol its CV RMSE is</w:t>
      </w:r>
      <w:r>
        <w:t xml:space="preserve"> </w:t>
      </w:r>
      <w:r>
        <w:rPr>
          <w:b/>
          <w:bCs/>
        </w:rPr>
        <w:t xml:space="preserve">2.943</w:t>
      </w:r>
      <w:r>
        <w:t xml:space="preserve"> </w:t>
      </w:r>
      <w:r>
        <w:t xml:space="preserve">(row-level: 2.118 — the difference is the leakage, not a change of model).</w:t>
      </w:r>
    </w:p>
    <w:p>
      <w:pPr>
        <w:pStyle w:val="CaptionedFigure"/>
      </w:pPr>
      <w:r>
        <w:drawing>
          <wp:inline>
            <wp:extent cx="5334000" cy="1534815"/>
            <wp:effectExtent b="0" l="0" r="0" t="0"/>
            <wp:docPr descr="Figure 2 — Label shift. The literature (orange) is centred about 3.4 points above the lab data (blue). Systematic, not noise." title="" id="16" name="Picture"/>
            <a:graphic>
              <a:graphicData uri="http://schemas.openxmlformats.org/drawingml/2006/picture">
                <pic:pic>
                  <pic:nvPicPr>
                    <pic:cNvPr descr="fig_mean_shift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 — Label shift.</w:t>
      </w:r>
      <w:r>
        <w:t xml:space="preserve"> </w:t>
      </w:r>
      <w:r>
        <w:t xml:space="preserve">The literature (orange) is centred about 3.4 points above the lab data (blue). Systematic, not noise.</w:t>
      </w:r>
    </w:p>
    <w:p>
      <w:pPr>
        <w:pStyle w:val="CaptionedFigure"/>
      </w:pPr>
      <w:r>
        <w:drawing>
          <wp:inline>
            <wp:extent cx="5334000" cy="1881684"/>
            <wp:effectExtent b="0" l="0" r="0" t="0"/>
            <wp:docPr descr="Figure 3 — Covariate shift. The most-used elements differ between the two collections." title="" id="19" name="Picture"/>
            <a:graphic>
              <a:graphicData uri="http://schemas.openxmlformats.org/drawingml/2006/picture">
                <pic:pic>
                  <pic:nvPicPr>
                    <pic:cNvPr descr="fig_element_us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1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 — Covariate shift.</w:t>
      </w:r>
      <w:r>
        <w:t xml:space="preserve"> </w:t>
      </w:r>
      <w:r>
        <w:t xml:space="preserve">The most-used elements differ between the two collections.</w:t>
      </w:r>
    </w:p>
    <w:bookmarkEnd w:id="21"/>
    <w:bookmarkStart w:id="31" w:name="approaches-evaluated"/>
    <w:p>
      <w:pPr>
        <w:pStyle w:val="Heading2"/>
      </w:pPr>
      <w:r>
        <w:t xml:space="preserve">4. Approaches evaluated</w:t>
      </w:r>
    </w:p>
    <w:p>
      <w:pPr>
        <w:pStyle w:val="FirstParagraph"/>
      </w:pPr>
      <w:r>
        <w:rPr>
          <w:b/>
          <w:bCs/>
        </w:rPr>
        <w:t xml:space="preserve">Direct merge.</w:t>
      </w:r>
      <w:r>
        <w:t xml:space="preserve"> </w:t>
      </w:r>
      <w:r>
        <w:t xml:space="preserve">Pool all literature records with the lab data. The label shift enters the training</w:t>
      </w:r>
      <w:r>
        <w:t xml:space="preserve"> </w:t>
      </w:r>
      <w:r>
        <w:t xml:space="preserve">target and accuracy is not improved.</w:t>
      </w:r>
    </w:p>
    <w:p>
      <w:pPr>
        <w:pStyle w:val="BodyText"/>
      </w:pPr>
      <w:r>
        <w:rPr>
          <w:b/>
          <w:bCs/>
        </w:rPr>
        <w:t xml:space="preserve">Selective merge.</w:t>
      </w:r>
      <w:r>
        <w:t xml:space="preserve"> </w:t>
      </w:r>
      <w:r>
        <w:t xml:space="preserve">Make the literature more lab-like before merging — either a hard filter (DRST: a</w:t>
      </w:r>
      <w:r>
        <w:t xml:space="preserve"> </w:t>
      </w:r>
      <w:r>
        <w:t xml:space="preserve">logistic-regression domain classifier scoring each record by</w:t>
      </w:r>
      <w:r>
        <w:t xml:space="preserve"> </w:t>
      </w:r>
      <w:r>
        <w:rPr>
          <w:rStyle w:val="VerbatimChar"/>
        </w:rPr>
        <w:t xml:space="preserve">P(lab | features)</w:t>
      </w:r>
      <w:r>
        <w:t xml:space="preserve">, retaining 20.3 % at</w:t>
      </w:r>
      <w:r>
        <w:t xml:space="preserve"> </w:t>
      </w:r>
      <w:r>
        <w:t xml:space="preserve">τ = 0.30) or continuous importance weights (KMM). Both still place literature yields in the training</w:t>
      </w:r>
      <w:r>
        <w:t xml:space="preserve"> </w:t>
      </w:r>
      <w:r>
        <w:t xml:space="preserve">objective, so the label shift is unresolved.</w:t>
      </w:r>
    </w:p>
    <w:p>
      <w:pPr>
        <w:pStyle w:val="CaptionedFigure"/>
      </w:pPr>
      <w:r>
        <w:drawing>
          <wp:inline>
            <wp:extent cx="5334000" cy="1951298"/>
            <wp:effectExtent b="0" l="0" r="0" t="0"/>
            <wp:docPr descr="Figure 4 — DRST scores. Each literature record scored by how lab-like its chemistry is." title="" id="23" name="Picture"/>
            <a:graphic>
              <a:graphicData uri="http://schemas.openxmlformats.org/drawingml/2006/picture">
                <pic:pic>
                  <pic:nvPicPr>
                    <pic:cNvPr descr="fig_drst_score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 — DRST scores.</w:t>
      </w:r>
      <w:r>
        <w:t xml:space="preserve"> </w:t>
      </w:r>
      <w:r>
        <w:t xml:space="preserve">Each literature record scored by how lab-like its chemistry is.</w:t>
      </w:r>
    </w:p>
    <w:p>
      <w:pPr>
        <w:pStyle w:val="CaptionedFigure"/>
      </w:pPr>
      <w:r>
        <w:drawing>
          <wp:inline>
            <wp:extent cx="5334000" cy="1109011"/>
            <wp:effectExtent b="0" l="0" r="0" t="0"/>
            <wp:docPr descr="Figure 5 — KMM weights. Continuous weights agree closely with the DRST filter (r = 0.790)." title="" id="26" name="Picture"/>
            <a:graphic>
              <a:graphicData uri="http://schemas.openxmlformats.org/drawingml/2006/picture">
                <pic:pic>
                  <pic:nvPicPr>
                    <pic:cNvPr descr="fig_kmm_weigh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09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 — KMM weights.</w:t>
      </w:r>
      <w:r>
        <w:t xml:space="preserve"> </w:t>
      </w:r>
      <w:r>
        <w:t xml:space="preserve">Continuous weights agree closely with the DRST filter (r = 0.790).</w:t>
      </w:r>
    </w:p>
    <w:p>
      <w:pPr>
        <w:pStyle w:val="BodyText"/>
      </w:pPr>
      <w:r>
        <w:rPr>
          <w:b/>
          <w:bCs/>
        </w:rPr>
        <w:t xml:space="preserve">Prior-feature method (PFT).</w:t>
      </w:r>
      <w:r>
        <w:t xml:space="preserve"> </w:t>
      </w:r>
      <w:r>
        <w:t xml:space="preserve">Let the literature influence the final model only through a</w:t>
      </w:r>
      <w:r>
        <w:t xml:space="preserve"> </w:t>
      </w:r>
      <w:r>
        <w:rPr>
          <w:i/>
          <w:iCs/>
        </w:rPr>
        <w:t xml:space="preserve">predicted</w:t>
      </w:r>
      <w:r>
        <w:rPr>
          <w:i/>
          <w:iCs/>
        </w:rPr>
        <w:t xml:space="preserve"> </w:t>
      </w:r>
      <w:r>
        <w:rPr>
          <w:i/>
          <w:iCs/>
        </w:rPr>
        <w:t xml:space="preserve">value used as an input feature</w:t>
      </w:r>
      <w:r>
        <w:t xml:space="preserve">, never as a training label: Stage 1 trains an expert on literature</w:t>
      </w:r>
      <w:r>
        <w:t xml:space="preserve"> </w:t>
      </w:r>
      <w:r>
        <w:t xml:space="preserve">data whose yields are rank-rescaled onto the lab scale; Stage 2 trains on lab data with that</w:t>
      </w:r>
      <w:r>
        <w:t xml:space="preserve"> </w:t>
      </w:r>
      <w:r>
        <w:t xml:space="preserve">prediction as one extra feature, using lab labels only.</w:t>
      </w:r>
    </w:p>
    <w:p>
      <w:pPr>
        <w:pStyle w:val="CaptionedFigure"/>
      </w:pPr>
      <w:r>
        <w:drawing>
          <wp:inline>
            <wp:extent cx="5334000" cy="1734000"/>
            <wp:effectExtent b="0" l="0" r="0" t="0"/>
            <wp:docPr descr="Figure 6 — Stage-1 rescaling. Literature yields (orange) mapped onto the lab range (green). Note: the ablation in §5 shows this rescaling is not actually necessary — the final model uses only the prior’s ordering." title="" id="29" name="Picture"/>
            <a:graphic>
              <a:graphicData uri="http://schemas.openxmlformats.org/drawingml/2006/picture">
                <pic:pic>
                  <pic:nvPicPr>
                    <pic:cNvPr descr="fig_bias_correction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 — Stage-1 rescaling.</w:t>
      </w:r>
      <w:r>
        <w:t xml:space="preserve"> </w:t>
      </w:r>
      <w:r>
        <w:t xml:space="preserve">Literature yields (orange) mapped onto the lab range (green).</w:t>
      </w:r>
      <w:r>
        <w:t xml:space="preserve"> </w:t>
      </w:r>
      <w:r>
        <w:rPr>
          <w:i/>
          <w:iCs/>
        </w:rPr>
        <w:t xml:space="preserve">Note: the ablation in §5 shows this rescaling is not actually necessary — the final model uses only the prior’s ordering.</w:t>
      </w:r>
    </w:p>
    <w:bookmarkEnd w:id="31"/>
    <w:bookmarkStart w:id="35" w:name="what-the-stricter-validation-showed"/>
    <w:p>
      <w:pPr>
        <w:pStyle w:val="Heading2"/>
      </w:pPr>
      <w:r>
        <w:t xml:space="preserve">5. What the stricter validation showed</w:t>
      </w:r>
    </w:p>
    <w:p>
      <w:pPr>
        <w:pStyle w:val="FirstParagraph"/>
      </w:pPr>
      <w:r>
        <w:rPr>
          <w:b/>
          <w:bCs/>
        </w:rPr>
        <w:t xml:space="preserve">The improvement was leakage.</w:t>
      </w:r>
      <w:r>
        <w:t xml:space="preserve"> </w:t>
      </w:r>
      <w:r>
        <w:t xml:space="preserve">Under catalyst-grouped CV: baseline</w:t>
      </w:r>
      <w:r>
        <w:t xml:space="preserve"> </w:t>
      </w:r>
      <w:r>
        <w:rPr>
          <w:b/>
          <w:bCs/>
        </w:rPr>
        <w:t xml:space="preserve">2.943</w:t>
      </w:r>
      <w:r>
        <w:t xml:space="preserve">, PFT</w:t>
      </w:r>
      <w:r>
        <w:t xml:space="preserve"> </w:t>
      </w:r>
      <w:r>
        <w:rPr>
          <w:b/>
          <w:bCs/>
        </w:rPr>
        <w:t xml:space="preserve">2.995</w:t>
      </w:r>
      <w:r>
        <w:t xml:space="preserve"> </w:t>
      </w:r>
      <w:r>
        <w:t xml:space="preserve">(+1.8 %).</w:t>
      </w:r>
      <w:r>
        <w:t xml:space="preserve"> </w:t>
      </w:r>
      <w:r>
        <w:t xml:space="preserve">Three independent checks establish the mechanism:</w:t>
      </w:r>
    </w:p>
    <w:p>
      <w:pPr>
        <w:pStyle w:val="Compact"/>
        <w:numPr>
          <w:ilvl w:val="0"/>
          <w:numId w:val="1001"/>
        </w:numPr>
      </w:pPr>
      <w:r>
        <w:t xml:space="preserve">Training Stage 1 on literature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reduces the row-level gain from −9.7 % to</w:t>
      </w:r>
      <w:r>
        <w:t xml:space="preserve"> </w:t>
      </w:r>
      <w:r>
        <w:rPr>
          <w:b/>
          <w:bCs/>
        </w:rPr>
        <w:t xml:space="preserve">−2.6 %</w:t>
      </w:r>
    </w:p>
    <w:p>
      <w:pPr>
        <w:pStyle w:val="Compact"/>
        <w:numPr>
          <w:ilvl w:val="0"/>
          <w:numId w:val="1001"/>
        </w:numPr>
      </w:pPr>
      <w:r>
        <w:t xml:space="preserve">Under grouped CV the joint variant (</w:t>
      </w:r>
      <w:r>
        <w:rPr>
          <w:b/>
          <w:bCs/>
        </w:rPr>
        <w:t xml:space="preserve">2.982</w:t>
      </w:r>
      <w:r>
        <w:t xml:space="preserve">) is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literature-only (</w:t>
      </w:r>
      <w:r>
        <w:rPr>
          <w:b/>
          <w:bCs/>
        </w:rPr>
        <w:t xml:space="preserve">2.938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Literature-only under grouped CV (2.938) is indistinguishable from baseline (2.943)</w:t>
      </w:r>
    </w:p>
    <w:p>
      <w:pPr>
        <w:pStyle w:val="FirstParagraph"/>
      </w:pPr>
      <w:r>
        <w:rPr>
          <w:b/>
          <w:bCs/>
        </w:rPr>
        <w:t xml:space="preserve">Your quantile-normalisation hypothesis was correct, and the effect is essentially exact.</w:t>
      </w:r>
      <w:r>
        <w:t xml:space="preserve"> </w:t>
      </w:r>
      <w:r>
        <w:t xml:space="preserve">Quantile-normalised, raw-yield and pure-rank priors differ by only 0.001–0.005 RMSE under both</w:t>
      </w:r>
      <w:r>
        <w:t xml:space="preserve"> </w:t>
      </w:r>
      <w:r>
        <w:t xml:space="preserve">protocols. The Stage-2 trees consume only the prior’s ordering, so the normalisation step can be</w:t>
      </w:r>
      <w:r>
        <w:t xml:space="preserve"> </w:t>
      </w:r>
      <w:r>
        <w:t xml:space="preserve">removed with no loss.</w:t>
      </w:r>
    </w:p>
    <w:p>
      <w:pPr>
        <w:pStyle w:val="BodyText"/>
      </w:pPr>
      <w:r>
        <w:rPr>
          <w:b/>
          <w:bCs/>
        </w:rPr>
        <w:t xml:space="preserve">With the leakage channel closed, we retested literature integration properly</w:t>
      </w:r>
      <w:r>
        <w:t xml:space="preserve"> </w:t>
      </w:r>
      <w:r>
        <w:t xml:space="preserve">— a literature-only</w:t>
      </w:r>
      <w:r>
        <w:t xml:space="preserve"> </w:t>
      </w:r>
      <w:r>
        <w:t xml:space="preserve">rank prior, similarity-to-literature features, a gated prior combining both, and a catalyst-level</w:t>
      </w:r>
      <w:r>
        <w:t xml:space="preserve"> </w:t>
      </w:r>
      <w:r>
        <w:t xml:space="preserve">direct merge. Success criteria were fixed before running.</w:t>
      </w:r>
      <w:r>
        <w:t xml:space="preserve"> </w:t>
      </w:r>
      <w:r>
        <w:rPr>
          <w:b/>
          <w:bCs/>
        </w:rPr>
        <w:t xml:space="preserve">None improved on composition alone.</w:t>
      </w:r>
    </w:p>
    <w:p>
      <w:pPr>
        <w:pStyle w:val="CaptionedFigure"/>
      </w:pPr>
      <w:r>
        <w:drawing>
          <wp:inline>
            <wp:extent cx="5334000" cy="2312857"/>
            <wp:effectExtent b="0" l="0" r="0" t="0"/>
            <wp:docPr descr="Figure 7 — No literature variant beats composition alone. Catalyst-grouped protocol; the dashed line is the composition-only control. Deltas in parentheses." title="" id="33" name="Picture"/>
            <a:graphic>
              <a:graphicData uri="http://schemas.openxmlformats.org/drawingml/2006/picture">
                <pic:pic>
                  <pic:nvPicPr>
                    <pic:cNvPr descr="fig_grouped_result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 — No literature variant beats composition alone.</w:t>
      </w:r>
      <w:r>
        <w:t xml:space="preserve"> </w:t>
      </w:r>
      <w:r>
        <w:t xml:space="preserve">Catalyst-grouped protocol; the dashed line is the composition-only control. Deltas in parentheses.</w:t>
      </w:r>
    </w:p>
    <w:p>
      <w:pPr>
        <w:pStyle w:val="BodyText"/>
      </w:pPr>
      <w:r>
        <w:t xml:space="preserve">We also tested a hypothesis of our own — that the prior might help specifically where our own</w:t>
      </w:r>
      <w:r>
        <w:t xml:space="preserve"> </w:t>
      </w:r>
      <w:r>
        <w:t xml:space="preserve">coverage is thin, suggested by one family (Zr) showing a consistent gain. Across</w:t>
      </w:r>
      <w:r>
        <w:t xml:space="preserve"> </w:t>
      </w:r>
      <w:r>
        <w:rPr>
          <w:b/>
          <w:bCs/>
        </w:rPr>
        <w:t xml:space="preserve">all 28 element</w:t>
      </w:r>
      <w:r>
        <w:rPr>
          <w:b/>
          <w:bCs/>
        </w:rPr>
        <w:t xml:space="preserve"> </w:t>
      </w:r>
      <w:r>
        <w:rPr>
          <w:b/>
          <w:bCs/>
        </w:rPr>
        <w:t xml:space="preserve">families with ≥50 catalysts</w:t>
      </w:r>
      <w:r>
        <w:t xml:space="preserve"> </w:t>
      </w:r>
      <w:r>
        <w:t xml:space="preserve">the mean effect was</w:t>
      </w:r>
      <w:r>
        <w:t xml:space="preserve"> </w:t>
      </w:r>
      <w:r>
        <w:rPr>
          <w:b/>
          <w:bCs/>
        </w:rPr>
        <w:t xml:space="preserve">−0.0025</w:t>
      </w:r>
      <w:r>
        <w:t xml:space="preserve">, 14/28 positive, and the strongest</w:t>
      </w:r>
      <w:r>
        <w:t xml:space="preserve"> </w:t>
      </w:r>
      <w:r>
        <w:t xml:space="preserve">correlation with any coverage measure was |ρ| = 0.276 against a pre-registered threshold of 0.5. The</w:t>
      </w:r>
      <w:r>
        <w:t xml:space="preserve"> </w:t>
      </w:r>
      <w:r>
        <w:t xml:space="preserve">Zr result was selection from noise, and we discarded it.</w:t>
      </w:r>
    </w:p>
    <w:bookmarkEnd w:id="35"/>
    <w:bookmarkStart w:id="39" w:name="X107919a23f3dca2dedc432d6cc3b265bb97b007"/>
    <w:p>
      <w:pPr>
        <w:pStyle w:val="Heading2"/>
      </w:pPr>
      <w:r>
        <w:t xml:space="preserve">6. What the model can do: screening unseen catalysts</w:t>
      </w:r>
    </w:p>
    <w:p>
      <w:pPr>
        <w:pStyle w:val="FirstParagraph"/>
      </w:pPr>
      <w:r>
        <w:t xml:space="preserve">Rebuilt at catalyst level — composition → maximum yield, 917 training examples, no temperature — the</w:t>
      </w:r>
      <w:r>
        <w:t xml:space="preserve"> </w:t>
      </w:r>
      <w:r>
        <w:t xml:space="preserve">model matches the full 89,074-row model on ranking while training ~100× faster. On genuinely unseen</w:t>
      </w:r>
      <w:r>
        <w:t xml:space="preserve"> </w:t>
      </w:r>
      <w:r>
        <w:t xml:space="preserve">catalysts: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95 %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ρ (predicted vs. observed max yield)</w:t>
            </w:r>
          </w:p>
        </w:tc>
        <w:tc>
          <w:tcPr/>
          <w:p>
            <w:pPr>
              <w:pStyle w:val="Compact"/>
            </w:pPr>
            <w:r>
              <w:t xml:space="preserve">0.761</w:t>
            </w:r>
          </w:p>
        </w:tc>
        <w:tc>
          <w:tcPr/>
          <w:p>
            <w:pPr>
              <w:pStyle w:val="Compact"/>
            </w:pPr>
            <w:r>
              <w:t xml:space="preserve">0.725 – 0.785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of true top-decile among top-decile predicted</w:t>
            </w:r>
          </w:p>
        </w:tc>
        <w:tc>
          <w:tcPr/>
          <w:p>
            <w:pPr>
              <w:pStyle w:val="Compact"/>
            </w:pPr>
            <w:r>
              <w:t xml:space="preserve">4.28×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3.04 – 4.89×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Precision@20 (of 20 nominated, fraction truly top-decile)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 – 0.65</w:t>
            </w:r>
          </w:p>
        </w:tc>
      </w:tr>
    </w:tbl>
    <w:p>
      <w:pPr>
        <w:pStyle w:val="BodyText"/>
      </w:pPr>
      <w:r>
        <w:t xml:space="preserve">We quote intervals rather than point estimates: with ~18 catalysts in a test decile, these</w:t>
      </w:r>
      <w:r>
        <w:t xml:space="preserve"> </w:t>
      </w:r>
      <w:r>
        <w:t xml:space="preserve">quantities are considerably less precise than a single number suggests.</w:t>
      </w:r>
    </w:p>
    <w:p>
      <w:pPr>
        <w:pStyle w:val="CaptionedFigure"/>
      </w:pPr>
      <w:r>
        <w:drawing>
          <wp:inline>
            <wp:extent cx="5334000" cy="3236579"/>
            <wp:effectExtent b="0" l="0" r="0" t="0"/>
            <wp:docPr descr="Figure 8 — What drives achievable maximum yield. Composition-only model. Ba dominates, followed by chemically sensible contributors. (The corresponding figure in v1 ranked the literature prior first; that model was the leaked pipeline, so the figure illustrated the leak rather than the chemistry.)" title="" id="37" name="Picture"/>
            <a:graphic>
              <a:graphicData uri="http://schemas.openxmlformats.org/drawingml/2006/picture">
                <pic:pic>
                  <pic:nvPicPr>
                    <pic:cNvPr descr="fig_shap_ba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6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 — What drives achievable maximum yield.</w:t>
      </w:r>
      <w:r>
        <w:t xml:space="preserve"> </w:t>
      </w:r>
      <w:r>
        <w:t xml:space="preserve">Composition-only model. Ba dominates, followed by chemically sensible contributors.</w:t>
      </w:r>
      <w:r>
        <w:t xml:space="preserve"> </w:t>
      </w:r>
      <w:r>
        <w:rPr>
          <w:i/>
          <w:iCs/>
        </w:rPr>
        <w:t xml:space="preserve">(The corresponding figure in v1 ranked the literature prior first; that model was the leaked pipeline, so the figure illustrated the leak rather than the chemistry.)</w:t>
      </w:r>
    </w:p>
    <w:bookmarkEnd w:id="39"/>
    <w:bookmarkStart w:id="43" w:name="X8489ec64e84cce6da8c7360c8c974c4cc420e72"/>
    <w:p>
      <w:pPr>
        <w:pStyle w:val="Heading2"/>
      </w:pPr>
      <w:r>
        <w:t xml:space="preserve">7. Why the Ba family fails, and how much data a new family needs</w:t>
      </w:r>
    </w:p>
    <w:p>
      <w:pPr>
        <w:pStyle w:val="FirstParagraph"/>
      </w:pPr>
      <w:r>
        <w:t xml:space="preserve">Family holdouts behave reasonably for La, Ti, Zr and Ce (ρ 0.62–0.68) but poorly for Ba (0.526). The</w:t>
      </w:r>
      <w:r>
        <w:t xml:space="preserve"> </w:t>
      </w:r>
      <w:r>
        <w:t xml:space="preserve">cause is quantifiable: Ba catalysts average</w:t>
      </w:r>
      <w:r>
        <w:t xml:space="preserve"> </w:t>
      </w:r>
      <w:r>
        <w:rPr>
          <w:b/>
          <w:bCs/>
        </w:rPr>
        <w:t xml:space="preserve">13.76 %</w:t>
      </w:r>
      <w:r>
        <w:t xml:space="preserve"> </w:t>
      </w:r>
      <w:r>
        <w:t xml:space="preserve">maximum yield against</w:t>
      </w:r>
      <w:r>
        <w:t xml:space="preserve"> </w:t>
      </w:r>
      <w:r>
        <w:rPr>
          <w:b/>
          <w:bCs/>
        </w:rPr>
        <w:t xml:space="preserve">8.95 %</w:t>
      </w:r>
      <w:r>
        <w:t xml:space="preserve"> </w:t>
      </w:r>
      <w:r>
        <w:t xml:space="preserve">for the rest,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78 % of the lab’s top decile contains Ba</w:t>
      </w:r>
      <w:r>
        <w:t xml:space="preserve">. Removing them removes the high-yield regime itself.</w:t>
      </w:r>
    </w:p>
    <w:p>
      <w:pPr>
        <w:pStyle w:val="BodyText"/>
      </w:pPr>
      <w:r>
        <w:t xml:space="preserve">The mechanism is provable rather than inferred. With no Ba catalysts in training, the Ba column is</w:t>
      </w:r>
      <w:r>
        <w:t xml:space="preserve"> </w:t>
      </w:r>
      <w:r>
        <w:t xml:space="preserve">constant, so no tree splits on it — and retraining with that column</w:t>
      </w:r>
      <w:r>
        <w:t xml:space="preserve"> </w:t>
      </w:r>
      <w:r>
        <w:rPr>
          <w:b/>
          <w:bCs/>
        </w:rPr>
        <w:t xml:space="preserve">deleted entirely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bit-identical predictions</w:t>
      </w:r>
      <w:r>
        <w:t xml:space="preserve">. The model prices Ba catalysts as though Ba were absent, underpredicting</w:t>
      </w:r>
      <w:r>
        <w:t xml:space="preserve"> </w:t>
      </w:r>
      <w:r>
        <w:t xml:space="preserve">the best of them by</w:t>
      </w:r>
      <w:r>
        <w:t xml:space="preserve"> </w:t>
      </w:r>
      <w:r>
        <w:rPr>
          <w:b/>
          <w:bCs/>
        </w:rPr>
        <w:t xml:space="preserve">9.8 yield points</w:t>
      </w:r>
      <w:r>
        <w:t xml:space="preserve">. Ten random pseudo-families of equal size score 0.752, so</w:t>
      </w:r>
      <w:r>
        <w:t xml:space="preserve"> </w:t>
      </w:r>
      <w:r>
        <w:t xml:space="preserve">this is chemistry and label coverage, not sample size.</w:t>
      </w:r>
    </w:p>
    <w:p>
      <w:pPr>
        <w:pStyle w:val="BodyText"/>
      </w:pPr>
      <w:r>
        <w:t xml:space="preserve">That raised a question we found more useful than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it fails:</w:t>
      </w:r>
      <w:r>
        <w:t xml:space="preserve"> </w:t>
      </w:r>
      <w:r>
        <w:rPr>
          <w:b/>
          <w:bCs/>
        </w:rPr>
        <w:t xml:space="preserve">how many labelled members of a</w:t>
      </w:r>
      <w:r>
        <w:rPr>
          <w:b/>
          <w:bCs/>
        </w:rPr>
        <w:t xml:space="preserve"> </w:t>
      </w:r>
      <w:r>
        <w:rPr>
          <w:b/>
          <w:bCs/>
        </w:rPr>
        <w:t xml:space="preserve">family are needed before the model can price it?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ρ, none seen</w:t>
            </w:r>
          </w:p>
        </w:tc>
        <w:tc>
          <w:tcPr/>
          <w:p>
            <w:pPr>
              <w:pStyle w:val="Compact"/>
            </w:pPr>
            <w:r>
              <w:t xml:space="preserve">ρ, fully seen</w:t>
            </w:r>
          </w:p>
        </w:tc>
        <w:tc>
          <w:tcPr/>
          <w:p>
            <w:pPr>
              <w:pStyle w:val="Compact"/>
            </w:pPr>
            <w:r>
              <w:t xml:space="preserve">% of ceiling at zero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0.509</w:t>
            </w:r>
          </w:p>
        </w:tc>
        <w:tc>
          <w:tcPr/>
          <w:p>
            <w:pPr>
              <w:pStyle w:val="Compact"/>
            </w:pPr>
            <w:r>
              <w:t xml:space="preserve">0.683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0.731</w:t>
            </w:r>
          </w:p>
        </w:tc>
        <w:tc>
          <w:tcPr/>
          <w:p>
            <w:pPr>
              <w:pStyle w:val="Compact"/>
            </w:pPr>
            <w:r>
              <w:t xml:space="preserve">92.7 %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0.618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93.0 %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0.646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89.2 %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89.1 %</w:t>
            </w:r>
          </w:p>
        </w:tc>
      </w:tr>
    </w:tbl>
    <w:p>
      <w:pPr>
        <w:pStyle w:val="CaptionedFigure"/>
      </w:pPr>
      <w:r>
        <w:drawing>
          <wp:inline>
            <wp:extent cx="5334000" cy="1926454"/>
            <wp:effectExtent b="0" l="0" r="0" t="0"/>
            <wp:docPr descr="Figure 9 — A data budget for new chemistry. Left: performance against the number of family members already measured. Right: fraction of achievable performance reached having seen none." title="" id="41" name="Picture"/>
            <a:graphic>
              <a:graphicData uri="http://schemas.openxmlformats.org/drawingml/2006/picture">
                <pic:pic>
                  <pic:nvPicPr>
                    <pic:cNvPr descr="fig_learning_curv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6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 — A data budget for new chemistry.</w:t>
      </w:r>
      <w:r>
        <w:t xml:space="preserve"> </w:t>
      </w:r>
      <w:r>
        <w:t xml:space="preserve">Left: performance against the number of family members already measured. Right: fraction of achievable performance reached having seen none.</w:t>
      </w:r>
    </w:p>
    <w:p>
      <w:pPr>
        <w:pStyle w:val="BodyText"/>
      </w:pPr>
      <w:r>
        <w:t xml:space="preserve">Ba is uniquely non-transferable: the other families are already at 89–93 % of their ceiling having</w:t>
      </w:r>
      <w:r>
        <w:t xml:space="preserve"> </w:t>
      </w:r>
      <w:r>
        <w:t xml:space="preserve">never seen a member, because neighbouring chemistry carries the information. Ba’s curve is still</w:t>
      </w:r>
      <w:r>
        <w:t xml:space="preserve"> </w:t>
      </w:r>
      <w:r>
        <w:t xml:space="preserve">rising at n = 200 while the others saturate near n ≈ 50.</w:t>
      </w:r>
      <w:r>
        <w:t xml:space="preserve"> </w:t>
      </w:r>
      <w:r>
        <w:rPr>
          <w:b/>
          <w:bCs/>
        </w:rPr>
        <w:t xml:space="preserve">As a practical budget: a chemically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distinctive new promoter family requires roughly 50–100 labelled catalysts before it can be modelled;</w:t>
      </w:r>
      <w:r>
        <w:rPr>
          <w:b/>
          <w:bCs/>
        </w:rPr>
        <w:t xml:space="preserve"> </w:t>
      </w:r>
      <w:r>
        <w:rPr>
          <w:b/>
          <w:bCs/>
        </w:rPr>
        <w:t xml:space="preserve">a family resembling existing chemistry requires 10–25.</w:t>
      </w:r>
    </w:p>
    <w:bookmarkEnd w:id="43"/>
    <w:bookmarkStart w:id="44" w:name="X4c516e742cd4f94fc4850084fd7794e268a551e"/>
    <w:p>
      <w:pPr>
        <w:pStyle w:val="Heading2"/>
      </w:pPr>
      <w:r>
        <w:t xml:space="preserve">8. A candidate list for prospective validation</w:t>
      </w:r>
    </w:p>
    <w:p>
      <w:pPr>
        <w:pStyle w:val="FirstParagraph"/>
      </w:pPr>
      <w:r>
        <w:t xml:space="preserve">We enumerated</w:t>
      </w:r>
      <w:r>
        <w:t xml:space="preserve"> </w:t>
      </w:r>
      <w:r>
        <w:rPr>
          <w:b/>
          <w:bCs/>
        </w:rPr>
        <w:t xml:space="preserve">26,414 unseen candidates</w:t>
      </w:r>
      <w:r>
        <w:t xml:space="preserve"> </w:t>
      </w:r>
      <w:r>
        <w:t xml:space="preserve">in the laboratory’s own design grammar — impregnation, one</w:t>
      </w:r>
      <w:r>
        <w:t xml:space="preserve"> </w:t>
      </w:r>
      <w:r>
        <w:t xml:space="preserve">support at ~90 % with 2–3 promoters at ~3.33 %, drawn from the supports and promoters already in use —</w:t>
      </w:r>
      <w:r>
        <w:t xml:space="preserve"> </w:t>
      </w:r>
      <w:r>
        <w:t xml:space="preserve">and scored them with a 10-seed ensemble. No literature prior is used.</w:t>
      </w:r>
    </w:p>
    <w:p>
      <w:pPr>
        <w:pStyle w:val="BodyText"/>
      </w:pPr>
      <w:r>
        <w:t xml:space="preserve">Every candidate carries a coverage flag, and the safeguard is verified rather than assumed: for an</w:t>
      </w:r>
      <w:r>
        <w:t xml:space="preserve"> </w:t>
      </w:r>
      <w:r>
        <w:t xml:space="preserve">element absent from our data (Ag), predictions computed with and without its column differ by exactly</w:t>
      </w:r>
      <w:r>
        <w:t xml:space="preserve"> </w:t>
      </w:r>
      <w:r>
        <w:t xml:space="preserve">zero — confirming such candidates are unpriceable and must be flagged rather than ranked.</w:t>
      </w:r>
    </w:p>
    <w:p>
      <w:pPr>
        <w:pStyle w:val="BodyText"/>
      </w:pPr>
      <w:r>
        <w:t xml:space="preserve">The highest-ranked candidate is</w:t>
      </w:r>
      <w:r>
        <w:t xml:space="preserve"> </w:t>
      </w:r>
      <w:r>
        <w:rPr>
          <w:b/>
          <w:bCs/>
        </w:rPr>
        <w:t xml:space="preserve">Ba(90) + Mo(3.33) + Zn(3.33) + Fe(3.33)</w:t>
      </w:r>
      <w:r>
        <w:t xml:space="preserve">, predicted 18.79 % ± 0.09.</w:t>
      </w:r>
    </w:p>
    <w:p>
      <w:pPr>
        <w:pStyle w:val="BodyText"/>
      </w:pPr>
      <w:r>
        <w:t xml:space="preserve">Two caveats. Absolute predictions compress at the extreme — our ensemble maximum is 18.79 % while</w:t>
      </w:r>
      <w:r>
        <w:t xml:space="preserve"> </w:t>
      </w:r>
      <w:r>
        <w:t xml:space="preserve">observed training yields reach 21.50 % — so the</w:t>
      </w:r>
      <w:r>
        <w:t xml:space="preserve"> </w:t>
      </w:r>
      <w:r>
        <w:rPr>
          <w:b/>
          <w:bCs/>
        </w:rPr>
        <w:t xml:space="preserve">ranking</w:t>
      </w:r>
      <w:r>
        <w:t xml:space="preserve"> </w:t>
      </w:r>
      <w:r>
        <w:t xml:space="preserve">is the deliverable, not the predicted</w:t>
      </w:r>
      <w:r>
        <w:t xml:space="preserve"> </w:t>
      </w:r>
      <w:r>
        <w:t xml:space="preserve">value. And the top 20 are chemically monotonous: all contain Ba, most contain Mo. A diversity</w:t>
      </w:r>
      <w:r>
        <w:t xml:space="preserve"> </w:t>
      </w:r>
      <w:r>
        <w:t xml:space="preserve">constraint did not meaningfully change this, because the model’s preference for Ba is genuine. We</w:t>
      </w:r>
      <w:r>
        <w:t xml:space="preserve"> </w:t>
      </w:r>
      <w:r>
        <w:t xml:space="preserve">therefore also provide the best candidate per support, with its cost in predicted yield: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Ba</w:t>
            </w:r>
          </w:p>
        </w:tc>
        <w:tc>
          <w:tcPr/>
          <w:p>
            <w:pPr>
              <w:pStyle w:val="Compact"/>
            </w:pPr>
            <w:r>
              <w:t xml:space="preserve">Ti</w:t>
            </w:r>
          </w:p>
        </w:tc>
        <w:tc>
          <w:tcPr/>
          <w:p>
            <w:pPr>
              <w:pStyle w:val="Compact"/>
            </w:pPr>
            <w:r>
              <w:t xml:space="preserve">La</w:t>
            </w:r>
          </w:p>
        </w:tc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Mg</w:t>
            </w:r>
          </w:p>
        </w:tc>
        <w:tc>
          <w:tcPr/>
          <w:p>
            <w:pPr>
              <w:pStyle w:val="Compact"/>
            </w:pPr>
            <w:r>
              <w:t xml:space="preserve">Si</w:t>
            </w:r>
          </w:p>
        </w:tc>
        <w:tc>
          <w:tcPr/>
          <w:p>
            <w:pPr>
              <w:pStyle w:val="Compact"/>
            </w:pPr>
            <w:r>
              <w:t xml:space="preserve">Al</w:t>
            </w:r>
          </w:p>
        </w:tc>
        <w:tc>
          <w:tcPr/>
          <w:p>
            <w:pPr>
              <w:pStyle w:val="Compact"/>
            </w:pPr>
            <w:r>
              <w:t xml:space="preserve">Zr</w:t>
            </w:r>
          </w:p>
        </w:tc>
        <w:tc>
          <w:tcPr/>
          <w:p>
            <w:pPr>
              <w:pStyle w:val="Compact"/>
            </w:pPr>
            <w:r>
              <w:t xml:space="preserve">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predicted max yield (%)</w:t>
            </w:r>
          </w:p>
        </w:tc>
        <w:tc>
          <w:tcPr/>
          <w:p>
            <w:pPr>
              <w:pStyle w:val="Compact"/>
            </w:pPr>
            <w:r>
              <w:t xml:space="preserve">18.79</w:t>
            </w:r>
          </w:p>
        </w:tc>
        <w:tc>
          <w:tcPr/>
          <w:p>
            <w:pPr>
              <w:pStyle w:val="Compact"/>
            </w:pPr>
            <w:r>
              <w:t xml:space="preserve">16.49</w:t>
            </w:r>
          </w:p>
        </w:tc>
        <w:tc>
          <w:tcPr/>
          <w:p>
            <w:pPr>
              <w:pStyle w:val="Compact"/>
            </w:pPr>
            <w:r>
              <w:t xml:space="preserve">15.82</w:t>
            </w:r>
          </w:p>
        </w:tc>
        <w:tc>
          <w:tcPr/>
          <w:p>
            <w:pPr>
              <w:pStyle w:val="Compact"/>
            </w:pPr>
            <w:r>
              <w:t xml:space="preserve">15.54</w:t>
            </w:r>
          </w:p>
        </w:tc>
        <w:tc>
          <w:tcPr/>
          <w:p>
            <w:pPr>
              <w:pStyle w:val="Compact"/>
            </w:pPr>
            <w:r>
              <w:t xml:space="preserve">14.66</w:t>
            </w:r>
          </w:p>
        </w:tc>
        <w:tc>
          <w:tcPr/>
          <w:p>
            <w:pPr>
              <w:pStyle w:val="Compact"/>
            </w:pPr>
            <w:r>
              <w:t xml:space="preserve">13.83</w:t>
            </w:r>
          </w:p>
        </w:tc>
        <w:tc>
          <w:tcPr/>
          <w:p>
            <w:pPr>
              <w:pStyle w:val="Compact"/>
            </w:pPr>
            <w:r>
              <w:t xml:space="preserve">13.63</w:t>
            </w:r>
          </w:p>
        </w:tc>
        <w:tc>
          <w:tcPr/>
          <w:p>
            <w:pPr>
              <w:pStyle w:val="Compact"/>
            </w:pPr>
            <w:r>
              <w:t xml:space="preserve">13.02</w:t>
            </w:r>
          </w:p>
        </w:tc>
        <w:tc>
          <w:tcPr/>
          <w:p>
            <w:pPr>
              <w:pStyle w:val="Compact"/>
            </w:pPr>
            <w:r>
              <w:t xml:space="preserve">12.93</w:t>
            </w:r>
          </w:p>
        </w:tc>
      </w:tr>
    </w:tbl>
    <w:p>
      <w:pPr>
        <w:pStyle w:val="BodyText"/>
      </w:pPr>
      <w:r>
        <w:t xml:space="preserve">Whether a campaign should concentrate on the Ba/Mo optimum or spread across supports is a judgement</w:t>
      </w:r>
      <w:r>
        <w:t xml:space="preserve"> </w:t>
      </w:r>
      <w:r>
        <w:t xml:space="preserve">we would rather leave to the laboratory: twenty near-identical catalysts test one hypothesis twenty</w:t>
      </w:r>
      <w:r>
        <w:t xml:space="preserve"> </w:t>
      </w:r>
      <w:r>
        <w:t xml:space="preserve">times, but the alternative sacrifices predicted yield.</w:t>
      </w:r>
    </w:p>
    <w:bookmarkEnd w:id="44"/>
    <w:bookmarkStart w:id="45" w:name="relation-to-prior-work"/>
    <w:p>
      <w:pPr>
        <w:pStyle w:val="Heading2"/>
      </w:pPr>
      <w:r>
        <w:t xml:space="preserve">9. Relation to prior work</w:t>
      </w:r>
    </w:p>
    <w:p>
      <w:pPr>
        <w:pStyle w:val="FirstParagraph"/>
      </w:pPr>
      <w:r>
        <w:t xml:space="preserve">The mechanism of PFT — using a model’s prediction as an input feature — is</w:t>
      </w:r>
      <w:r>
        <w:t xml:space="preserve"> </w:t>
      </w:r>
      <w:r>
        <w:rPr>
          <w:b/>
          <w:bCs/>
        </w:rPr>
        <w:t xml:space="preserve">stacked generalisation</w:t>
      </w:r>
      <w:r>
        <w:t xml:space="preserve"> </w:t>
      </w:r>
      <w:r>
        <w:t xml:space="preserve">(Wolpert,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5, 1992, 241–259) applied across distributions.</w:t>
      </w:r>
      <w:r>
        <w:t xml:space="preserve"> </w:t>
      </w:r>
      <w:r>
        <w:t xml:space="preserve">“Prior Feature Transfer”</w:t>
      </w:r>
      <w:r>
        <w:t xml:space="preserve"> </w:t>
      </w:r>
      <w:r>
        <w:t xml:space="preserve">was our internal shorthand, not a standard term, and we note that</w:t>
      </w:r>
      <w:r>
        <w:t xml:space="preserve"> </w:t>
      </w:r>
      <w:r>
        <w:t xml:space="preserve">“feature transfer”</w:t>
      </w:r>
      <w:r>
        <w:t xml:space="preserve"> </w:t>
      </w:r>
      <w:r>
        <w:t xml:space="preserve">usually denotes</w:t>
      </w:r>
      <w:r>
        <w:t xml:space="preserve"> </w:t>
      </w:r>
      <w:r>
        <w:rPr>
          <w:i/>
          <w:iCs/>
        </w:rPr>
        <w:t xml:space="preserve">representation</w:t>
      </w:r>
      <w:r>
        <w:t xml:space="preserve"> </w:t>
      </w:r>
      <w:r>
        <w:t xml:space="preserve">transfer, which this is not.</w:t>
      </w:r>
    </w:p>
    <w:p>
      <w:pPr>
        <w:pStyle w:val="BodyText"/>
      </w:pPr>
      <w:r>
        <w:rPr>
          <w:b/>
          <w:bCs/>
        </w:rPr>
        <w:t xml:space="preserve">Our corrected understanding of when such a method can help.</w:t>
      </w:r>
      <w:r>
        <w:t xml:space="preserve"> </w:t>
      </w:r>
      <w:r>
        <w:t xml:space="preserve">Because the prior</w:t>
      </w:r>
      <w:r>
        <w:t xml:space="preserve"> </w:t>
      </w:r>
      <w:r>
        <w:rPr>
          <w:rStyle w:val="VerbatimChar"/>
        </w:rPr>
        <w:t xml:space="preserve">p = f(x)</w:t>
      </w:r>
      <w:r>
        <w:t xml:space="preserve"> </w:t>
      </w:r>
      <w:r>
        <w:t xml:space="preserve">is a</w:t>
      </w:r>
      <w:r>
        <w:t xml:space="preserve"> </w:t>
      </w:r>
      <w:r>
        <w:t xml:space="preserve">deterministic function of features the final model already has,</w:t>
      </w:r>
      <w:r>
        <w:t xml:space="preserve"> </w:t>
      </w:r>
      <w:r>
        <w:rPr>
          <w:rStyle w:val="VerbatimChar"/>
        </w:rPr>
        <w:t xml:space="preserve">I(y; x, f(x)) = I(y; x)</w:t>
      </w:r>
      <w:r>
        <w:t xml:space="preserve"> </w:t>
      </w:r>
      <w:r>
        <w:t xml:space="preserve">— it cannot</w:t>
      </w:r>
      <w:r>
        <w:t xml:space="preserve"> </w:t>
      </w:r>
      <w:r>
        <w:t xml:space="preserve">add information. It can only supply an inductive bias, or exploit source data covering regions the</w:t>
      </w:r>
      <w:r>
        <w:t xml:space="preserve"> </w:t>
      </w:r>
      <w:r>
        <w:t xml:space="preserve">target data does not. Our results indicate neither applies here at the scale that matters, for three</w:t>
      </w:r>
      <w:r>
        <w:t xml:space="preserve"> </w:t>
      </w:r>
      <w:r>
        <w:t xml:space="preserve">reasons: ~78.5 % of the literature is out-of-distribution relative to the lab; quantile normalisation</w:t>
      </w:r>
      <w:r>
        <w:t xml:space="preserve"> </w:t>
      </w:r>
      <w:r>
        <w:t xml:space="preserve">aligns marginal but not conditional distributions; and literature yields are measured under each</w:t>
      </w:r>
      <w:r>
        <w:t xml:space="preserve"> </w:t>
      </w:r>
      <w:r>
        <w:t xml:space="preserve">paper’s own conditions, whereas our target is the maximum over a standardised battery — semantically</w:t>
      </w:r>
      <w:r>
        <w:t xml:space="preserve"> </w:t>
      </w:r>
      <w:r>
        <w:t xml:space="preserve">different quantities.</w:t>
      </w:r>
      <w:r>
        <w:t xml:space="preserve"> </w:t>
      </w:r>
      <w:r>
        <w:rPr>
          <w:b/>
          <w:bCs/>
        </w:rPr>
        <w:t xml:space="preserve">The honest scope statement is that this family of methods is a local-coverage</w:t>
      </w:r>
      <w:r>
        <w:rPr>
          <w:b/>
          <w:bCs/>
        </w:rPr>
        <w:t xml:space="preserve"> </w:t>
      </w:r>
      <w:r>
        <w:rPr>
          <w:b/>
          <w:bCs/>
        </w:rPr>
        <w:t xml:space="preserve">tool, not a global-information tool.</w:t>
      </w:r>
    </w:p>
    <w:p>
      <w:pPr>
        <w:pStyle w:val="BodyText"/>
      </w:pPr>
      <w:r>
        <w:t xml:space="preserve">Related approaches remain distinct: Δ-machine-learning (Ramakrishnan et al.,</w:t>
      </w:r>
      <w:r>
        <w:t xml:space="preserve"> </w:t>
      </w:r>
      <w:r>
        <w:rPr>
          <w:i/>
          <w:iCs/>
        </w:rPr>
        <w:t xml:space="preserve">JCTC</w:t>
      </w:r>
      <w:r>
        <w:t xml:space="preserve"> </w:t>
      </w:r>
      <w:r>
        <w:t xml:space="preserve">11, 2015, 2087)</w:t>
      </w:r>
      <w:r>
        <w:t xml:space="preserve"> </w:t>
      </w:r>
      <w:r>
        <w:t xml:space="preserve">adds a source estimate as an additive baseline, inheriting its scale; importance weighting (Huang et</w:t>
      </w:r>
      <w:r>
        <w:t xml:space="preserve"> </w:t>
      </w:r>
      <w:r>
        <w:t xml:space="preserve">al., NIPS 2006; Sugiyama et al.,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8, 2007) corrects which records are used but keeps source</w:t>
      </w:r>
      <w:r>
        <w:t xml:space="preserve"> </w:t>
      </w:r>
      <w:r>
        <w:t xml:space="preserve">labels in the objective — our DRST and KMM baselines are instances; label-shift correction (Lipton et</w:t>
      </w:r>
      <w:r>
        <w:t xml:space="preserve"> </w:t>
      </w:r>
      <w:r>
        <w:t xml:space="preserve">al., ICML 2018) reweights to correct the label distribution.</w:t>
      </w:r>
    </w:p>
    <w:bookmarkEnd w:id="45"/>
    <w:bookmarkStart w:id="46" w:name="limitations-and-next-steps"/>
    <w:p>
      <w:pPr>
        <w:pStyle w:val="Heading2"/>
      </w:pPr>
      <w:r>
        <w:t xml:space="preserve">10. Limitations and next steps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literature contribution is not demonstrated.</w:t>
      </w:r>
      <w:r>
        <w:t xml:space="preserve"> </w:t>
      </w:r>
      <w:r>
        <w:t xml:space="preserve">Four designs plus a 28-family follow-up all</w:t>
      </w:r>
      <w:r>
        <w:t xml:space="preserve"> </w:t>
      </w:r>
      <w:r>
        <w:t xml:space="preserve">returned null. We report this rather than continue searching for a variant that scores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Novel promoter families cannot be priced.</w:t>
      </w:r>
      <w:r>
        <w:t xml:space="preserve"> </w:t>
      </w:r>
      <w:r>
        <w:t xml:space="preserve">This is structural, not a modelling deficiency — but</w:t>
      </w:r>
      <w:r>
        <w:t xml:space="preserve"> </w:t>
      </w:r>
      <w:r>
        <w:t xml:space="preserve">§7 quantifies the data required to remove the limitation.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target carries a measurement-effort confound.</w:t>
      </w:r>
      <w:r>
        <w:t xml:space="preserve"> </w:t>
      </w:r>
      <w:r>
        <w:t xml:space="preserve">47 catalysts have fewer than 20 measurements</w:t>
      </w:r>
      <w:r>
        <w:t xml:space="preserve"> </w:t>
      </w:r>
      <w:r>
        <w:t xml:space="preserve">and systematically low maxima; part is a pure sampling effect, part appears to be deliberate early</w:t>
      </w:r>
      <w:r>
        <w:t xml:space="preserve"> </w:t>
      </w:r>
      <w:r>
        <w:t xml:space="preserve">stopping. Excluding them changes our headline metric by 0.002, so nothing hinges on it — but we</w:t>
      </w:r>
      <w:r>
        <w:t xml:space="preserve"> </w:t>
      </w:r>
      <w:r>
        <w:t xml:space="preserve">would welcome confirmation of which it 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unrecorded reaction conditions are the largest single opportunity.</w:t>
      </w:r>
      <w:r>
        <w:t xml:space="preserve"> </w:t>
      </w:r>
      <w:r>
        <w:t xml:space="preserve">If those ~27 variables</w:t>
      </w:r>
      <w:r>
        <w:t xml:space="preserve"> </w:t>
      </w:r>
      <w:r>
        <w:t xml:space="preserve">exist in a retrievable form, the 18.2 % irreducible variance becomes partly learnable and</w:t>
      </w:r>
      <w:r>
        <w:t xml:space="preserve"> </w:t>
      </w:r>
      <w:r>
        <w:t xml:space="preserve">condition-level modelling becomes meaningful.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Cross-preparation transfer is now measured, and it is where literature data finally helps.</w:t>
      </w:r>
      <w:r>
        <w:t xml:space="preserve"> </w:t>
      </w:r>
      <w:r>
        <w:t xml:space="preserve">Predicting</w:t>
      </w:r>
      <w:r>
        <w:t xml:space="preserve"> </w:t>
      </w:r>
      <w:r>
        <w:rPr>
          <w:i/>
          <w:iCs/>
        </w:rPr>
        <w:t xml:space="preserve">impregnation</w:t>
      </w:r>
      <w:r>
        <w:t xml:space="preserve"> </w:t>
      </w:r>
      <w:r>
        <w:t xml:space="preserve">literature (different source, same preparation) gives ρ = 0.398; predicting</w:t>
      </w:r>
      <w:r>
        <w:t xml:space="preserve"> </w:t>
      </w:r>
      <w:r>
        <w:rPr>
          <w:i/>
          <w:iCs/>
        </w:rPr>
        <w:t xml:space="preserve">non-impregnation</w:t>
      </w:r>
      <w:r>
        <w:t xml:space="preserve"> </w:t>
      </w:r>
      <w:r>
        <w:t xml:space="preserve">literature gives ρ = 0.238 — so changing preparation costs a further 0.160. At that</w:t>
      </w:r>
      <w:r>
        <w:t xml:space="preserve"> </w:t>
      </w:r>
      <w:r>
        <w:t xml:space="preserve">range the model is not usable for selection out of preparation: its top-decile picks average 11.35 %</w:t>
      </w:r>
      <w:r>
        <w:t xml:space="preserve"> </w:t>
      </w:r>
      <w:r>
        <w:t xml:space="preserve">true yield against a population mean of 10.33 %, while the genuine top decile averages 21.88 %</w:t>
      </w:r>
      <w:r>
        <w:t xml:space="preserve"> </w:t>
      </w:r>
      <w:r>
        <w:t xml:space="preserve">(enrichment 0.42×, i.e. no better than random).</w:t>
      </w:r>
      <w:r>
        <w:t xml:space="preserve"> </w:t>
      </w:r>
      <w:r>
        <w:rPr>
          <w:b/>
          <w:bCs/>
        </w:rPr>
        <w:t xml:space="preserve">But adding impregnation literature to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raises ρ from 0.238 to 0.388 (+0.150, 5/5 seeds)</w:t>
      </w:r>
      <w:r>
        <w:t xml:space="preserve"> </w:t>
      </w:r>
      <w:r>
        <w:t xml:space="preserve">— the first setting in this study where literature</w:t>
      </w:r>
      <w:r>
        <w:t xml:space="preserve"> </w:t>
      </w:r>
      <w:r>
        <w:t xml:space="preserve">data measurably helps, and consistent with the scope statement in §9: the lab has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coverage of</w:t>
      </w:r>
      <w:r>
        <w:t xml:space="preserve"> </w:t>
      </w:r>
      <w:r>
        <w:t xml:space="preserve">non-impregnation chemistry, so the literature supplies genuinely new information there. Two caveats:</w:t>
      </w:r>
      <w:r>
        <w:t xml:space="preserve"> </w:t>
      </w:r>
      <w:r>
        <w:t xml:space="preserve">absolute performance remains poor, and plain merging outperforms the prior-feature construction</w:t>
      </w:r>
      <w:r>
        <w:t xml:space="preserve"> </w:t>
      </w:r>
      <w:r>
        <w:t xml:space="preserve">(0.388 vs 0.318). Details in</w:t>
      </w:r>
      <w:r>
        <w:t xml:space="preserve"> </w:t>
      </w:r>
      <w:r>
        <w:rPr>
          <w:rStyle w:val="VerbatimChar"/>
        </w:rPr>
        <w:t xml:space="preserve">phase7_prep_ood.py</w:t>
      </w:r>
      <w:r>
        <w:t xml:space="preserve">; this supersedes the earlier row-level OOD numbers.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Prospective validation</w:t>
      </w:r>
      <w:r>
        <w:t xml:space="preserve"> </w:t>
      </w:r>
      <w:r>
        <w:t xml:space="preserve">is the natural next step, and we would pre-register the expected hit rate</w:t>
      </w:r>
      <w:r>
        <w:t xml:space="preserve"> </w:t>
      </w:r>
      <w:r>
        <w:t xml:space="preserve">(precision@20, CI 0.15–0.65) before any results arrive.</w:t>
      </w:r>
    </w:p>
    <w:p>
      <w:pPr>
        <w:pStyle w:val="FirstParagraph"/>
      </w:pPr>
      <w:r>
        <w:rPr>
          <w:i/>
          <w:iCs/>
        </w:rPr>
        <w:t xml:space="preserve">All numbers in this note are stored outputs of the scripts named at the head of the document; each</w:t>
      </w:r>
      <w:r>
        <w:rPr>
          <w:i/>
          <w:iCs/>
        </w:rPr>
        <w:t xml:space="preserve"> </w:t>
      </w:r>
      <w:r>
        <w:rPr>
          <w:i/>
          <w:iCs/>
        </w:rPr>
        <w:t xml:space="preserve">figure is generated from the corresponding experiment’s JSON so that figures cannot drift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experiments that produced them.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22" Target="media/rId22.png" /><Relationship Type="http://schemas.openxmlformats.org/officeDocument/2006/relationships/image" Id="rId18" Target="media/rId18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40" Target="media/rId40.png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2026-08-23T10:23:36Z</dcterms:created>
  <dcterms:modified xsi:type="dcterms:W3CDTF">2026-08-23T10:23:36Z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