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10.6 %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10.6 % (v1: 1.907 vs baseline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supported.</w:t>
            </w:r>
            <w:r>
              <w:t xml:space="preserve"> </w:t>
            </w:r>
            <w:r>
              <w:t xml:space="preserve">Label treatment moves RMSE by 0.001–0.023, which at 3 seeds is inside run-to-run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 over all 917 catalysts, 0.724 on the 771 with comparable measurement effort;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4,399 (catalyst, temperature)</w:t>
      </w:r>
      <w:r>
        <w:t xml:space="preserve"> </w:t>
      </w:r>
      <w:r>
        <w:t xml:space="preserve">cells holding 20.2 rows on average. Your description of these rows as measurements</w:t>
      </w:r>
      <w:r>
        <w:t xml:space="preserve"> </w:t>
      </w:r>
      <w:r>
        <w:rPr>
          <w:i/>
          <w:iCs/>
        </w:rPr>
        <w:t xml:space="preserve">under 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reaction conditions</w:t>
      </w:r>
      <w:r>
        <w:t xml:space="preserve"> </w:t>
      </w:r>
      <w:r>
        <w:t xml:space="preserve">is borne out by the row counts themselves, and we should have taken it more</w:t>
      </w:r>
      <w:r>
        <w:t xml:space="preserve"> </w:t>
      </w:r>
      <w:r>
        <w:t xml:space="preserve">literally than we first did. Cell sizes have a hard ceiling at exactly</w:t>
      </w:r>
      <w:r>
        <w:t xml:space="preserve"> </w:t>
      </w:r>
      <w:r>
        <w:rPr>
          <w:b/>
          <w:bCs/>
        </w:rPr>
        <w:t xml:space="preserve">27</w:t>
      </w:r>
      <w:r>
        <w:t xml:space="preserve">, a second at exactly</w:t>
      </w:r>
      <w:r>
        <w:t xml:space="preserve"> </w:t>
      </w:r>
      <w:r>
        <w:rPr>
          <w:b/>
          <w:bCs/>
        </w:rPr>
        <w:t xml:space="preserve">54 = 2 × 27</w:t>
      </w:r>
      <w:r>
        <w:t xml:space="preserve">, and nothing above;</w:t>
      </w:r>
      <w:r>
        <w:t xml:space="preserve"> </w:t>
      </w:r>
      <w:r>
        <w:rPr>
          <w:b/>
          <w:bCs/>
        </w:rPr>
        <w:t xml:space="preserve">15 catalysts hold exactly 135 rows, and all 15 decompose as</w:t>
      </w:r>
      <w:r>
        <w:rPr>
          <w:b/>
          <w:bCs/>
        </w:rPr>
        <w:t xml:space="preserve"> </w:t>
      </w:r>
      <w:r>
        <w:rPr>
          <w:b/>
          <w:bCs/>
        </w:rPr>
        <w:t xml:space="preserve">exactly (27, 27, 27, 27, 27)</w:t>
      </w:r>
      <w:r>
        <w:t xml:space="preserve">. That is</w:t>
      </w:r>
      <w:r>
        <w:t xml:space="preserve"> </w:t>
      </w:r>
      <w:r>
        <w:rPr>
          <w:b/>
          <w:bCs/>
        </w:rPr>
        <w:t xml:space="preserve">5 temperatures × 27 condition settings = 135</w:t>
      </w:r>
      <w:r>
        <w:t xml:space="preserve">, matching</w:t>
      </w:r>
      <w:r>
        <w:t xml:space="preserve"> </w:t>
      </w:r>
      <w:r>
        <w:t xml:space="preserve">the 135 conditions you describe. We also tested the competing reading that 27 was an export cut-off</w:t>
      </w:r>
      <w:r>
        <w:t xml:space="preserve"> </w:t>
      </w:r>
      <w:r>
        <w:t xml:space="preserve">rather than a design size, and rejected it: the spacing between the two lowest values in a 27-row</w:t>
      </w:r>
      <w:r>
        <w:t xml:space="preserve"> </w:t>
      </w:r>
      <w:r>
        <w:t xml:space="preserve">cell is 2.03× the interior spacing, whereas artificially truncating a larger cell to 27 rows gives</w:t>
      </w:r>
      <w:r>
        <w:t xml:space="preserve"> </w:t>
      </w:r>
      <w:r>
        <w:t xml:space="preserve">0.90× — the signature of a complete sample rather than a truncated one.</w:t>
      </w:r>
    </w:p>
    <w:p>
      <w:pPr>
        <w:pStyle w:val="BodyText"/>
      </w:pPr>
      <w:r>
        <w:t xml:space="preserve">The consequence is that these rows are</w:t>
      </w:r>
      <w:r>
        <w:t xml:space="preserve"> </w:t>
      </w:r>
      <w:r>
        <w:rPr>
          <w:b/>
          <w:bCs/>
        </w:rPr>
        <w:t xml:space="preserve">not replicates</w:t>
      </w:r>
      <w:r>
        <w:t xml:space="preserve">, and the variation across them is not</w:t>
      </w:r>
      <w:r>
        <w:t xml:space="preserve"> </w:t>
      </w:r>
      <w:r>
        <w:t xml:space="preserve">measurement noise. Because those 27 condition settings are absent from the feature table,</w:t>
      </w:r>
      <w:r>
        <w:t xml:space="preserve"> </w:t>
      </w:r>
      <w:r>
        <w:rPr>
          <w:b/>
          <w:bCs/>
        </w:rPr>
        <w:t xml:space="preserve">19.9 %</w:t>
      </w:r>
      <w:r>
        <w:rPr>
          <w:b/>
          <w:bCs/>
        </w:rPr>
        <w:t xml:space="preserve"> </w:t>
      </w:r>
      <w:r>
        <w:rPr>
          <w:b/>
          <w:bCs/>
        </w:rPr>
        <w:t xml:space="preserve">of total yield variance lies within cells</w:t>
      </w:r>
      <w:r>
        <w:t xml:space="preserve"> </w:t>
      </w:r>
      <w:r>
        <w:t xml:space="preserve">and cannot be reached from composition and temperature</w:t>
      </w:r>
      <w:r>
        <w:t xml:space="preserve"> </w:t>
      </w:r>
      <w:r>
        <w:t xml:space="preserve">alone, which floors row-level RMSE at</w:t>
      </w:r>
      <w:r>
        <w:t xml:space="preserve"> </w:t>
      </w:r>
      <w:r>
        <w:rPr>
          <w:b/>
          <w:bCs/>
        </w:rPr>
        <w:t xml:space="preserve">1.757</w:t>
      </w:r>
      <w:r>
        <w:t xml:space="preserve">. This is a property of the missing columns, not an</w:t>
      </w:r>
      <w:r>
        <w:t xml:space="preserve"> </w:t>
      </w:r>
      <w:r>
        <w:t xml:space="preserve">irreducible physical limit — recovering the condition data would make most of it learnable.</w:t>
      </w:r>
    </w:p>
    <w:p>
      <w:pPr>
        <w:pStyle w:val="BodyText"/>
      </w:pPr>
      <w:r>
        <w:t xml:space="preserve">Version 1 reported 1.907 — only 0.15 above that floor. In hindsight this should itself have prompted</w:t>
      </w:r>
      <w:r>
        <w:t xml:space="preserve"> </w:t>
      </w:r>
      <w:r>
        <w:t xml:space="preserve">suspicion: a model cannot approach a floor that assumes knowledge of each catalyst’s own cell means</w:t>
      </w:r>
      <w:r>
        <w:t xml:space="preserve"> </w:t>
      </w:r>
      <w:r>
        <w:t xml:space="preserve">unless it has, in effect, memorised those catalysts. Point-wise RMSE is therefore not merely less</w:t>
      </w:r>
      <w:r>
        <w:t xml:space="preserve"> </w:t>
      </w:r>
      <w:r>
        <w:t xml:space="preserve">relevant than catalyst-level metrics here; it is close to uninformative — and it is precisely the</w:t>
      </w:r>
      <w:r>
        <w:t xml:space="preserve"> </w:t>
      </w:r>
      <w:r>
        <w:t xml:space="preserve">metric that a catalyst-identity leak flatters most.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2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0.792).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readings of the same ablation grid point to the mechanism (they share one 3-seed run, so we do</w:t>
      </w:r>
      <w:r>
        <w:t xml:space="preserve"> </w:t>
      </w:r>
      <w:r>
        <w:t xml:space="preserve">not present them as independent experiments):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−2.4 %</w:t>
      </w:r>
      <w:r>
        <w:t xml:space="preserve"> </w:t>
      </w:r>
      <w:r>
        <w:t xml:space="preserve">(QN prior) or</w:t>
      </w:r>
      <w:r>
        <w:t xml:space="preserve"> </w:t>
      </w:r>
      <w:r>
        <w:rPr>
          <w:b/>
          <w:bCs/>
        </w:rPr>
        <w:t xml:space="preserve">−2.7 %</w:t>
      </w:r>
      <w:r>
        <w:t xml:space="preserve"> </w:t>
      </w:r>
      <w:r>
        <w:t xml:space="preserve">(rank prior)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, 3 seeds) is worse than literature-only (</w:t>
      </w:r>
      <w:r>
        <w:rPr>
          <w:b/>
          <w:bCs/>
        </w:rPr>
        <w:t xml:space="preserve">2.938</w:t>
      </w:r>
      <w:r>
        <w:t xml:space="preserve">, rank prior, 3 seeds)</w:t>
      </w:r>
    </w:p>
    <w:p>
      <w:pPr>
        <w:pStyle w:val="Compact"/>
        <w:numPr>
          <w:ilvl w:val="0"/>
          <w:numId w:val="1001"/>
        </w:numPr>
      </w:pPr>
      <w:r>
        <w:t xml:space="preserve">On those same three seeds, literature-only (2.938) and the baseline (2.928) are indistinguishable</w:t>
      </w:r>
    </w:p>
    <w:p>
      <w:pPr>
        <w:pStyle w:val="FirstParagraph"/>
      </w:pPr>
      <w:r>
        <w:rPr>
          <w:i/>
          <w:iCs/>
        </w:rPr>
        <w:t xml:space="preserve">(Seed counts differ between these checks and the headline table. The headline PFT figure of 2.995 is a</w:t>
      </w:r>
      <w:r>
        <w:rPr>
          <w:i/>
          <w:iCs/>
        </w:rPr>
        <w:t xml:space="preserve"> </w:t>
      </w:r>
      <w:r>
        <w:rPr>
          <w:i/>
          <w:iCs/>
        </w:rPr>
        <w:t xml:space="preserve">5-seed mean; 2.982 is the same configuration over the first 3 seeds only. The ablation grid ran at 3</w:t>
      </w:r>
      <w:r>
        <w:rPr>
          <w:i/>
          <w:iCs/>
        </w:rPr>
        <w:t xml:space="preserve"> </w:t>
      </w:r>
      <w:r>
        <w:rPr>
          <w:i/>
          <w:iCs/>
        </w:rPr>
        <w:t xml:space="preserve">seeds throughout.)</w:t>
      </w:r>
    </w:p>
    <w:p>
      <w:pPr>
        <w:pStyle w:val="BodyText"/>
      </w:pPr>
      <w:r>
        <w:rPr>
          <w:b/>
          <w:bCs/>
        </w:rPr>
        <w:t xml:space="preserve">Your quantile-normalisation hypothesis is supported, though we will not state it as strongly as we</w:t>
      </w:r>
      <w:r>
        <w:rPr>
          <w:b/>
          <w:bCs/>
        </w:rPr>
        <w:t xml:space="preserve"> </w:t>
      </w:r>
      <w:r>
        <w:rPr>
          <w:b/>
          <w:bCs/>
        </w:rPr>
        <w:t xml:space="preserve">first did.</w:t>
      </w:r>
      <w:r>
        <w:t xml:space="preserve"> </w:t>
      </w:r>
      <w:r>
        <w:t xml:space="preserve">We compared the three label treatments you named under both protocols. The gaps are:</w:t>
      </w:r>
      <w:r>
        <w:t xml:space="preserve"> </w:t>
      </w:r>
      <w:r>
        <w:t xml:space="preserve">row-level 0.006 (QN vs raw) and 0.006 (QN vs rank); catalyst-grouped 0.023 (QN vs raw) and 0.001</w:t>
      </w:r>
      <w:r>
        <w:t xml:space="preserve"> </w:t>
      </w:r>
      <w:r>
        <w:t xml:space="preserve">(QN vs rank). The largest gap sits under our primary protocol, and it is close to the run-to-run</w:t>
      </w:r>
      <w:r>
        <w:t xml:space="preserve"> </w:t>
      </w:r>
      <w:r>
        <w:t xml:space="preserve">spread there (per-configuration standard deviations of 0.022 and 0.035 over 3 seeds). The honest</w:t>
      </w:r>
      <w:r>
        <w:t xml:space="preserve"> </w:t>
      </w:r>
      <w:r>
        <w:t xml:space="preserve">statement is therefore that</w:t>
      </w:r>
      <w:r>
        <w:t xml:space="preserve"> </w:t>
      </w:r>
      <w:r>
        <w:rPr>
          <w:b/>
          <w:bCs/>
        </w:rPr>
        <w:t xml:space="preserve">no label treatment is distinguishable from another at this seed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not that the effect is exact. On that evidence the normalisation step can be dropped without</w:t>
      </w:r>
      <w:r>
        <w:t xml:space="preserve"> </w:t>
      </w:r>
      <w:r>
        <w:t xml:space="preserve">a measurable penalty, which is the practical conclusion you anticipated.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(Spearman 0.760 vs 0.766, within seed noise) while</w:t>
      </w:r>
      <w:r>
        <w:t xml:space="preserve"> </w:t>
      </w:r>
      <w:r>
        <w:t xml:space="preserve">training on ~100× fewer rows.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All 917 catalysts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  <w:tc>
          <w:tcPr/>
          <w:p>
            <w:pPr>
              <w:pStyle w:val="Compact"/>
            </w:pPr>
            <w:r>
              <w:t xml:space="preserve">Equal-effort set (771)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</w:tbl>
    <w:p>
      <w:pPr>
        <w:pStyle w:val="BodyText"/>
      </w:pPr>
      <w:r>
        <w:t xml:space="preserve">We quote intervals rather than point estimates: with 92 catalysts in the top decile of 917,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BodyText"/>
      </w:pPr>
      <w:r>
        <w:rPr>
          <w:b/>
          <w:bCs/>
        </w:rPr>
        <w:t xml:space="preserve">Why the second column exists, and why we consider it the honest one.</w:t>
      </w:r>
      <w:r>
        <w:t xml:space="preserve"> </w:t>
      </w:r>
      <w:r>
        <w:t xml:space="preserve">Grid coverage in your data</w:t>
      </w:r>
      <w:r>
        <w:t xml:space="preserve"> </w:t>
      </w:r>
      <w:r>
        <w:t xml:space="preserve">is coupled to performance — cells that were run further contain better yields — so a score computed</w:t>
      </w:r>
      <w:r>
        <w:t xml:space="preserve"> </w:t>
      </w:r>
      <w:r>
        <w:t xml:space="preserve">over all 917 catalysts is partly a record of which experiments were carried to completion. The</w:t>
      </w:r>
      <w:r>
        <w:t xml:space="preserve"> </w:t>
      </w:r>
      <w:r>
        <w:rPr>
          <w:i/>
          <w:iCs/>
        </w:rPr>
        <w:t xml:space="preserve">equal-effort set</w:t>
      </w:r>
      <w:r>
        <w:t xml:space="preserve"> </w:t>
      </w:r>
      <w:r>
        <w:t xml:space="preserve">is the 771 catalysts with at least 20 measurements in at least one temperature</w:t>
      </w:r>
      <w:r>
        <w:t xml:space="preserve"> </w:t>
      </w:r>
      <w:r>
        <w:t xml:space="preserve">cell; on that set the coupling is gone by measurement rather than by assumption, with</w:t>
      </w:r>
      <w:r>
        <w:t xml:space="preserve"> </w:t>
      </w:r>
      <w:r>
        <w:t xml:space="preserve">Spearman(measurement count, observed maximum) falling from</w:t>
      </w:r>
      <w:r>
        <w:t xml:space="preserve"> </w:t>
      </w:r>
      <w:r>
        <w:rPr>
          <w:b/>
          <w:bCs/>
        </w:rPr>
        <w:t xml:space="preserve">+0.293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+0.003</w:t>
      </w:r>
      <w:r>
        <w:t xml:space="preserve">. Moving to it</w:t>
      </w:r>
      <w:r>
        <w:t xml:space="preserve"> </w:t>
      </w:r>
      <w:r>
        <w:t xml:space="preserve">costs us 0.037 Spearman and 0.51× enrichment.</w:t>
      </w:r>
    </w:p>
    <w:p>
      <w:pPr>
        <w:pStyle w:val="BodyText"/>
      </w:pPr>
      <w:r>
        <w:t xml:space="preserve">That drop is not an artifact of scoring fewer catalysts. Drawing 300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771-catalyst subsets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predictions gives Spearman 0.767 with a 95 % range of 0.756 – 0.780; the equal-effort</w:t>
      </w:r>
      <w:r>
        <w:t xml:space="preserve"> </w:t>
      </w:r>
      <w:r>
        <w:t xml:space="preserve">value of 0.724 lies below that range.</w:t>
      </w:r>
    </w:p>
    <w:p>
      <w:pPr>
        <w:pStyle w:val="BodyText"/>
      </w:pPr>
      <w:r>
        <w:rPr>
          <w:b/>
          <w:bCs/>
        </w:rPr>
        <w:t xml:space="preserve">A negative control we think is worth more than either number.</w:t>
      </w:r>
      <w:r>
        <w:t xml:space="preserve"> </w:t>
      </w:r>
      <w:r>
        <w:t xml:space="preserve">We refitted the identical model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number of measurements</w:t>
      </w:r>
      <w:r>
        <w:t xml:space="preserve"> </w:t>
      </w:r>
      <w:r>
        <w:t xml:space="preserve">as its target — it never sees a yield — and ranked catalysts by</w:t>
      </w:r>
      <w:r>
        <w:t xml:space="preserve"> </w:t>
      </w:r>
      <w:r>
        <w:t xml:space="preserve">predicted measurement effort. That ranking reaches</w:t>
      </w:r>
      <w:r>
        <w:t xml:space="preserve"> </w:t>
      </w:r>
      <w:r>
        <w:rPr>
          <w:b/>
          <w:bCs/>
        </w:rPr>
        <w:t xml:space="preserve">Spearman 0.400</w:t>
      </w:r>
      <w:r>
        <w:t xml:space="preserve"> </w:t>
      </w:r>
      <w:r>
        <w:t xml:space="preserve">against observed maximum yield,</w:t>
      </w:r>
      <w:r>
        <w:t xml:space="preserve"> </w:t>
      </w:r>
      <w:r>
        <w:t xml:space="preserve">but its enrichment is</w:t>
      </w:r>
      <w:r>
        <w:t xml:space="preserve"> </w:t>
      </w:r>
      <w:r>
        <w:rPr>
          <w:b/>
          <w:bCs/>
        </w:rPr>
        <w:t xml:space="preserve">0.87×</w:t>
      </w:r>
      <w:r>
        <w:t xml:space="preserve">, i.e. no better than choosing at random. So rank correlation is</w:t>
      </w:r>
      <w:r>
        <w:t xml:space="preserve"> </w:t>
      </w:r>
      <w:r>
        <w:t xml:space="preserve">partly purchasable from experimental effort, whereas enrichment is not. This is the concrete reason</w:t>
      </w:r>
      <w:r>
        <w:t xml:space="preserve"> </w:t>
      </w:r>
      <w:r>
        <w:t xml:space="preserve">we treat enrichment, not ρ, as the primary screening metric — and it is the sharpest test we could</w:t>
      </w:r>
      <w:r>
        <w:t xml:space="preserve"> </w:t>
      </w:r>
      <w:r>
        <w:t xml:space="preserve">devise of whether the model is merely recognising which catalysts you chose to finish.</w:t>
      </w:r>
    </w:p>
    <w:p>
      <w:pPr>
        <w:pStyle w:val="BodyText"/>
      </w:pPr>
      <w:r>
        <w:t xml:space="preserve">One consequence for campaign design. Inside the model’s own top-ranked catalysts — the only regime a</w:t>
      </w:r>
      <w:r>
        <w:t xml:space="preserve"> </w:t>
      </w:r>
      <w:r>
        <w:t xml:space="preserve">synthesis campaign ever occupies — the internal ranking carries little information: ρ within the top</w:t>
      </w:r>
      <w:r>
        <w:t xml:space="preserve"> </w:t>
      </w:r>
      <w:r>
        <w:t xml:space="preserve">150 predictions is</w:t>
      </w:r>
      <w:r>
        <w:t xml:space="preserve"> </w:t>
      </w:r>
      <w:r>
        <w:rPr>
          <w:b/>
          <w:bCs/>
        </w:rPr>
        <w:t xml:space="preserve">0.179</w:t>
      </w:r>
      <w:r>
        <w:t xml:space="preserve">, and within the top 20 it is</w:t>
      </w:r>
      <w:r>
        <w:t xml:space="preserve"> </w:t>
      </w:r>
      <w:r>
        <w:rPr>
          <w:b/>
          <w:bCs/>
        </w:rPr>
        <w:t xml:space="preserve">−0.066</w:t>
      </w:r>
      <w:r>
        <w:t xml:space="preserve">. The model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well (its</w:t>
      </w:r>
      <w:r>
        <w:t xml:space="preserve"> </w:t>
      </w:r>
      <w:r>
        <w:t xml:space="preserve">top 20 average 17.3 % observed maximum against ~10.5 % for the library as a whole) but does not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within its own selection. A shortlist should therefore be treated as a set to be tested, not</w:t>
      </w:r>
      <w:r>
        <w:t xml:space="preserve"> </w:t>
      </w:r>
      <w:r>
        <w:t xml:space="preserve">as a league table, and a campaign small enough to fit inside that regime cannot by itself confirm or</w:t>
      </w:r>
      <w:r>
        <w:t xml:space="preserve"> </w:t>
      </w:r>
      <w:r>
        <w:t xml:space="preserve">refute the model.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the most</w:t>
      </w:r>
      <w:r>
        <w:t xml:space="preserve"> </w:t>
      </w:r>
      <w:r>
        <w:rPr>
          <w:i/>
          <w:iCs/>
        </w:rPr>
        <w:t xml:space="preserve">consequential</w:t>
      </w:r>
      <w:r>
        <w:t xml:space="preserve"> </w:t>
      </w:r>
      <w:r>
        <w:t xml:space="preserve">family to lose, not the hardest to predict. Across all 28 families we</w:t>
      </w:r>
      <w:r>
        <w:t xml:space="preserve"> </w:t>
      </w:r>
      <w:r>
        <w:t xml:space="preserve">tested, five score below Ba’s 0.526: Pd 0.217, Cu 0.286, Al 0.329, Ni 0.329 and Co 0.493. What sets Ba</w:t>
      </w:r>
      <w:r>
        <w:t xml:space="preserve"> </w:t>
      </w:r>
      <w:r>
        <w:t xml:space="preserve">apart is its weight. It holds 78 % of the top decile, so losing it removes the high-yield regime</w:t>
      </w:r>
      <w:r>
        <w:t xml:space="preserve"> </w:t>
      </w:r>
      <w:r>
        <w:t xml:space="preserve">itself, and it gains far more than any other family from seeing its own members (+0.175, against</w:t>
      </w:r>
      <w:r>
        <w:t xml:space="preserve"> </w:t>
      </w:r>
      <w:r>
        <w:t xml:space="preserve">+0.047 to +0.079 elsewhere).</w:t>
      </w:r>
    </w:p>
    <w:p>
      <w:pPr>
        <w:pStyle w:val="BodyText"/>
      </w:pPr>
      <w:r>
        <w:rPr>
          <w:b/>
          <w:bCs/>
        </w:rPr>
        <w:t xml:space="preserve">On the data budget</w:t>
      </w:r>
      <w:r>
        <w:t xml:space="preserve">, the threshold depends entirely on how</w:t>
      </w:r>
      <w:r>
        <w:t xml:space="preserve"> </w:t>
      </w:r>
      <w:r>
        <w:t xml:space="preserve">“80 % of achievable performance”</w:t>
      </w:r>
      <w:r>
        <w:t xml:space="preserve"> </w:t>
      </w:r>
      <w:r>
        <w:t xml:space="preserve">is</w:t>
      </w:r>
      <w:r>
        <w:t xml:space="preserve"> </w:t>
      </w:r>
      <w:r>
        <w:t xml:space="preserve">defined, and the two natural readings differ by a factor of five. We give both rather than quote one.</w:t>
      </w:r>
    </w:p>
    <w:p>
      <w:pPr>
        <w:pStyle w:val="BodyText"/>
      </w:pPr>
      <w:r>
        <w:t xml:space="preserve">For Ba the learning curve runs 0.509 (no Ba in training) → 0.565 (10 members) → 0.616 (25) → 0.651</w:t>
      </w:r>
      <w:r>
        <w:t xml:space="preserve"> </w:t>
      </w:r>
      <w:r>
        <w:t xml:space="preserve">(50) → 0.683 (all 204). Taking 80 % of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(0.8 × 0.683 = 0.547) puts the threshold at</w:t>
      </w:r>
      <w:r>
        <w:t xml:space="preserve"> </w:t>
      </w:r>
      <w:r>
        <w:rPr>
          <w:b/>
          <w:bCs/>
        </w:rPr>
        <w:t xml:space="preserve">10 members</w:t>
      </w:r>
      <w:r>
        <w:t xml:space="preserve">; taking 80 % of the</w:t>
      </w:r>
      <w:r>
        <w:t xml:space="preserve"> </w:t>
      </w:r>
      <w:r>
        <w:rPr>
          <w:b/>
          <w:bCs/>
        </w:rPr>
        <w:t xml:space="preserve">gain from seeing the family</w:t>
      </w:r>
      <w:r>
        <w:t xml:space="preserve"> </w:t>
      </w:r>
      <w:r>
        <w:t xml:space="preserve">(0.509 + 0.8 × 0.174 = 0.648) puts</w:t>
      </w:r>
      <w:r>
        <w:t xml:space="preserve"> </w:t>
      </w:r>
      <w:r>
        <w:t xml:space="preserve">it at roughly</w:t>
      </w:r>
      <w:r>
        <w:t xml:space="preserve"> </w:t>
      </w:r>
      <w:r>
        <w:rPr>
          <w:b/>
          <w:bCs/>
        </w:rPr>
        <w:t xml:space="preserve">50</w:t>
      </w:r>
      <w:r>
        <w:t xml:space="preserve">. Our stored figure uses the first definition. We now think the second is the more</w:t>
      </w:r>
      <w:r>
        <w:t xml:space="preserve"> </w:t>
      </w:r>
      <w:r>
        <w:t xml:space="preserve">meaningful one, because Ba already reaches 0.509 having seen no Ba catalysts at all — so 80 % of the</w:t>
      </w:r>
      <w:r>
        <w:t xml:space="preserve"> </w:t>
      </w:r>
      <w:r>
        <w:t xml:space="preserve">level is a bar that is nearly cleared by seeing nothing, and the</w:t>
      </w:r>
      <w:r>
        <w:t xml:space="preserve"> </w:t>
      </w:r>
      <w:r>
        <w:t xml:space="preserve">“10”</w:t>
      </w:r>
      <w:r>
        <w:t xml:space="preserve"> </w:t>
      </w:r>
      <w:r>
        <w:t xml:space="preserve">understates what is actually</w:t>
      </w:r>
      <w:r>
        <w:t xml:space="preserve"> </w:t>
      </w:r>
      <w:r>
        <w:t xml:space="preserve">required. The same caution applies to the</w:t>
      </w:r>
      <w:r>
        <w:t xml:space="preserve"> </w:t>
      </w:r>
      <w:r>
        <w:rPr>
          <w:b/>
          <w:bCs/>
        </w:rPr>
        <w:t xml:space="preserve">0 for La, Ti, Zr and Ce</w:t>
      </w:r>
      <w:r>
        <w:t xml:space="preserve">: those four exceed 80 % of their</w:t>
      </w:r>
      <w:r>
        <w:t xml:space="preserve"> </w:t>
      </w:r>
      <w:r>
        <w:t xml:space="preserve">final level having seen none, which says more about the leniency of that bar than about the families.</w:t>
      </w:r>
    </w:p>
    <w:p>
      <w:pPr>
        <w:pStyle w:val="BodyText"/>
      </w:pPr>
      <w:r>
        <w:t xml:space="preserve">Reaching 95 % takes about 50 for Ba and 25–50 for the others. We would treat all of this as</w:t>
      </w:r>
      <w:r>
        <w:t xml:space="preserve"> </w:t>
      </w:r>
      <w:r>
        <w:t xml:space="preserve">order-of-magnitude guidance only: for Ti and Zr the per-point seed spread (0.03–0.12) is comparable to</w:t>
      </w:r>
      <w:r>
        <w:t xml:space="preserve"> </w:t>
      </w:r>
      <w:r>
        <w:t xml:space="preserve">the whole learning-curve gain, so those two curves are not resolved.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18.79 %. We</w:t>
      </w:r>
      <w:r>
        <w:t xml:space="preserve"> </w:t>
      </w:r>
      <w:r>
        <w:t xml:space="preserve">deliberately do not attach an error bar to that figure. The ± 0.09 our ensemble reports is only the</w:t>
      </w:r>
      <w:r>
        <w:t xml:space="preserve"> </w:t>
      </w:r>
      <w:r>
        <w:t xml:space="preserve">spread across 10 seeds; the model’s actual catalyst-level error on held-out catalysts is about</w:t>
      </w:r>
      <w:r>
        <w:t xml:space="preserve"> </w:t>
      </w:r>
      <w:r>
        <w:t xml:space="preserve">2.7 yield points (MAE). The number ranks candidates. It does not forecast a yield.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recommended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).</w:t>
      </w:r>
      <w:r>
        <w:t xml:space="preserve"> </w:t>
      </w:r>
      <w:r>
        <w:t xml:space="preserve">Rather than submit twenty</w:t>
      </w:r>
      <w:r>
        <w:t xml:space="preserve"> </w:t>
      </w:r>
      <w:r>
        <w:t xml:space="preserve">near-identical catalysts, we suggest splitting the budget: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A — 12 catalysts, the model’s optimum</w:t>
      </w:r>
      <w:r>
        <w:t xml:space="preserve"> </w:t>
      </w:r>
      <w:r>
        <w:t xml:space="preserve">(predicted 18.33–18.79 %). This is where the expected</w:t>
      </w:r>
      <w:r>
        <w:t xml:space="preserve"> </w:t>
      </w:r>
      <w:r>
        <w:t xml:space="preserve">hits are. From the retrospective grouped-CV precision@20, we would expect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to be genuine top-decile performers (95 % CI 0.15–0.65 — deliberately a wide interval).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B — 5 catalysts, one per alternative support</w:t>
      </w:r>
      <w:r>
        <w:t xml:space="preserve"> </w:t>
      </w:r>
      <w:r>
        <w:t xml:space="preserve">(Ti 16.49, La 15.82, Ca 15.54, Mg 14.66,</w:t>
      </w:r>
      <w:r>
        <w:t xml:space="preserve"> </w:t>
      </w:r>
      <w:r>
        <w:t xml:space="preserve">Si 13.83). These cost predicted yield and we do not expect them to win. They are an</w:t>
      </w:r>
      <w:r>
        <w:t xml:space="preserve"> </w:t>
      </w:r>
      <w:r>
        <w:rPr>
          <w:i/>
          <w:iCs/>
        </w:rPr>
        <w:t xml:space="preserve">information</w:t>
      </w:r>
      <w:r>
        <w:t xml:space="preserve"> </w:t>
      </w:r>
      <w:r>
        <w:t xml:space="preserve">purchase: 78 % of the lab’s existing top decile already contains Ba, so the model’s strong Ba</w:t>
      </w:r>
      <w:r>
        <w:t xml:space="preserve"> </w:t>
      </w:r>
      <w:r>
        <w:t xml:space="preserve">preference may partly reflect that coverage rather than chemistry. If several Tier-B catalysts</w:t>
      </w:r>
      <w:r>
        <w:t xml:space="preserve"> </w:t>
      </w:r>
      <w:r>
        <w:t xml:space="preserve">outperform their predictions, that tells us something the Tier-A catalysts cannot.</w:t>
      </w:r>
    </w:p>
    <w:p>
      <w:pPr>
        <w:pStyle w:val="FirstParagraph"/>
      </w:pPr>
      <w:r>
        <w:t xml:space="preserve">We would of course defer to your judgement on synthesis feasibility, and are happy to reweight the</w:t>
      </w:r>
      <w:r>
        <w:t xml:space="preserve"> </w:t>
      </w:r>
      <w:r>
        <w:t xml:space="preserve">split.</w:t>
      </w:r>
    </w:p>
    <w:p>
      <w:pPr>
        <w:pStyle w:val="BodyText"/>
      </w:pPr>
      <w:r>
        <w:rPr>
          <w:b/>
          <w:bCs/>
        </w:rPr>
        <w:t xml:space="preserve">A limit we should state plainly before you spend reactor time.</w:t>
      </w:r>
      <w:r>
        <w:t xml:space="preserve"> </w:t>
      </w:r>
      <w:r>
        <w:t xml:space="preserve">Seventeen catalysts, all drawn from</w:t>
      </w:r>
      <w:r>
        <w:t xml:space="preserve"> </w:t>
      </w:r>
      <w:r>
        <w:t xml:space="preserve">the model’s top-ranked region and with no control arm, cannot confirm or refute the model. As noted in</w:t>
      </w:r>
      <w:r>
        <w:t xml:space="preserve"> </w:t>
      </w:r>
      <w:r>
        <w:t xml:space="preserve">§6, the model’s internal ordering inside that region is close to uninformative (ρ = 0.179 within its</w:t>
      </w:r>
      <w:r>
        <w:t xml:space="preserve"> </w:t>
      </w:r>
      <w:r>
        <w:t xml:space="preserve">top 150, −0.066 within its top 20), so a campaign drawn entirely from it has very wide error bars on</w:t>
      </w:r>
      <w:r>
        <w:t xml:space="preserve"> </w:t>
      </w:r>
      <w:r>
        <w:t xml:space="preserve">any correlation it measures. The list is a reasonable set of catalysts to</w:t>
      </w:r>
      <w:r>
        <w:t xml:space="preserve"> </w:t>
      </w:r>
      <w:r>
        <w:rPr>
          <w:i/>
          <w:iCs/>
        </w:rPr>
        <w:t xml:space="preserve">try</w:t>
      </w:r>
      <w:r>
        <w:t xml:space="preserve">; it is not a test.</w:t>
      </w:r>
    </w:p>
    <w:p>
      <w:pPr>
        <w:pStyle w:val="BodyText"/>
      </w:pPr>
      <w:r>
        <w:t xml:space="preserve">If a test is wanted, our retrospective replay on your own archive suggests a different allocation of</w:t>
      </w:r>
      <w:r>
        <w:t xml:space="preserve"> </w:t>
      </w:r>
      <w:r>
        <w:t xml:space="preserve">the same reactor budget. Measuring 5 conditions at each of 750, 800, 850 and 900 °C — 20 runs rather</w:t>
      </w:r>
      <w:r>
        <w:t xml:space="preserve"> </w:t>
      </w:r>
      <w:r>
        <w:t xml:space="preserve">than 135 — reproduces the ranking of your 811 fully-measured catalysts at ρ =</w:t>
      </w:r>
      <w:r>
        <w:t xml:space="preserve"> </w:t>
      </w:r>
      <w:r>
        <w:rPr>
          <w:b/>
          <w:bCs/>
        </w:rPr>
        <w:t xml:space="preserve">0.955</w:t>
      </w:r>
      <w:r>
        <w:t xml:space="preserve"> </w:t>
      </w:r>
      <w:r>
        <w:t xml:space="preserve">(systematically</w:t>
      </w:r>
      <w:r>
        <w:t xml:space="preserve"> </w:t>
      </w:r>
      <w:r>
        <w:t xml:space="preserve">low by 1.31 yield points, a bias that can be pre-declared). That buys roughly 72 catalysts screened</w:t>
      </w:r>
      <w:r>
        <w:t xml:space="preserve"> </w:t>
      </w:r>
      <w:r>
        <w:t xml:space="preserve">instead of 17 measured exhaustively, with the best few then confirmed at full coverage, and with part</w:t>
      </w:r>
      <w:r>
        <w:t xml:space="preserve"> </w:t>
      </w:r>
      <w:r>
        <w:t xml:space="preserve">of the batch drawn at random from the same candidate grammar as a control arm. The cost is more</w:t>
      </w:r>
      <w:r>
        <w:t xml:space="preserve"> </w:t>
      </w:r>
      <w:r>
        <w:t xml:space="preserve">syntheses for the same number of reactor runs, which may or may not suit your constraints.</w:t>
      </w:r>
    </w:p>
    <w:p>
      <w:pPr>
        <w:pStyle w:val="BodyText"/>
      </w:pPr>
      <w:r>
        <w:t xml:space="preserve">This depends on one thing we could not determine from the data file, and it is the question we would</w:t>
      </w:r>
      <w:r>
        <w:t xml:space="preserve"> </w:t>
      </w:r>
      <w:r>
        <w:t xml:space="preserve">most like answered:</w:t>
      </w:r>
      <w:r>
        <w:t xml:space="preserve"> </w:t>
      </w:r>
      <w:r>
        <w:rPr>
          <w:b/>
          <w:bCs/>
        </w:rPr>
        <w:t xml:space="preserve">are the ~27 measurements per catalyst–temperature distinct reaction conditions,</w:t>
      </w:r>
      <w:r>
        <w:rPr>
          <w:b/>
          <w:bCs/>
        </w:rPr>
        <w:t xml:space="preserve"> </w:t>
      </w:r>
      <w:r>
        <w:rPr>
          <w:b/>
          <w:bCs/>
        </w:rPr>
        <w:t xml:space="preserve">or successive time-on-stream samples at a single condition?</w:t>
      </w:r>
      <w:r>
        <w:t xml:space="preserve"> </w:t>
      </w:r>
      <w:r>
        <w:t xml:space="preserve">If the latter, then selecting 5 of 27</w:t>
      </w:r>
      <w:r>
        <w:t xml:space="preserve"> </w:t>
      </w:r>
      <w:r>
        <w:t xml:space="preserve">saves analysis rather than reactor hours, the arithmetic above changes, and — more importantly — a</w:t>
      </w:r>
      <w:r>
        <w:t xml:space="preserve"> </w:t>
      </w:r>
      <w:r>
        <w:t xml:space="preserve">catalyst’s observed maximum is a fresh-catalyst transient rather than an achievable optimum, which</w:t>
      </w:r>
      <w:r>
        <w:t xml:space="preserve"> </w:t>
      </w:r>
      <w:r>
        <w:t xml:space="preserve">would change what our target quantity means.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~79.7 %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target carries a measurement-effort confound, and grid coverage is not random.</w:t>
      </w:r>
      <w:r>
        <w:t xml:space="preserve"> </w:t>
      </w:r>
      <w:r>
        <w:t xml:space="preserve">47 catalysts</w:t>
      </w:r>
      <w:r>
        <w:t xml:space="preserve"> </w:t>
      </w:r>
      <w:r>
        <w:t xml:space="preserve">have fewer than 20 measurements and systematically low maxima. More generally, how much of the</w:t>
      </w:r>
      <w:r>
        <w:t xml:space="preserve"> </w:t>
      </w:r>
      <w:r>
        <w:t xml:space="preserve">135-condition grid was actually run tracks how well the catalyst performed: Spearman(cell size,</w:t>
      </w:r>
      <w:r>
        <w:t xml:space="preserve"> </w:t>
      </w:r>
      <w:r>
        <w:t xml:space="preserve">cell maximum yield) =</w:t>
      </w:r>
      <w:r>
        <w:t xml:space="preserve"> </w:t>
      </w:r>
      <w:r>
        <w:rPr>
          <w:b/>
          <w:bCs/>
        </w:rPr>
        <w:t xml:space="preserve">+0.441</w:t>
      </w:r>
      <w:r>
        <w:t xml:space="preserve">, and mean cell yield rises monotonically from 2.22 % in cells with</w:t>
      </w:r>
      <w:r>
        <w:t xml:space="preserve"> </w:t>
      </w:r>
      <w:r>
        <w:t xml:space="preserve">1–5 rows to 6.05 % in cells with 27. Only 811 of 917 catalysts have all five temperatures present,</w:t>
      </w:r>
      <w:r>
        <w:t xml:space="preserve"> </w:t>
      </w:r>
      <w:r>
        <w:t xml:space="preserve">and 186 catalyst–temperature cells are absent entirely. This reads as unpromising combinations</w:t>
      </w:r>
      <w:r>
        <w:t xml:space="preserve"> </w:t>
      </w:r>
      <w:r>
        <w:t xml:space="preserve">being abandoned partway through the grid. Excluding the low-count catalysts changes our headline</w:t>
      </w:r>
      <w:r>
        <w:t xml:space="preserve"> </w:t>
      </w:r>
      <w:r>
        <w:t xml:space="preserve">metric by 0.002, so no conclusion here hinges on it — but we would welcome confirmation of whether</w:t>
      </w:r>
      <w:r>
        <w:t xml:space="preserve"> </w:t>
      </w:r>
      <w:r>
        <w:t xml:space="preserve">the incomplete cells were stopped deliberately, since that decides whether the bias is correctable</w:t>
      </w:r>
      <w:r>
        <w:t xml:space="preserve"> </w:t>
      </w:r>
      <w:r>
        <w:t xml:space="preserve">or is itself informative.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condition</w:t>
      </w:r>
      <w:r>
        <w:t xml:space="preserve"> </w:t>
      </w:r>
      <w:r>
        <w:t xml:space="preserve">settings per catalyst–temperature exist in a retrievable form, the 19.9 % of variance now</w:t>
      </w:r>
      <w:r>
        <w:t xml:space="preserve"> </w:t>
      </w:r>
      <w:r>
        <w:t xml:space="preserve">unreachable from composition and temperature becomes largely learnable, condition-level modelling</w:t>
      </w:r>
      <w:r>
        <w:t xml:space="preserve"> </w:t>
      </w:r>
      <w:r>
        <w:t xml:space="preserve">becomes meaningful, and row-level RMSE becomes a well-posed target again rather than a floor</w:t>
      </w:r>
      <w:r>
        <w:t xml:space="preserve"> </w:t>
      </w:r>
      <w:r>
        <w:t xml:space="preserve">artefact. One further question would settle a reading we could not resolve from the file alone:</w:t>
      </w:r>
      <w:r>
        <w:t xml:space="preserve"> </w:t>
      </w:r>
      <w:r>
        <w:t xml:space="preserve">are the ~27 measurements per catalyst–temperature</w:t>
      </w:r>
      <w:r>
        <w:t xml:space="preserve"> </w:t>
      </w:r>
      <w:r>
        <w:rPr>
          <w:b/>
          <w:bCs/>
        </w:rPr>
        <w:t xml:space="preserve">distinct reaction conditions</w:t>
      </w:r>
      <w:r>
        <w:t xml:space="preserve">, or successive</w:t>
      </w:r>
      <w:r>
        <w:t xml:space="preserve"> </w:t>
      </w:r>
      <w:r>
        <w:rPr>
          <w:b/>
          <w:bCs/>
        </w:rPr>
        <w:t xml:space="preserve">time-on-stream samples</w:t>
      </w:r>
      <w:r>
        <w:t xml:space="preserve"> </w:t>
      </w:r>
      <w:r>
        <w:t xml:space="preserve">at a single condition? If the latter, a catalyst’s maximum is a</w:t>
      </w:r>
      <w:r>
        <w:t xml:space="preserve"> </w:t>
      </w:r>
      <w:r>
        <w:t xml:space="preserve">fresh-catalyst transient rather than an achievable optimum, which would change the target we</w:t>
      </w:r>
      <w:r>
        <w:t xml:space="preserve"> </w:t>
      </w:r>
      <w:r>
        <w:t xml:space="preserve">should be predicting.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Cross-preparation transfer is now measured, and it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(different source, same preparation) gives ρ = 0.398; 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gives ρ = 0.238 — so changing preparation costs a further 0.160. At that</w:t>
      </w:r>
      <w:r>
        <w:t xml:space="preserve"> </w:t>
      </w:r>
      <w:r>
        <w:t xml:space="preserve">range the model is not usable for selection out of preparation: its top-decile picks average 11.50 %</w:t>
      </w:r>
      <w:r>
        <w:t xml:space="preserve"> </w:t>
      </w:r>
      <w:r>
        <w:t xml:space="preserve">true yield against a population mean of 10.34 %, while the genuine top decile averages 21.92 %</w:t>
      </w:r>
      <w:r>
        <w:t xml:space="preserve"> </w:t>
      </w:r>
      <w:r>
        <w:t xml:space="preserve">(enrichment 0.42×, i.e. worse than picking at random).</w:t>
      </w:r>
      <w:r>
        <w:t xml:space="preserve"> </w:t>
      </w:r>
      <w:r>
        <w:rPr>
          <w:b/>
          <w:bCs/>
        </w:rPr>
        <w:t xml:space="preserve">But adding impregnation literature to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raises ρ from 0.238 to 0.388 (+0.150, 5/5 seeds)</w:t>
      </w:r>
      <w:r>
        <w:t xml:space="preserve"> </w:t>
      </w:r>
      <w:r>
        <w:t xml:space="preserve">— the first setting in this study where literature</w:t>
      </w:r>
      <w:r>
        <w:t xml:space="preserve"> </w:t>
      </w:r>
      <w:r>
        <w:t xml:space="preserve">data measurably helps, and consistent with the scope statement in §9: the lab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coverage of</w:t>
      </w:r>
      <w:r>
        <w:t xml:space="preserve"> </w:t>
      </w:r>
      <w:r>
        <w:t xml:space="preserve">non-impregnation chemistry, so the literature supplies genuinely new information there. Two caveats:</w:t>
      </w:r>
      <w:r>
        <w:t xml:space="preserve"> </w:t>
      </w:r>
      <w:r>
        <w:t xml:space="preserve">absolute performance remains poor, and plain merging outperforms the prior-feature construction</w:t>
      </w:r>
      <w:r>
        <w:t xml:space="preserve"> </w:t>
      </w:r>
      <w:r>
        <w:t xml:space="preserve">(0.388 vs 0.318). Details in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; this supersedes the earlier row-level OOD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2026-09-05T03:48:13Z</dcterms:created>
  <dcterms:modified xsi:type="dcterms:W3CDTF">2026-09-05T03:48:13Z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