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note, which describes the problem setup, the two datasets and the</w:t>
      </w:r>
      <w:r>
        <w:t xml:space="preserve"> </w:t>
      </w:r>
      <w:r>
        <w:t xml:space="preserve">five methods in full; that material is not repeated here.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phase8_target_robustness.py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phase9_equal_effort_eval.py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phase10_condition_subsampling.py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10.6 % over a lab-only baseline.</w:t>
      </w:r>
      <w:r>
        <w:t xml:space="preserve"> </w:t>
      </w:r>
      <w:r>
        <w:rPr>
          <w:b/>
          <w:bCs/>
        </w:rPr>
        <w:t xml:space="preserve">Following the stricter validation you proposed, that improvement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10.6 % (1.907 vs baseline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</w:t>
            </w:r>
            <w:r>
              <w:t xml:space="preserve"> </w:t>
            </w:r>
            <w:r>
              <w:t xml:space="preserve">in-domain. Four designs, all ≤ the composition-only control. It does help across preparation methods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supported.</w:t>
            </w:r>
            <w:r>
              <w:t xml:space="preserve"> </w:t>
            </w:r>
            <w:r>
              <w:t xml:space="preserve">Label treatment moves RMSE by 0.001–0.023, inside run-to-run noise at 3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 over all 917 catalysts, 0.724 on the 771 with comparable measurement 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one measurement per catalyst–temperature ranks nearly as well as all ~27 (§5)</w:t>
            </w:r>
          </w:p>
        </w:tc>
      </w:tr>
    </w:tbl>
    <w:p>
      <w:pPr>
        <w:pStyle w:val="BodyText"/>
      </w:pPr>
      <w:r>
        <w:t xml:space="preserve">The cause was specific: our Stage-1 expert was trained on literature data</w:t>
      </w:r>
      <w:r>
        <w:t xml:space="preserve"> </w:t>
      </w:r>
      <w:r>
        <w:rPr>
          <w:i/>
          <w:iCs/>
        </w:rPr>
        <w:t xml:space="preserve">together with the lab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rows</w:t>
      </w:r>
      <w:r>
        <w:t xml:space="preserve">, so under a random row split it had seen the very catalysts it was later asked to help</w:t>
      </w:r>
      <w:r>
        <w:t xml:space="preserve"> </w:t>
      </w:r>
      <w:r>
        <w:t xml:space="preserve">predict.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evaluation-methodology"/>
    <w:p>
      <w:pPr>
        <w:pStyle w:val="Heading2"/>
      </w:pPr>
      <w:r>
        <w:t xml:space="preserve">1.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default.</w:t>
      </w:r>
      <w:r>
        <w:t xml:space="preserve"> </w:t>
      </w:r>
      <w:r>
        <w:t xml:space="preserve">All measurements of a catalyst are assigned</w:t>
      </w:r>
      <w:r>
        <w:t xml:space="preserve"> </w:t>
      </w:r>
      <w:r>
        <w:t xml:space="preserve">to exactly one fold, so every number answers:</w:t>
      </w:r>
      <w:r>
        <w:t xml:space="preserve"> </w:t>
      </w:r>
      <w:r>
        <w:rPr>
          <w:i/>
          <w:iCs/>
        </w:rPr>
        <w:t xml:space="preserve">how well do we predict a catalyst nobody has made yet?</w:t>
      </w:r>
      <w:r>
        <w:t xml:space="preserve"> </w:t>
      </w:r>
      <w:r>
        <w:t xml:space="preserve">Anything fitted on data — scaler, domain classifier, both model 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inadequate.</w:t>
      </w:r>
      <w:r>
        <w:t xml:space="preserve"> </w:t>
      </w:r>
      <w:r>
        <w:t xml:space="preserve">The 89,074 measurements comprise only</w:t>
      </w:r>
      <w:r>
        <w:t xml:space="preserve"> </w:t>
      </w:r>
      <w:r>
        <w:rPr>
          <w:b/>
          <w:bCs/>
        </w:rPr>
        <w:t xml:space="preserve">917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catalysts</w:t>
      </w:r>
      <w:r>
        <w:t xml:space="preserve"> </w:t>
      </w:r>
      <w:r>
        <w:t xml:space="preserve">at 5 temperatures, giving 4,399 (catalyst, temperature) cells of 20.2 rows on average.</w:t>
      </w:r>
      <w:r>
        <w:t xml:space="preserve"> </w:t>
      </w:r>
      <w:r>
        <w:t xml:space="preserve">Your description of these rows as measurements</w:t>
      </w:r>
      <w:r>
        <w:t xml:space="preserve"> </w:t>
      </w:r>
      <w:r>
        <w:rPr>
          <w:i/>
          <w:iCs/>
        </w:rPr>
        <w:t xml:space="preserve">under different reaction conditions</w:t>
      </w:r>
      <w:r>
        <w:t xml:space="preserve"> </w:t>
      </w:r>
      <w:r>
        <w:t xml:space="preserve">is borne out by</w:t>
      </w:r>
      <w:r>
        <w:t xml:space="preserve"> </w:t>
      </w:r>
      <w:r>
        <w:t xml:space="preserve">the row counts, and we should have taken it more literally. 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and nothing above;</w:t>
      </w:r>
      <w:r>
        <w:t xml:space="preserve"> </w:t>
      </w:r>
      <w:r>
        <w:rPr>
          <w:b/>
          <w:bCs/>
        </w:rPr>
        <w:t xml:space="preserve">15 catalysts hold exactly 135 rows,</w:t>
      </w:r>
      <w:r>
        <w:rPr>
          <w:b/>
          <w:bCs/>
        </w:rPr>
        <w:t xml:space="preserve"> </w:t>
      </w:r>
      <w:r>
        <w:rPr>
          <w:b/>
          <w:bCs/>
        </w:rPr>
        <w:t xml:space="preserve">and all 15 decompose as exactly (27, 27, 27, 27, 27)</w:t>
      </w:r>
      <w:r>
        <w:t xml:space="preserve"> </w:t>
      </w:r>
      <w:r>
        <w:t xml:space="preserve">— that is</w:t>
      </w:r>
      <w:r>
        <w:t xml:space="preserve"> </w:t>
      </w:r>
      <w:r>
        <w:rPr>
          <w:b/>
          <w:bCs/>
        </w:rPr>
        <w:t xml:space="preserve">5 temperatures × 27 condition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= 135</w:t>
      </w:r>
      <w:r>
        <w:t xml:space="preserve">, matching the figure you gave us. We tested the competing reading that 27 was an</w:t>
      </w:r>
      <w:r>
        <w:t xml:space="preserve"> </w:t>
      </w:r>
      <w:r>
        <w:t xml:space="preserve">export cut-off and rejected it: the spacing between the two lowest values in a 27-row cell is 2.03×</w:t>
      </w:r>
      <w:r>
        <w:t xml:space="preserve"> </w:t>
      </w:r>
      <w:r>
        <w:t xml:space="preserve">the interior spacing, whereas truncating a larger cell to 27 rows gives 0.90× — a complete sample,</w:t>
      </w:r>
      <w:r>
        <w:t xml:space="preserve"> </w:t>
      </w:r>
      <w:r>
        <w:t xml:space="preserve">not a truncated one.</w:t>
      </w:r>
    </w:p>
    <w:p>
      <w:pPr>
        <w:pStyle w:val="BodyText"/>
      </w:pPr>
      <w:r>
        <w:t xml:space="preserve">These rows are therefore</w:t>
      </w:r>
      <w:r>
        <w:t xml:space="preserve"> </w:t>
      </w:r>
      <w:r>
        <w:rPr>
          <w:b/>
          <w:bCs/>
        </w:rPr>
        <w:t xml:space="preserve">not replicates</w:t>
      </w:r>
      <w:r>
        <w:t xml:space="preserve">. Because the 27 settings are absent from the feature</w:t>
      </w:r>
      <w:r>
        <w:t xml:space="preserve"> </w:t>
      </w:r>
      <w:r>
        <w:t xml:space="preserve">table,</w:t>
      </w:r>
      <w:r>
        <w:t xml:space="preserve"> </w:t>
      </w:r>
      <w:r>
        <w:rPr>
          <w:b/>
          <w:bCs/>
        </w:rPr>
        <w:t xml:space="preserve">19.9 % of total yield variance lies within cells</w:t>
      </w:r>
      <w:r>
        <w:t xml:space="preserve"> </w:t>
      </w:r>
      <w:r>
        <w:t xml:space="preserve">and cannot be reached from composition and</w:t>
      </w:r>
      <w:r>
        <w:t xml:space="preserve"> </w:t>
      </w:r>
      <w:r>
        <w:t xml:space="preserve">temperature, flooring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. That is a property of the missing columns, not a</w:t>
      </w:r>
      <w:r>
        <w:t xml:space="preserve"> </w:t>
      </w:r>
      <w:r>
        <w:t xml:space="preserve">physical limit — recovering the condition data would make most of it learnable.</w:t>
      </w:r>
    </w:p>
    <w:p>
      <w:pPr>
        <w:pStyle w:val="BodyText"/>
      </w:pPr>
      <w:r>
        <w:t xml:space="preserve">Version 1 reported 1.907, only 0.15 above that floor. In hindsight that should itself have prompted</w:t>
      </w:r>
      <w:r>
        <w:t xml:space="preserve"> </w:t>
      </w:r>
      <w:r>
        <w:t xml:space="preserve">suspicion: a model cannot approach a floor that presumes knowledge of each catalyst’s own cell means</w:t>
      </w:r>
      <w:r>
        <w:t xml:space="preserve"> </w:t>
      </w:r>
      <w:r>
        <w:t xml:space="preserve">unless it has effectively memorised those catalysts. Point-wise RMSE is close to uninformative here,</w:t>
      </w:r>
      <w:r>
        <w:t xml:space="preserve"> </w:t>
      </w:r>
      <w:r>
        <w:t xml:space="preserve">and it is precisely the metric a catalyst-identity leak flatters most.</w:t>
      </w:r>
      <w:r>
        <w:t xml:space="preserve"> </w:t>
      </w:r>
      <w:r>
        <w:rPr>
          <w:b/>
          <w:bCs/>
        </w:rPr>
        <w:t xml:space="preserve">Primary metrics are 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catalyst-level, as you proposed:</w:t>
      </w:r>
      <w:r>
        <w:t xml:space="preserve"> </w:t>
      </w:r>
      <w:r>
        <w:t xml:space="preserve">Spearman correlation on maximum yield, and enrichment of true high</w:t>
      </w:r>
      <w:r>
        <w:t xml:space="preserve"> </w:t>
      </w:r>
      <w:r>
        <w:t xml:space="preserve">performers among top-ranked predictions.</w:t>
      </w:r>
    </w:p>
    <w:bookmarkEnd w:id="13"/>
    <w:bookmarkStart w:id="17" w:name="what-the-stricter-validation-showed"/>
    <w:p>
      <w:pPr>
        <w:pStyle w:val="Heading2"/>
      </w:pPr>
      <w:r>
        <w:t xml:space="preserve">2.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 The same two models under the row-level split give</w:t>
      </w:r>
      <w:r>
        <w:t xml:space="preserve"> </w:t>
      </w:r>
      <w:r>
        <w:rPr>
          <w:b/>
          <w:bCs/>
        </w:rPr>
        <w:t xml:space="preserve">2.118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1.912</w:t>
      </w:r>
      <w:r>
        <w:t xml:space="preserve"> </w:t>
      </w:r>
      <w:r>
        <w:t xml:space="preserve">(−9.7 %) — the</w:t>
      </w:r>
      <w:r>
        <w:t xml:space="preserve"> </w:t>
      </w:r>
      <w:r>
        <w:t xml:space="preserve">difference between the two lines is leakage, not a change of model.</w:t>
      </w:r>
      <w:r>
        <w:t xml:space="preserve"> </w:t>
      </w:r>
      <w:r>
        <w:t xml:space="preserve">Three readings of one 3-seed ablation grid point to the mechanism (not independent experiments):</w:t>
      </w:r>
      <w:r>
        <w:t xml:space="preserve"> </w:t>
      </w:r>
      <w:r>
        <w:t xml:space="preserve">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−2.4 %</w:t>
      </w:r>
      <w:r>
        <w:t xml:space="preserve"> </w:t>
      </w:r>
      <w:r>
        <w:t xml:space="preserve">(QN prior) or</w:t>
      </w:r>
      <w:r>
        <w:t xml:space="preserve"> </w:t>
      </w:r>
      <w:r>
        <w:rPr>
          <w:b/>
          <w:bCs/>
        </w:rPr>
        <w:t xml:space="preserve">−2.7 %</w:t>
      </w:r>
      <w:r>
        <w:t xml:space="preserve"> </w:t>
      </w:r>
      <w:r>
        <w:t xml:space="preserve">(rank prior); under grouped CV the joint variant (</w:t>
      </w:r>
      <w:r>
        <w:rPr>
          <w:b/>
          <w:bCs/>
        </w:rPr>
        <w:t xml:space="preserve">2.982</w:t>
      </w:r>
      <w:r>
        <w:t xml:space="preserve">) is worse than literature-only</w:t>
      </w:r>
      <w:r>
        <w:t xml:space="preserve"> </w:t>
      </w:r>
      <w:r>
        <w:t xml:space="preserve">(</w:t>
      </w:r>
      <w:r>
        <w:rPr>
          <w:b/>
          <w:bCs/>
        </w:rPr>
        <w:t xml:space="preserve">2.938</w:t>
      </w:r>
      <w:r>
        <w:t xml:space="preserve">); and literature-only is indistinguishable from baseline (</w:t>
      </w:r>
      <w:r>
        <w:rPr>
          <w:b/>
          <w:bCs/>
        </w:rPr>
        <w:t xml:space="preserve">2.928</w:t>
      </w:r>
      <w:r>
        <w:t xml:space="preserve">).</w:t>
      </w:r>
      <w:r>
        <w:t xml:space="preserve"> </w:t>
      </w:r>
      <w:r>
        <w:rPr>
          <w:i/>
          <w:iCs/>
        </w:rPr>
        <w:t xml:space="preserve">(The headline 2.995</w:t>
      </w:r>
      <w:r>
        <w:rPr>
          <w:i/>
          <w:iCs/>
        </w:rPr>
        <w:t xml:space="preserve"> </w:t>
      </w:r>
      <w:r>
        <w:rPr>
          <w:i/>
          <w:iCs/>
        </w:rPr>
        <w:t xml:space="preserve">is a 5-seed mean; 2.982 is the same configuration over the first 3 seeds.)</w:t>
      </w:r>
    </w:p>
    <w:p>
      <w:pPr>
        <w:pStyle w:val="BodyText"/>
      </w:pPr>
      <w:r>
        <w:rPr>
          <w:b/>
          <w:bCs/>
        </w:rPr>
        <w:t xml:space="preserve">Your quantile-normalisation hypothesis is supported</w:t>
      </w:r>
      <w:r>
        <w:t xml:space="preserve">, though not as strongly as we first stated.</w:t>
      </w:r>
      <w:r>
        <w:t xml:space="preserve"> </w:t>
      </w:r>
      <w:r>
        <w:t xml:space="preserve">Gaps are 0.006 row-level, and catalyst-grouped 0.023 (QN vs raw) and 0.001 (QN vs rank) — the largest</w:t>
      </w:r>
      <w:r>
        <w:t xml:space="preserve"> </w:t>
      </w:r>
      <w:r>
        <w:t xml:space="preserve">sits under our primary protocol and is close to the run-to-run spread there (per-configuration SD</w:t>
      </w:r>
      <w:r>
        <w:t xml:space="preserve"> </w:t>
      </w:r>
      <w:r>
        <w:t xml:space="preserve">0.022 and 0.035 over 3 seeds). The honest statement is that</w:t>
      </w:r>
      <w:r>
        <w:t xml:space="preserve"> </w:t>
      </w:r>
      <w:r>
        <w:rPr>
          <w:b/>
          <w:bCs/>
        </w:rPr>
        <w:t xml:space="preserve">no label treatment is distinguishable</w:t>
      </w:r>
      <w:r>
        <w:rPr>
          <w:b/>
          <w:bCs/>
        </w:rPr>
        <w:t xml:space="preserve"> </w:t>
      </w:r>
      <w:r>
        <w:rPr>
          <w:b/>
          <w:bCs/>
        </w:rPr>
        <w:t xml:space="preserve">from another at this seed count</w:t>
      </w:r>
      <w:r>
        <w:t xml:space="preserve">. The normalisation step can be dropped without measurable penalty.</w:t>
      </w:r>
    </w:p>
    <w:p>
      <w:pPr>
        <w:pStyle w:val="BodyText"/>
      </w:pPr>
      <w:r>
        <w:rPr>
          <w:b/>
          <w:bCs/>
        </w:rPr>
        <w:t xml:space="preserve">With the leak closed we retested literature integration properly</w:t>
      </w:r>
      <w:r>
        <w:t xml:space="preserve"> </w:t>
      </w:r>
      <w:r>
        <w:t xml:space="preserve">— a literature-only rank prior,</w:t>
      </w:r>
      <w:r>
        <w:t xml:space="preserve"> </w:t>
      </w:r>
      <w:r>
        <w:t xml:space="preserve">similarity features, a gated prior, and a catalyst-level direct merge. Criteria were fixed before</w:t>
      </w:r>
      <w:r>
        <w:t xml:space="preserve"> </w:t>
      </w:r>
      <w:r>
        <w:t xml:space="preserve">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2 — No literature variant beats composition alone. Catalyst-grouped protocol; dashed line is the composition-only control." title="" id="15" name="Picture"/>
            <a:graphic>
              <a:graphicData uri="http://schemas.openxmlformats.org/drawingml/2006/picture">
                <pic:pic>
                  <pic:nvPicPr>
                    <pic:cNvPr descr="fig_grouped_resul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No literature variant beats composition alone.</w:t>
      </w:r>
      <w:r>
        <w:t xml:space="preserve"> </w:t>
      </w:r>
      <w:r>
        <w:t xml:space="preserve">Catalyst-grouped protocol; dashed line is the composition-only control.</w:t>
      </w:r>
    </w:p>
    <w:p>
      <w:pPr>
        <w:pStyle w:val="BodyText"/>
      </w:pPr>
      <w:r>
        <w:t xml:space="preserve">We also tested a hypothesis of our own — that the prior might help where our coverage is thin,</w:t>
      </w:r>
      <w:r>
        <w:t xml:space="preserve"> </w:t>
      </w:r>
      <w:r>
        <w:t xml:space="preserve">suggested by one family (Zr). Across</w:t>
      </w:r>
      <w:r>
        <w:t xml:space="preserve"> </w:t>
      </w:r>
      <w:r>
        <w:rPr>
          <w:b/>
          <w:bCs/>
        </w:rPr>
        <w:t xml:space="preserve">all 28 element 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strongest correlation with any coverage measure |ρ| = 0.276 against a</w:t>
      </w:r>
      <w:r>
        <w:t xml:space="preserve"> </w:t>
      </w:r>
      <w:r>
        <w:t xml:space="preserve">pre-registered threshold of 0.5. The Zr result was selection from noise, and we discarded it.</w:t>
      </w:r>
    </w:p>
    <w:bookmarkEnd w:id="17"/>
    <w:bookmarkStart w:id="21" w:name="screening-unseen-catalysts"/>
    <w:p>
      <w:pPr>
        <w:pStyle w:val="Heading2"/>
      </w:pPr>
      <w:r>
        <w:t xml:space="preserve">3.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while training on ~100× fewer rows.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t xml:space="preserve">With 92 catalysts in the top decile of 917, these are less precise than a point estimate suggests.</w:t>
      </w:r>
    </w:p>
    <w:p>
      <w:pPr>
        <w:pStyle w:val="BodyText"/>
      </w:pPr>
      <w:r>
        <w:rPr>
          <w:b/>
          <w:bCs/>
        </w:rPr>
        <w:t xml:space="preserve">Why the second column exists, and why we consider it the honest one.</w:t>
      </w:r>
      <w:r>
        <w:t xml:space="preserve"> </w:t>
      </w:r>
      <w:r>
        <w:t xml:space="preserve">Grid coverage in your data is</w:t>
      </w:r>
      <w:r>
        <w:t xml:space="preserve"> </w:t>
      </w:r>
      <w:r>
        <w:t xml:space="preserve">coupled to performance — cells run further contain better yields — so a score over all 917 catalysts</w:t>
      </w:r>
      <w:r>
        <w:t xml:space="preserve"> </w:t>
      </w:r>
      <w:r>
        <w:t xml:space="preserve">is partly a record of which experiments were completed. The</w:t>
      </w:r>
      <w:r>
        <w:t xml:space="preserve"> </w:t>
      </w:r>
      <w:r>
        <w:rPr>
          <w:i/>
          <w:iCs/>
        </w:rPr>
        <w:t xml:space="preserve">equal-effort set</w:t>
      </w:r>
      <w:r>
        <w:t xml:space="preserve"> </w:t>
      </w:r>
      <w:r>
        <w:t xml:space="preserve">is the 771 catalysts</w:t>
      </w:r>
      <w:r>
        <w:t xml:space="preserve"> </w:t>
      </w:r>
      <w:r>
        <w:t xml:space="preserve">with ≥20 measurements in at least one cell; there the coupling is gone by measurement, with</w:t>
      </w:r>
      <w:r>
        <w:t xml:space="preserve"> </w:t>
      </w:r>
      <w:r>
        <w:t xml:space="preserve">Spearman(measurement count, observed maximum) falling from</w:t>
      </w:r>
      <w:r>
        <w:t xml:space="preserve"> </w:t>
      </w:r>
      <w:r>
        <w:rPr>
          <w:b/>
          <w:bCs/>
        </w:rPr>
        <w:t xml:space="preserve">+0.293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+0.003</w:t>
      </w:r>
      <w:r>
        <w:t xml:space="preserve">. Moving to it costs</w:t>
      </w:r>
      <w:r>
        <w:t xml:space="preserve"> </w:t>
      </w:r>
      <w:r>
        <w:t xml:space="preserve">0.037 Spearman and 0.51× enrichment.</w:t>
      </w:r>
    </w:p>
    <w:p>
      <w:pPr>
        <w:pStyle w:val="BodyText"/>
      </w:pPr>
      <w:r>
        <w:t xml:space="preserve">That drop is not an artifact of scoring fewer catalysts: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predictions give 0.767 with a 95 % range of 0.756 – 0.780, and 0.724 lies below it.</w:t>
      </w:r>
    </w:p>
    <w:p>
      <w:pPr>
        <w:pStyle w:val="BodyText"/>
      </w:pPr>
      <w:r>
        <w:rPr>
          <w:b/>
          <w:bCs/>
        </w:rPr>
        <w:t xml:space="preserve">Maximum versus median as the training label.</w:t>
      </w:r>
      <w:r>
        <w:t xml:space="preserve"> </w:t>
      </w:r>
      <w:r>
        <w:t xml:space="preserve">Each catalyst’s label must be built from its ~135</w:t>
      </w:r>
      <w:r>
        <w:t xml:space="preserve"> </w:t>
      </w:r>
      <w:r>
        <w:t xml:space="preserve">readings, and the choice is not obvious. We compared two. The first is the single highest reading</w:t>
      </w:r>
      <w:r>
        <w:t xml:space="preserve"> </w:t>
      </w:r>
      <w:r>
        <w:t xml:space="preserve">anywhere. The second takes the median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temperature group — across the cluster of</w:t>
      </w:r>
      <w:r>
        <w:t xml:space="preserve"> </w:t>
      </w:r>
      <w:r>
        <w:t xml:space="preserve">near-identical readings — and then the best of those per-group medians. Both were scored against the</w:t>
      </w:r>
      <w:r>
        <w:t xml:space="preserve"> </w:t>
      </w:r>
      <w:r>
        <w:t xml:space="preserve">same quantity, the catalyst’s true observed maximum, so only the training label differs.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label</w:t>
            </w:r>
          </w:p>
        </w:tc>
        <w:tc>
          <w:tcPr/>
          <w:p>
            <w:pPr>
              <w:pStyle w:val="Compact"/>
            </w:pPr>
            <w:r>
              <w:t xml:space="preserve">ρ, all 917</w:t>
            </w:r>
          </w:p>
        </w:tc>
        <w:tc>
          <w:tcPr/>
          <w:p>
            <w:pPr>
              <w:pStyle w:val="Compact"/>
            </w:pPr>
            <w:r>
              <w:t xml:space="preserve">ρ, equal-effort</w:t>
            </w:r>
          </w:p>
        </w:tc>
        <w:tc>
          <w:tcPr/>
          <w:p>
            <w:pPr>
              <w:pStyle w:val="Compact"/>
            </w:pPr>
            <w:r>
              <w:t xml:space="preserve">Enrichment, all 917</w:t>
            </w:r>
          </w:p>
        </w:tc>
        <w:tc>
          <w:tcPr/>
          <w:p>
            <w:pPr>
              <w:pStyle w:val="Compact"/>
            </w:pPr>
            <w:r>
              <w:t xml:space="preserve">Enrichment, equal-effort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highest reading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4.35×</w:t>
            </w:r>
          </w:p>
        </w:tc>
        <w:tc>
          <w:tcPr/>
          <w:p>
            <w:pPr>
              <w:pStyle w:val="Compact"/>
            </w:pPr>
            <w: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Per-group 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4.13×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3.90×</w:t>
            </w:r>
          </w:p>
        </w:tc>
      </w:tr>
    </w:tbl>
    <w:p>
      <w:pPr>
        <w:pStyle w:val="BodyText"/>
      </w:pPr>
      <w:r>
        <w:rPr>
          <w:i/>
          <w:iCs/>
        </w:rPr>
        <w:t xml:space="preserve">(Seed-averaged predictions throughout this comparison, which is why the highest-reading label shows</w:t>
      </w:r>
      <w:r>
        <w:rPr>
          <w:i/>
          <w:iCs/>
        </w:rPr>
        <w:t xml:space="preserve"> </w:t>
      </w:r>
      <w:r>
        <w:rPr>
          <w:i/>
          <w:iCs/>
        </w:rPr>
        <w:t xml:space="preserve">0.767 here against the 0.761 in the table above — that figure is a mean over per-seed scores. Two</w:t>
      </w:r>
      <w:r>
        <w:rPr>
          <w:i/>
          <w:iCs/>
        </w:rPr>
        <w:t xml:space="preserve"> </w:t>
      </w:r>
      <w:r>
        <w:rPr>
          <w:i/>
          <w:iCs/>
        </w:rPr>
        <w:t xml:space="preserve">different quantities, not a discrepancy.)</w:t>
      </w:r>
    </w:p>
    <w:p>
      <w:pPr>
        <w:pStyle w:val="BodyText"/>
      </w:pPr>
      <w:r>
        <w:t xml:space="preserve">The median leads on rank correlation in both populations and on enrichment in the equal-effort set,</w:t>
      </w:r>
      <w:r>
        <w:t xml:space="preserve"> </w:t>
      </w:r>
      <w:r>
        <w:t xml:space="preserve">and trails on enrichment across all 917. The differences are small, and a catalyst-level bootstrap on</w:t>
      </w:r>
      <w:r>
        <w:t xml:space="preserve"> </w:t>
      </w:r>
      <w:r>
        <w:t xml:space="preserve">the all-917 comparison does not separate the two.</w:t>
      </w:r>
      <w:r>
        <w:t xml:space="preserve"> </w:t>
      </w:r>
      <w:r>
        <w:rPr>
          <w:b/>
          <w:bCs/>
        </w:rPr>
        <w:t xml:space="preserve">We are proceeding with the per-group median</w:t>
      </w:r>
      <w:r>
        <w:t xml:space="preserve">,</w:t>
      </w:r>
      <w:r>
        <w:t xml:space="preserve"> </w:t>
      </w:r>
      <w:r>
        <w:t xml:space="preserve">because it cannot be set by a single high reading. We state that as a choice rather than a result:</w:t>
      </w:r>
      <w:r>
        <w:t xml:space="preserve"> </w:t>
      </w:r>
      <w:r>
        <w:t xml:space="preserve">the evidence permits it but does not compel it.</w:t>
      </w:r>
    </w:p>
    <w:p>
      <w:pPr>
        <w:pStyle w:val="BodyText"/>
      </w:pPr>
      <w:r>
        <w:rPr>
          <w:b/>
          <w:bCs/>
        </w:rPr>
        <w:t xml:space="preserve">A negative control worth more than either number.</w:t>
      </w:r>
      <w:r>
        <w:t xml:space="preserve"> </w:t>
      </w:r>
      <w:r>
        <w:t xml:space="preserve">We refitted the identical model with the</w:t>
      </w:r>
      <w:r>
        <w:t xml:space="preserve"> </w:t>
      </w:r>
      <w:r>
        <w:rPr>
          <w:i/>
          <w:iCs/>
        </w:rPr>
        <w:t xml:space="preserve">number</w:t>
      </w:r>
      <w:r>
        <w:rPr>
          <w:i/>
          <w:iCs/>
        </w:rPr>
        <w:t xml:space="preserve"> </w:t>
      </w:r>
      <w:r>
        <w:rPr>
          <w:i/>
          <w:iCs/>
        </w:rPr>
        <w:t xml:space="preserve">of measurements</w:t>
      </w:r>
      <w:r>
        <w:t xml:space="preserve"> </w:t>
      </w:r>
      <w:r>
        <w:t xml:space="preserve">as its target — it never sees a yield. That ranking reaches</w:t>
      </w:r>
      <w:r>
        <w:t xml:space="preserve"> </w:t>
      </w:r>
      <w:r>
        <w:rPr>
          <w:b/>
          <w:bCs/>
        </w:rPr>
        <w:t xml:space="preserve">Spearman 0.400</w:t>
      </w:r>
      <w:r>
        <w:t xml:space="preserve"> </w:t>
      </w:r>
      <w:r>
        <w:t xml:space="preserve">against</w:t>
      </w:r>
      <w:r>
        <w:t xml:space="preserve"> </w:t>
      </w:r>
      <w:r>
        <w:t xml:space="preserve">observed maximum yield, but enrichment</w:t>
      </w:r>
      <w:r>
        <w:t xml:space="preserve"> </w:t>
      </w:r>
      <w:r>
        <w:rPr>
          <w:b/>
          <w:bCs/>
        </w:rPr>
        <w:t xml:space="preserve">0.87×</w:t>
      </w:r>
      <w:r>
        <w:t xml:space="preserve">, no better than chance. Rank correlation is partly</w:t>
      </w:r>
      <w:r>
        <w:t xml:space="preserve"> </w:t>
      </w:r>
      <w:r>
        <w:t xml:space="preserve">purchasable from experimental effort; enrichment is not. That is why we treat enrichment as primary.</w:t>
      </w:r>
    </w:p>
    <w:p>
      <w:pPr>
        <w:pStyle w:val="BodyText"/>
      </w:pPr>
      <w:r>
        <w:rPr>
          <w:b/>
          <w:bCs/>
        </w:rPr>
        <w:t xml:space="preserve">One consequence for campaign design.</w:t>
      </w:r>
      <w:r>
        <w:t xml:space="preserve"> </w:t>
      </w:r>
      <w:r>
        <w:t xml:space="preserve">Inside the model’s own top-ranked region — the only regime a</w:t>
      </w:r>
      <w:r>
        <w:t xml:space="preserve"> </w:t>
      </w:r>
      <w:r>
        <w:t xml:space="preserve">campaign occupies — internal ordering carries little information: ρ =</w:t>
      </w:r>
      <w:r>
        <w:t xml:space="preserve"> </w:t>
      </w:r>
      <w:r>
        <w:rPr>
          <w:b/>
          <w:bCs/>
        </w:rPr>
        <w:t xml:space="preserve">0.179</w:t>
      </w:r>
      <w:r>
        <w:t xml:space="preserve"> </w:t>
      </w:r>
      <w:r>
        <w:t xml:space="preserve">within the top 150 and</w:t>
      </w:r>
      <w:r>
        <w:t xml:space="preserve"> </w:t>
      </w:r>
      <w:r>
        <w:rPr>
          <w:b/>
          <w:bCs/>
        </w:rPr>
        <w:t xml:space="preserve">−0.066</w:t>
      </w:r>
      <w:r>
        <w:t xml:space="preserve"> </w:t>
      </w:r>
      <w:r>
        <w:t xml:space="preserve">within the top 20. The model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(its top 20 average 17.3 % observed maximum</w:t>
      </w:r>
      <w:r>
        <w:t xml:space="preserve"> </w:t>
      </w:r>
      <w:r>
        <w:t xml:space="preserve">against ~10.5 % library-wide)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selection. A shortlist is a set to test,</w:t>
      </w:r>
      <w:r>
        <w:t xml:space="preserve"> </w:t>
      </w:r>
      <w:r>
        <w:t xml:space="preserve">not a league table.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3 — What drives achievable maximum yield. Composition-only model. (Regenerated: the corresponding v1 figure ranked the literature prior first, because that model was the leaked pipeline.)" title="" id="19" name="Picture"/>
            <a:graphic>
              <a:graphicData uri="http://schemas.openxmlformats.org/drawingml/2006/picture">
                <pic:pic>
                  <pic:nvPicPr>
                    <pic:cNvPr descr="fig_shap_ba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What drives achievable maximum yield.</w:t>
      </w:r>
      <w:r>
        <w:t xml:space="preserve"> </w:t>
      </w:r>
      <w:r>
        <w:t xml:space="preserve">Composition-only model.</w:t>
      </w:r>
      <w:r>
        <w:t xml:space="preserve"> </w:t>
      </w:r>
      <w:r>
        <w:rPr>
          <w:i/>
          <w:iCs/>
        </w:rPr>
        <w:t xml:space="preserve">(Regenerated: the corresponding v1 figure ranked the literature prior first, because that model was the leaked pipeline.)</w:t>
      </w:r>
    </w:p>
    <w:bookmarkEnd w:id="21"/>
    <w:bookmarkStart w:id="22" w:name="Xcd9df9c808bd1d6a0adde7df399c4168a839bd0"/>
    <w:p>
      <w:pPr>
        <w:pStyle w:val="Heading2"/>
      </w:pPr>
      <w:r>
        <w:t xml:space="preserve">4. How much of the condition grid does a catalyst need?</w:t>
      </w:r>
    </w:p>
    <w:p>
      <w:pPr>
        <w:pStyle w:val="FirstParagraph"/>
      </w:pPr>
      <w:r>
        <w:t xml:space="preserve">Keep only k of the ~27 measurements per catalyst–temperature cell (drawn at random, 5 independent</w:t>
      </w:r>
      <w:r>
        <w:t xml:space="preserve"> </w:t>
      </w:r>
      <w:r>
        <w:t xml:space="preserve">draws per k, always scored against the true maximum from the full data):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Measurements kept</w:t>
            </w:r>
          </w:p>
        </w:tc>
        <w:tc>
          <w:tcPr/>
          <w:p>
            <w:pPr>
              <w:pStyle w:val="Compact"/>
            </w:pPr>
            <w:r>
              <w:t xml:space="preserve">Share of full grid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per cell (~5 runs/catalyst)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0.759 ± 0.002</w:t>
            </w:r>
          </w:p>
        </w:tc>
        <w:tc>
          <w:tcPr/>
          <w:p>
            <w:pPr>
              <w:pStyle w:val="Compact"/>
            </w:pPr>
            <w:r>
              <w:t xml:space="preserve">3.99×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per cell (~10 runs/catalyst)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0.760 ± 0.002</w:t>
            </w:r>
          </w:p>
        </w:tc>
        <w:tc>
          <w:tcPr/>
          <w:p>
            <w:pPr>
              <w:pStyle w:val="Compact"/>
            </w:pPr>
            <w:r>
              <w:t xml:space="preserve">4.11×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per cell (~15 runs/catalyst)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  <w:tc>
          <w:tcPr/>
          <w:p>
            <w:pPr>
              <w:pStyle w:val="Compact"/>
            </w:pPr>
            <w:r>
              <w:t xml:space="preserve">0.765 ± 0.002</w:t>
            </w:r>
          </w:p>
        </w:tc>
        <w:tc>
          <w:tcPr/>
          <w:p>
            <w:pPr>
              <w:pStyle w:val="Compact"/>
            </w:pPr>
            <w:r>
              <w:t xml:space="preserve">4.24×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~27 per cell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</w:tr>
    </w:tbl>
    <w:p>
      <w:pPr>
        <w:pStyle w:val="BodyText"/>
      </w:pPr>
      <w:r>
        <w:t xml:space="preserve">One measurement per cell ranks almost as well as all 27, stable across five independent draws. Labels</w:t>
      </w:r>
      <w:r>
        <w:t xml:space="preserve"> </w:t>
      </w:r>
      <w:r>
        <w:t xml:space="preserve">are biased low (−2.8 yield points at k = 1, below 0.4 by k = 13), but the bias is roughly uniform</w:t>
      </w:r>
      <w:r>
        <w:t xml:space="preserve"> </w:t>
      </w:r>
      <w:r>
        <w:t xml:space="preserve">across catalysts, so ranking survives even though absolute yield estimates would not.</w:t>
      </w:r>
    </w:p>
    <w:p>
      <w:pPr>
        <w:pStyle w:val="BodyText"/>
      </w:pPr>
      <w:r>
        <w:t xml:space="preserve">Temperature is different. 700 °C alone gives ρ = 0.346, enrichment 1.07× — no better than chance —</w:t>
      </w:r>
      <w:r>
        <w:t xml:space="preserve"> </w:t>
      </w:r>
      <w:r>
        <w:t xml:space="preserve">because 70 % of catalysts reach their maximum at 800 °C or above.</w:t>
      </w:r>
      <w:r>
        <w:t xml:space="preserve"> </w:t>
      </w:r>
      <w:r>
        <w:rPr>
          <w:b/>
          <w:bCs/>
        </w:rPr>
        <w:t xml:space="preserve">Redundancy is within a</w:t>
      </w:r>
      <w:r>
        <w:rPr>
          <w:b/>
          <w:bCs/>
        </w:rPr>
        <w:t xml:space="preserve"> </w:t>
      </w:r>
      <w:r>
        <w:rPr>
          <w:b/>
          <w:bCs/>
        </w:rPr>
        <w:t xml:space="preserve">temperature, not across temperatures.</w:t>
      </w:r>
      <w:r>
        <w:t xml:space="preserve"> </w:t>
      </w:r>
      <w:r>
        <w:t xml:space="preserve">Mechanism: between-catalyst spread in true maximum yield</w:t>
      </w:r>
      <w:r>
        <w:t xml:space="preserve"> </w:t>
      </w:r>
      <w:r>
        <w:t xml:space="preserve">(SD 5.32) is 3.8× the typical spread within one cell (SD 1.41).</w:t>
      </w:r>
    </w:p>
    <w:p>
      <w:pPr>
        <w:pStyle w:val="BodyText"/>
      </w:pPr>
      <w:r>
        <w:rPr>
          <w:b/>
          <w:bCs/>
        </w:rPr>
        <w:t xml:space="preserve">This depends on the 27 slots being individually selectable.</w:t>
      </w:r>
      <w:r>
        <w:t xml:space="preserve"> </w:t>
      </w:r>
      <w:r>
        <w:t xml:space="preserve">If they are successive samples from one</w:t>
      </w:r>
      <w:r>
        <w:t xml:space="preserve"> </w:t>
      </w:r>
      <w:r>
        <w:t xml:space="preserve">continuous run,</w:t>
      </w:r>
      <w:r>
        <w:t xml:space="preserve"> </w:t>
      </w:r>
      <w:r>
        <w:t xml:space="preserve">“keep 1 of 27”</w:t>
      </w:r>
      <w:r>
        <w:t xml:space="preserve"> </w:t>
      </w:r>
      <w:r>
        <w:t xml:space="preserve">means stopping a run early, not choosing a condition, and the result</w:t>
      </w:r>
      <w:r>
        <w:t xml:space="preserve"> </w:t>
      </w:r>
      <w:r>
        <w:t xml:space="preserve">would not transfer to a prospective design. See question 2 in §8.</w:t>
      </w:r>
    </w:p>
    <w:bookmarkEnd w:id="22"/>
    <w:bookmarkStart w:id="26" w:name="X9d3780d3e41cef1897423057dfd6718d2ec2415"/>
    <w:p>
      <w:pPr>
        <w:pStyle w:val="Heading2"/>
      </w:pPr>
      <w:r>
        <w:t xml:space="preserve">5. Why Ba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(ρ = 0.526 in</w:t>
      </w:r>
      <w:r>
        <w:t xml:space="preserve"> </w:t>
      </w:r>
      <w:r>
        <w:t xml:space="preserve">the direct family-holdout run,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). Ba</w:t>
      </w:r>
      <w:r>
        <w:t xml:space="preserve"> </w:t>
      </w:r>
      <w:r>
        <w:t xml:space="preserve">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 and</w:t>
      </w:r>
      <w:r>
        <w:t xml:space="preserve"> </w:t>
      </w:r>
      <w:r>
        <w:rPr>
          <w:b/>
          <w:bCs/>
        </w:rPr>
        <w:t xml:space="preserve">78 % of the lab’s</w:t>
      </w:r>
      <w:r>
        <w:rPr>
          <w:b/>
          <w:bCs/>
        </w:rPr>
        <w:t xml:space="preserve"> </w:t>
      </w:r>
      <w:r>
        <w:rPr>
          <w:b/>
          <w:bCs/>
        </w:rPr>
        <w:t xml:space="preserve">top decile contains Ba</w:t>
      </w:r>
      <w:r>
        <w:t xml:space="preserve"> </w:t>
      </w:r>
      <w:r>
        <w:t xml:space="preserve">— removing them removes the high-yield regime.</w:t>
      </w:r>
    </w:p>
    <w:p>
      <w:pPr>
        <w:pStyle w:val="BodyText"/>
      </w:pPr>
      <w:r>
        <w:t xml:space="preserve">The mechanism is provable. With no Ba in training the Ba column is constant, so no tree splits on it,</w:t>
      </w:r>
      <w:r>
        <w:t xml:space="preserve"> </w:t>
      </w:r>
      <w:r>
        <w:t xml:space="preserve">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</w:t>
      </w:r>
      <w:r>
        <w:t xml:space="preserve"> </w:t>
      </w:r>
      <w:r>
        <w:t xml:space="preserve">prices Ba catalysts as though Ba were absent, underpredicting the best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</w:t>
      </w:r>
      <w:r>
        <w:t xml:space="preserve"> </w:t>
      </w:r>
      <w:r>
        <w:t xml:space="preserve">random pseudo-families of equal size score 0.752, so this is label coverage, not sample size.</w:t>
      </w:r>
    </w:p>
    <w:p>
      <w:pPr>
        <w:pStyle w:val="BodyText"/>
      </w:pPr>
      <w:r>
        <w:t xml:space="preserve">The table below comes from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 — the learning curve in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 which varies how many family members are in training. Its zero-members</w:t>
      </w:r>
      <w:r>
        <w:t xml:space="preserve"> </w:t>
      </w:r>
      <w:r>
        <w:t xml:space="preserve">point measures the same idea as the holdout above through a different protocol, which is why Ba reads</w:t>
      </w:r>
      <w:r>
        <w:t xml:space="preserve"> </w:t>
      </w:r>
      <w:r>
        <w:t xml:space="preserve">0.509 here against 0.526 there. Both are 5-seed means; the learning-curve point is the noisier of the</w:t>
      </w:r>
      <w:r>
        <w:t xml:space="preserve"> </w:t>
      </w:r>
      <w:r>
        <w:t xml:space="preserve">two (SD 0.032 against 0.004).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4 — A data budget for new chemistry. Left: performance against family members already measured. Right: fraction of achievable performance reached having seen none." title="" id="24" name="Picture"/>
            <a:graphic>
              <a:graphicData uri="http://schemas.openxmlformats.org/drawingml/2006/picture">
                <pic:pic>
                  <pic:nvPicPr>
                    <pic:cNvPr descr="fig_learning_curv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A data budget for new chemistry.</w:t>
      </w:r>
      <w:r>
        <w:t xml:space="preserve"> </w:t>
      </w:r>
      <w:r>
        <w:t xml:space="preserve">Left: performance against family members already measured. Right: fraction of achievable performance reached having seen none.</w:t>
      </w:r>
    </w:p>
    <w:p>
      <w:pPr>
        <w:pStyle w:val="BodyText"/>
      </w:pPr>
      <w:r>
        <w:t xml:space="preserve">Ba is the most</w:t>
      </w:r>
      <w:r>
        <w:t xml:space="preserve"> </w:t>
      </w:r>
      <w:r>
        <w:rPr>
          <w:i/>
          <w:iCs/>
        </w:rPr>
        <w:t xml:space="preserve">consequential</w:t>
      </w:r>
      <w:r>
        <w:t xml:space="preserve"> </w:t>
      </w:r>
      <w:r>
        <w:t xml:space="preserve">family to lose, not the hardest to predict — five of the 28 score below</w:t>
      </w:r>
      <w:r>
        <w:t xml:space="preserve"> </w:t>
      </w:r>
      <w:r>
        <w:t xml:space="preserve">it (Pd 0.217, Cu 0.286, Al 0.329, Ni 0.329, Co 0.493). What sets Ba apart is weight: it holds 78 % of</w:t>
      </w:r>
      <w:r>
        <w:t xml:space="preserve"> </w:t>
      </w:r>
      <w:r>
        <w:t xml:space="preserve">the top decile and gains far more than any other family from seeing its own members (+0.175, against</w:t>
      </w:r>
      <w:r>
        <w:t xml:space="preserve"> </w:t>
      </w:r>
      <w:r>
        <w:t xml:space="preserve">+0.047 to +0.079 elsewhere).</w:t>
      </w:r>
    </w:p>
    <w:p>
      <w:pPr>
        <w:pStyle w:val="BodyText"/>
      </w:pPr>
      <w:r>
        <w:rPr>
          <w:b/>
          <w:bCs/>
        </w:rPr>
        <w:t xml:space="preserve">On the data budget, the threshold depends on the definition, and the two readings differ by five</w:t>
      </w:r>
      <w:r>
        <w:rPr>
          <w:b/>
          <w:bCs/>
        </w:rPr>
        <w:t xml:space="preserve"> </w:t>
      </w:r>
      <w:r>
        <w:rPr>
          <w:b/>
          <w:bCs/>
        </w:rPr>
        <w:t xml:space="preserve">times.</w:t>
      </w:r>
      <w:r>
        <w:t xml:space="preserve"> </w:t>
      </w:r>
      <w:r>
        <w:t xml:space="preserve">The Ba curve runs 0.509 (none seen) → 0.565 (10) → 0.616 (25) → 0.651 (50) → 0.683 (all 204).</w:t>
      </w:r>
      <w:r>
        <w:t xml:space="preserve"> </w:t>
      </w:r>
      <w:r>
        <w:t xml:space="preserve">Taking 80 % of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(0.547) gives</w:t>
      </w:r>
      <w:r>
        <w:t xml:space="preserve"> </w:t>
      </w:r>
      <w:r>
        <w:rPr>
          <w:b/>
          <w:bCs/>
        </w:rPr>
        <w:t xml:space="preserve">10 members</w:t>
      </w:r>
      <w:r>
        <w:t xml:space="preserve">; taking 80 % of the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(0.648)</w:t>
      </w:r>
      <w:r>
        <w:t xml:space="preserve"> </w:t>
      </w:r>
      <w:r>
        <w:t xml:space="preserve">gives roughly</w:t>
      </w:r>
      <w:r>
        <w:t xml:space="preserve"> </w:t>
      </w:r>
      <w:r>
        <w:rPr>
          <w:b/>
          <w:bCs/>
        </w:rPr>
        <w:t xml:space="preserve">50</w:t>
      </w:r>
      <w:r>
        <w:t xml:space="preserve">. We now think the second is more meaningful: Ba already reaches 0.509 having seen</w:t>
      </w:r>
      <w:r>
        <w:t xml:space="preserve"> </w:t>
      </w:r>
      <w:r>
        <w:t xml:space="preserve">no Ba at all, so the level-based bar is nearly cleared by seeing nothing. The same caution applies to</w:t>
      </w:r>
      <w:r>
        <w:t xml:space="preserve"> </w:t>
      </w:r>
      <w:r>
        <w:t xml:space="preserve">the</w:t>
      </w:r>
      <w:r>
        <w:t xml:space="preserve"> </w:t>
      </w:r>
      <w:r>
        <w:t xml:space="preserve">“0 needed”</w:t>
      </w:r>
      <w:r>
        <w:t xml:space="preserve"> </w:t>
      </w:r>
      <w:r>
        <w:t xml:space="preserve">for La, Ti, Zr and Ce. Reaching 95 % takes about 50 for Ba and 25–50 for the others —</w:t>
      </w:r>
      <w:r>
        <w:t xml:space="preserve"> </w:t>
      </w:r>
      <w:r>
        <w:t xml:space="preserve">order-of-magnitude guidance only, since for Ti and Zr the per-point seed spread (0.03–0.12) is</w:t>
      </w:r>
      <w:r>
        <w:t xml:space="preserve"> </w:t>
      </w:r>
      <w:r>
        <w:t xml:space="preserve">comparable to the whole gain.</w:t>
      </w:r>
    </w:p>
    <w:bookmarkEnd w:id="26"/>
    <w:bookmarkStart w:id="27" w:name="X4c516e742cd4f94fc4850084fd7794e268a551e"/>
    <w:p>
      <w:pPr>
        <w:pStyle w:val="Heading2"/>
      </w:pPr>
      <w:r>
        <w:t xml:space="preserve">6.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your own design grammar — impregnation, one support at</w:t>
      </w:r>
      <w:r>
        <w:t xml:space="preserve"> </w:t>
      </w:r>
      <w:r>
        <w:t xml:space="preserve">~90 % with 2–3 promoters at ~3.33 %, drawn from supports and promoters already in use — and scored</w:t>
      </w:r>
      <w:r>
        <w:t xml:space="preserve"> </w:t>
      </w:r>
      <w:r>
        <w:t xml:space="preserve">them with a 10-seed ensemble. No literature prior is used. Every candidate carries a coverage flag,</w:t>
      </w:r>
      <w:r>
        <w:t xml:space="preserve"> </w:t>
      </w:r>
      <w:r>
        <w:t xml:space="preserve">verified rather than assumed: for an element absent from our data (Ag), predictions with and without</w:t>
      </w:r>
      <w:r>
        <w:t xml:space="preserve"> </w:t>
      </w:r>
      <w:r>
        <w:t xml:space="preserve">its column differ by exactly zero, confirming such candidates are unpriceable and must be flagged.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18.79 %. We</w:t>
      </w:r>
      <w:r>
        <w:t xml:space="preserve"> </w:t>
      </w:r>
      <w:r>
        <w:t xml:space="preserve">deliberately attach no error bar: the ± 0.09 our ensemble reports is only seed spread, while the</w:t>
      </w:r>
      <w:r>
        <w:t xml:space="preserve"> </w:t>
      </w:r>
      <w:r>
        <w:t xml:space="preserve">model’s catalyst-level error on held-out catalysts is about</w:t>
      </w:r>
      <w:r>
        <w:t xml:space="preserve"> </w:t>
      </w:r>
      <w:r>
        <w:rPr>
          <w:b/>
          <w:bCs/>
        </w:rPr>
        <w:t xml:space="preserve">2.7 yield points</w:t>
      </w:r>
      <w:r>
        <w:t xml:space="preserve"> </w:t>
      </w:r>
      <w:r>
        <w:t xml:space="preserve">(MAE). The number</w:t>
      </w:r>
      <w:r>
        <w:t xml:space="preserve"> </w:t>
      </w:r>
      <w:r>
        <w:t xml:space="preserve">ranks candidates; it does not forecast a yield. Absolute predictions also compress at the extreme —</w:t>
      </w:r>
      <w:r>
        <w:t xml:space="preserve"> </w:t>
      </w:r>
      <w:r>
        <w:t xml:space="preserve">our maximum is 18.79 % against observed training yields reaching 21.50 %.</w:t>
      </w:r>
    </w:p>
    <w:p>
      <w:pPr>
        <w:pStyle w:val="BodyText"/>
      </w:pPr>
      <w:r>
        <w:t xml:space="preserve">The top 20 are chemically monotonous (all Ba, mostly Mo), and a diversity constraint did not change</w:t>
      </w:r>
      <w:r>
        <w:t xml:space="preserve"> </w:t>
      </w:r>
      <w:r>
        <w:t xml:space="preserve">this, because the model’s Ba preference is genuine. Best candidate per support: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suggested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</w:t>
      </w:r>
      <w:r>
        <w:t xml:space="preserve"> </w:t>
      </w:r>
      <w:r>
        <w:t xml:space="preserve">splits the budget:</w:t>
      </w:r>
      <w:r>
        <w:t xml:space="preserve"> </w:t>
      </w:r>
      <w:r>
        <w:rPr>
          <w:b/>
          <w:bCs/>
        </w:rPr>
        <w:t xml:space="preserve">Tier A</w:t>
      </w:r>
      <w:r>
        <w:t xml:space="preserve">, 12</w:t>
      </w:r>
      <w:r>
        <w:t xml:space="preserve"> </w:t>
      </w:r>
      <w:r>
        <w:t xml:space="preserve">catalysts at the model’s optimum (18.33–18.79 %), where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would be genuine</w:t>
      </w:r>
      <w:r>
        <w:t xml:space="preserve"> </w:t>
      </w:r>
      <w:r>
        <w:t xml:space="preserve">top-decile performers on the retrospective precision@20 CI of 0.15–0.65; and</w:t>
      </w:r>
      <w:r>
        <w:t xml:space="preserve"> </w:t>
      </w:r>
      <w:r>
        <w:rPr>
          <w:b/>
          <w:bCs/>
        </w:rPr>
        <w:t xml:space="preserve">Tier B</w:t>
      </w:r>
      <w:r>
        <w:t xml:space="preserve">, 5 catalysts</w:t>
      </w:r>
      <w:r>
        <w:t xml:space="preserve"> </w:t>
      </w:r>
      <w:r>
        <w:t xml:space="preserve">one per alternative support (Ti 16.49, La 15.82, Ca 15.54, Mg 14.66, Si 13.83). Tier B costs predicted</w:t>
      </w:r>
      <w:r>
        <w:t xml:space="preserve"> </w:t>
      </w:r>
      <w:r>
        <w:t xml:space="preserve">yield and we do not expect it to win — it is an information purchase, since 78 % of the existing top</w:t>
      </w:r>
      <w:r>
        <w:t xml:space="preserve"> </w:t>
      </w:r>
      <w:r>
        <w:t xml:space="preserve">decile already contains Ba, so the model’s preference may partly reflect coverage rather than</w:t>
      </w:r>
      <w:r>
        <w:t xml:space="preserve"> </w:t>
      </w:r>
      <w:r>
        <w:t xml:space="preserve">chemistry. We defer to your judgement on synthesis feasibility.</w:t>
      </w:r>
    </w:p>
    <w:p>
      <w:pPr>
        <w:pStyle w:val="BodyText"/>
      </w:pPr>
      <w:r>
        <w:rPr>
          <w:b/>
          <w:bCs/>
        </w:rPr>
        <w:t xml:space="preserve">A limit we should state plainly before you spend reactor time.</w:t>
      </w:r>
      <w:r>
        <w:t xml:space="preserve"> </w:t>
      </w:r>
      <w:r>
        <w:t xml:space="preserve">Seventeen catalysts from the</w:t>
      </w:r>
      <w:r>
        <w:t xml:space="preserve"> </w:t>
      </w:r>
      <w:r>
        <w:t xml:space="preserve">top-ranked region with no control arm cannot confirm or refute the model — per §3, internal ordering</w:t>
      </w:r>
      <w:r>
        <w:t xml:space="preserve"> </w:t>
      </w:r>
      <w:r>
        <w:t xml:space="preserve">there is close to uninformative. The list is a reasonable set to</w:t>
      </w:r>
      <w:r>
        <w:t xml:space="preserve"> </w:t>
      </w:r>
      <w:r>
        <w:rPr>
          <w:i/>
          <w:iCs/>
        </w:rPr>
        <w:t xml:space="preserve">try</w:t>
      </w:r>
      <w:r>
        <w:t xml:space="preserve">; it is not a test.</w:t>
      </w:r>
    </w:p>
    <w:p>
      <w:pPr>
        <w:pStyle w:val="BodyText"/>
      </w:pPr>
      <w:r>
        <w:t xml:space="preserve">If a test is wanted, a different allocation of the same reactor budget: measuring 5 conditions at each</w:t>
      </w:r>
      <w:r>
        <w:t xml:space="preserve"> </w:t>
      </w:r>
      <w:r>
        <w:t xml:space="preserve">of 750, 800, 850 and 900 °C — 20 runs rather than 135 — reproduces the ranking of your 811</w:t>
      </w:r>
      <w:r>
        <w:t xml:space="preserve"> </w:t>
      </w:r>
      <w:r>
        <w:t xml:space="preserve">fully-measured catalysts at ρ =</w:t>
      </w:r>
      <w:r>
        <w:t xml:space="preserve"> </w:t>
      </w:r>
      <w:r>
        <w:rPr>
          <w:b/>
          <w:bCs/>
        </w:rPr>
        <w:t xml:space="preserve">0.955</w:t>
      </w:r>
      <w:r>
        <w:t xml:space="preserve"> </w:t>
      </w:r>
      <w:r>
        <w:t xml:space="preserve">(low by 1.31 yield points, a bias that can be pre-declared;</w:t>
      </w:r>
      <w:r>
        <w:t xml:space="preserve"> </w:t>
      </w:r>
      <w:r>
        <w:t xml:space="preserve">§4 has the stability-checked version). That buys roughly</w:t>
      </w:r>
      <w:r>
        <w:t xml:space="preserve"> </w:t>
      </w:r>
      <w:r>
        <w:rPr>
          <w:b/>
          <w:bCs/>
        </w:rPr>
        <w:t xml:space="preserve">72 catalysts screened instead of 17</w:t>
      </w:r>
      <w:r>
        <w:t xml:space="preserve"> </w:t>
      </w:r>
      <w:r>
        <w:t xml:space="preserve">measured exhaustively, the best few then confirmed at full coverage, with part of the batch drawn at</w:t>
      </w:r>
      <w:r>
        <w:t xml:space="preserve"> </w:t>
      </w:r>
      <w:r>
        <w:t xml:space="preserve">random as a control arm. The cost is more syntheses for the same reactor hours.</w:t>
      </w:r>
    </w:p>
    <w:bookmarkEnd w:id="27"/>
    <w:bookmarkStart w:id="28" w:name="relation-to-prior-work"/>
    <w:p>
      <w:pPr>
        <w:pStyle w:val="Heading2"/>
      </w:pPr>
      <w:r>
        <w:t xml:space="preserve">7. Relation to prior work</w:t>
      </w:r>
    </w:p>
    <w:p>
      <w:pPr>
        <w:pStyle w:val="FirstParagraph"/>
      </w:pPr>
      <w:r>
        <w:t xml:space="preserve">The mechanism of PFT — a model’s prediction used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term.</w:t>
      </w:r>
    </w:p>
    <w:p>
      <w:pPr>
        <w:pStyle w:val="BodyText"/>
      </w:pPr>
      <w:r>
        <w:rPr>
          <w:b/>
          <w:bCs/>
        </w:rPr>
        <w:t xml:space="preserve">Our corrected understanding of when it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 deterministic</w:t>
      </w:r>
      <w:r>
        <w:t xml:space="preserve"> </w:t>
      </w:r>
      <w:r>
        <w:t xml:space="preserve">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 add</w:t>
      </w:r>
      <w:r>
        <w:t xml:space="preserve"> </w:t>
      </w:r>
      <w:r>
        <w:t xml:space="preserve">information. It can only supply an inductive bias, or exploit source data covering regions the target</w:t>
      </w:r>
      <w:r>
        <w:t xml:space="preserve"> </w:t>
      </w:r>
      <w:r>
        <w:t xml:space="preserve">does not. Neither applies here at scale: ~79.7 % of the literature is out-of-distribution relative to</w:t>
      </w:r>
      <w:r>
        <w:t xml:space="preserve"> </w:t>
      </w:r>
      <w:r>
        <w:t xml:space="preserve">the lab; quantile normalisation aligns marginal but not conditional distributions; and literature</w:t>
      </w:r>
      <w:r>
        <w:t xml:space="preserve"> </w:t>
      </w:r>
      <w:r>
        <w:t xml:space="preserve">yields come from each paper’s own conditions, whereas our target is a maximum over a standardised</w:t>
      </w:r>
      <w:r>
        <w:t xml:space="preserve"> </w:t>
      </w:r>
      <w:r>
        <w:t xml:space="preserve">battery.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 tool, not a</w:t>
      </w:r>
      <w:r>
        <w:rPr>
          <w:b/>
          <w:bCs/>
        </w:rPr>
        <w:t xml:space="preserve"> </w:t>
      </w:r>
      <w:r>
        <w:rPr>
          <w:b/>
          <w:bCs/>
        </w:rPr>
        <w:t xml:space="preserve">global-information tool</w:t>
      </w:r>
      <w:r>
        <w:t xml:space="preserve"> </w:t>
      </w:r>
      <w:r>
        <w:t xml:space="preserve">— which is exactly what §8 then confirms.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baseline; importance weighting (Huang et al., NIPS 2006;</w:t>
      </w:r>
      <w:r>
        <w:t xml:space="preserve"> </w:t>
      </w:r>
      <w:r>
        <w:t xml:space="preserve">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keeps source labels in the objective — our DRST and KMM baselines are</w:t>
      </w:r>
      <w:r>
        <w:t xml:space="preserve"> </w:t>
      </w:r>
      <w:r>
        <w:t xml:space="preserve">instances; label-shift correction (Lipton et al., ICML 2018) reweights the label distribution.</w:t>
      </w:r>
    </w:p>
    <w:bookmarkEnd w:id="28"/>
    <w:bookmarkStart w:id="29" w:name="X935a356fa2167f5343786b5dab875eac4d6aa1e"/>
    <w:p>
      <w:pPr>
        <w:pStyle w:val="Heading2"/>
      </w:pPr>
      <w:r>
        <w:t xml:space="preserve">8. Limitations, open questions, and what we are doing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literature contribution is not demonstrated in-domain.</w:t>
      </w:r>
      <w:r>
        <w:t xml:space="preserve"> </w:t>
      </w:r>
      <w:r>
        <w:t xml:space="preserve">Four designs plus a 28-family</w:t>
      </w:r>
      <w:r>
        <w:t xml:space="preserve"> </w:t>
      </w:r>
      <w:r>
        <w:t xml:space="preserve">follow-up all returned null. We report this rather than keep searching for a variant that scores.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Cross-preparation transfer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gives ρ = 0.398;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gives 0.238, where the model cannot select at all</w:t>
      </w:r>
      <w:r>
        <w:t xml:space="preserve"> </w:t>
      </w:r>
      <w:r>
        <w:t xml:space="preserve">(top-decile picks average 11.50 % against a population mean of 10.34 %, while the true top decile</w:t>
      </w:r>
      <w:r>
        <w:t xml:space="preserve"> </w:t>
      </w:r>
      <w:r>
        <w:t xml:space="preserve">averages 21.92 % — enrichment 0.42×, worse than random).</w:t>
      </w:r>
      <w:r>
        <w:t xml:space="preserve"> </w:t>
      </w:r>
      <w:r>
        <w:rPr>
          <w:b/>
          <w:bCs/>
        </w:rPr>
        <w:t xml:space="preserve">Adding impregnation literature to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raises ρ from 0.238 to 0.388 (+0.150, 5/5 seeds).</w:t>
      </w:r>
      <w:r>
        <w:t xml:space="preserve"> </w:t>
      </w:r>
      <w:r>
        <w:t xml:space="preserve">Two caveats: absolute performance</w:t>
      </w:r>
      <w:r>
        <w:t xml:space="preserve"> </w:t>
      </w:r>
      <w:r>
        <w:t xml:space="preserve">remains poor, and plain merging outperforms the prior-feature construction (0.388 vs 0.318) — the</w:t>
      </w:r>
      <w:r>
        <w:t xml:space="preserve"> </w:t>
      </w:r>
      <w:r>
        <w:t xml:space="preserve">value is the data, not the two-stage machinery.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Structural, not a modelling deficiency; §5 quantifies</w:t>
      </w:r>
      <w:r>
        <w:t xml:space="preserve"> </w:t>
      </w:r>
      <w:r>
        <w:t xml:space="preserve">the data needed to remove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maxima. More generally, how much of the grid was run tracks how well the</w:t>
      </w:r>
      <w:r>
        <w:t xml:space="preserve"> </w:t>
      </w:r>
      <w:r>
        <w:t xml:space="preserve">catalyst performed: Spearman(cell size, cell maximum yield) =</w:t>
      </w:r>
      <w:r>
        <w:t xml:space="preserve"> </w:t>
      </w:r>
      <w:r>
        <w:rPr>
          <w:b/>
          <w:bCs/>
        </w:rPr>
        <w:t xml:space="preserve">+0.441</w:t>
      </w:r>
      <w:r>
        <w:t xml:space="preserve">, mean cell yield rising from</w:t>
      </w:r>
      <w:r>
        <w:t xml:space="preserve"> </w:t>
      </w:r>
      <w:r>
        <w:t xml:space="preserve">2.22 % in cells of 1–5 rows to 6.05 % in cells of 27. Only 811 of 917 catalysts have all five</w:t>
      </w:r>
      <w:r>
        <w:t xml:space="preserve"> </w:t>
      </w:r>
      <w:r>
        <w:t xml:space="preserve">temperatures, and 186 cells are absent entirely. Excluding low-count catalysts changes our headline</w:t>
      </w:r>
      <w:r>
        <w:t xml:space="preserve"> </w:t>
      </w:r>
      <w:r>
        <w:t xml:space="preserve">by 0.002, so nothing here hinges on it. We do not know the cause: if incomplete runs were stopped</w:t>
      </w:r>
      <w:r>
        <w:t xml:space="preserve"> </w:t>
      </w:r>
      <w:r>
        <w:t xml:space="preserve">deliberately when results looked poor, the bias is correctable; if not, it may itself be</w:t>
      </w:r>
      <w:r>
        <w:t xml:space="preserve"> </w:t>
      </w:r>
      <w:r>
        <w:t xml:space="preserve">informative. Our correction holds either way, so we raise it as an observation rather than a</w:t>
      </w:r>
      <w:r>
        <w:t xml:space="preserve"> </w:t>
      </w:r>
      <w:r>
        <w:t xml:space="preserve">question.</w:t>
      </w:r>
    </w:p>
    <w:p>
      <w:pPr>
        <w:pStyle w:val="FirstParagraph"/>
      </w:pPr>
      <w:r>
        <w:rPr>
          <w:b/>
          <w:bCs/>
        </w:rPr>
        <w:t xml:space="preserve">Two questions, in order of value to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~27 condition settings per catalyst–temperature exist in retrievable form?</w:t>
      </w:r>
      <w:r>
        <w:t xml:space="preserve"> </w:t>
      </w:r>
      <w:r>
        <w:t xml:space="preserve">This is the</w:t>
      </w:r>
      <w:r>
        <w:t xml:space="preserve"> </w:t>
      </w:r>
      <w:r>
        <w:t xml:space="preserve">largest single opportunity: the 19.9 % of variance now unreachable becomes largely learnable,</w:t>
      </w:r>
      <w:r>
        <w:t xml:space="preserve"> </w:t>
      </w:r>
      <w:r>
        <w:t xml:space="preserve">condition-level modelling becomes meaningful, and row-level RMSE becomes a well-posed target again.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Are those ~27 measurements distinct reaction conditions, or successive time-on-stream samples at</w:t>
      </w:r>
      <w:r>
        <w:rPr>
          <w:b/>
          <w:bCs/>
        </w:rPr>
        <w:t xml:space="preserve"> </w:t>
      </w:r>
      <w:r>
        <w:rPr>
          <w:b/>
          <w:bCs/>
        </w:rPr>
        <w:t xml:space="preserve">a single condition?</w:t>
      </w:r>
      <w:r>
        <w:t xml:space="preserve"> </w:t>
      </w:r>
      <w:r>
        <w:t xml:space="preserve">We could not settle this from the file. If the latter, a catalyst’s maximum</w:t>
      </w:r>
      <w:r>
        <w:t xml:space="preserve"> </w:t>
      </w:r>
      <w:r>
        <w:t xml:space="preserve">is a fresh-catalyst transient rather than an achievable optimum — which changes both what our</w:t>
      </w:r>
      <w:r>
        <w:t xml:space="preserve"> </w:t>
      </w:r>
      <w:r>
        <w:t xml:space="preserve">target means and whether §4’s result transfers to a prospective design.</w:t>
      </w:r>
      <w:r>
        <w:t xml:space="preserve"> </w:t>
      </w:r>
      <w:r>
        <w:rPr>
          <w:b/>
          <w:bCs/>
        </w:rPr>
        <w:t xml:space="preserve">What we are doing meanwhile.</w:t>
      </w:r>
      <w:r>
        <w:t xml:space="preserve"> </w:t>
      </w:r>
      <w:r>
        <w:t xml:space="preserve">Our focus is accuracy rather than scope. Two directions: refining</w:t>
      </w:r>
      <w:r>
        <w:t xml:space="preserve"> </w:t>
      </w:r>
      <w:r>
        <w:t xml:space="preserve">the composition-based model, since §4 suggests the data may support a simpler and more stable</w:t>
      </w:r>
      <w:r>
        <w:t xml:space="preserve"> </w:t>
      </w:r>
      <w:r>
        <w:t xml:space="preserve">formulation than the one we use now; and revisiting the two-stage construction for the</w:t>
      </w:r>
      <w:r>
        <w:t xml:space="preserve"> </w:t>
      </w:r>
      <w:r>
        <w:t xml:space="preserve">cross-preparation case specifically, where literature data does measurably help (ρ 0.238 → 0.388) but</w:t>
      </w:r>
      <w:r>
        <w:t xml:space="preserve"> </w:t>
      </w:r>
      <w:r>
        <w:t xml:space="preserve">our two-stage version still loses to a plain merge (0.318 versus 0.388). That gap looks closable.</w:t>
      </w:r>
    </w:p>
    <w:p>
      <w:pPr>
        <w:pStyle w:val="FirstParagraph"/>
      </w:pPr>
      <w:r>
        <w:rPr>
          <w:i/>
          <w:iCs/>
        </w:rPr>
        <w:t xml:space="preserve">All numbers here are stored outputs of the scripts named at the head of this note; each figure is</w:t>
      </w:r>
      <w:r>
        <w:rPr>
          <w:i/>
          <w:iCs/>
        </w:rPr>
        <w:t xml:space="preserve"> </w:t>
      </w:r>
      <w:r>
        <w:rPr>
          <w:i/>
          <w:iCs/>
        </w:rPr>
        <w:t xml:space="preserve">generated from the corresponding experiment’s JSON, so figures cannot drift from the experiments that</w:t>
      </w:r>
      <w:r>
        <w:rPr>
          <w:i/>
          <w:iCs/>
        </w:rPr>
        <w:t xml:space="preserve"> </w:t>
      </w:r>
      <w:r>
        <w:rPr>
          <w:i/>
          <w:iCs/>
        </w:rPr>
        <w:t xml:space="preserve">produced them.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2026-09-19T06:58:39Z</dcterms:created>
  <dcterms:modified xsi:type="dcterms:W3CDTF">2026-09-19T06:58:39Z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