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2.png" ContentType="image/png"/>
  <Override PartName="/word/media/rId18.png" ContentType="image/png"/>
  <Override PartName="/word/media/rId32.png" ContentType="image/png"/>
  <Override PartName="/word/media/rId25.png" ContentType="image/png"/>
  <Override PartName="/word/media/rId41.png" ContentType="image/png"/>
  <Override PartName="/word/media/rId15.png" ContentType="image/png"/>
  <Override PartName="/word/media/rId9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c1683ef03f67eb891eab605de8d4b95addc8aac"/>
    <w:p>
      <w:pPr>
        <w:pStyle w:val="Heading1"/>
      </w:pPr>
      <w:r>
        <w:t xml:space="preserve">Work Note (v2) — Incorporating Published Literature Data into the Lab OCM Yield Model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Prof. Taniike</w:t>
      </w:r>
      <w:r>
        <w:t xml:space="preserve"> </w:t>
      </w:r>
      <w:r>
        <w:rPr>
          <w:b/>
          <w:bCs/>
        </w:rPr>
        <w:t xml:space="preserve">Topic:</w:t>
      </w:r>
      <w:r>
        <w:t xml:space="preserve"> </w:t>
      </w:r>
      <w:r>
        <w:t xml:space="preserve">A domain-adaptation study for C₂-yield prediction in Oxidative Coupling of Methane (OCM)</w:t>
      </w:r>
      <w:r>
        <w:t xml:space="preserve"> </w:t>
      </w:r>
      <w:r>
        <w:rPr>
          <w:b/>
          <w:bCs/>
        </w:rPr>
        <w:t xml:space="preserve">Supersedes:</w:t>
      </w:r>
      <w:r>
        <w:t xml:space="preserve"> </w:t>
      </w:r>
      <w:r>
        <w:t xml:space="preserve">version 1 of this note.</w:t>
      </w:r>
      <w:r>
        <w:t xml:space="preserve"> </w:t>
      </w:r>
      <w:r>
        <w:rPr>
          <w:b/>
          <w:bCs/>
        </w:rPr>
        <w:t xml:space="preserve">Companion code:</w:t>
      </w:r>
      <w:r>
        <w:t xml:space="preserve"> </w:t>
      </w:r>
      <w:r>
        <w:rPr>
          <w:rStyle w:val="VerbatimChar"/>
        </w:rPr>
        <w:t xml:space="preserve">ocm_methodology.ipynb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taniike_validation.py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phase3_lit_prior.py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phase4_family_diagnosis.py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phase5_target_audit.py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phase6_our_experiments.py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phase6_candidates.py</w:t>
      </w:r>
    </w:p>
    <w:p>
      <w:r>
        <w:pict>
          <v:rect style="width:0;height:1.5pt" o:hralign="center" o:hrstd="t" o:hr="t"/>
        </w:pict>
      </w:r>
    </w:p>
    <w:bookmarkStart w:id="12" w:name="what-changed-since-version-1"/>
    <w:p>
      <w:pPr>
        <w:pStyle w:val="Heading2"/>
      </w:pPr>
      <w:r>
        <w:t xml:space="preserve">What changed since version 1</w:t>
      </w:r>
    </w:p>
    <w:p>
      <w:pPr>
        <w:pStyle w:val="FirstParagraph"/>
      </w:pPr>
      <w:r>
        <w:t xml:space="preserve">Version 1 reported that a two-stage prior-feature method (</w:t>
      </w:r>
      <w:r>
        <w:t xml:space="preserve">“PFT”</w:t>
      </w:r>
      <w:r>
        <w:t xml:space="preserve">) improved C₂-yield prediction by</w:t>
      </w:r>
      <w:r>
        <w:t xml:space="preserve"> </w:t>
      </w:r>
      <w:r>
        <w:t xml:space="preserve">10.6 % over a lab-only baseline.</w:t>
      </w:r>
      <w:r>
        <w:t xml:space="preserve"> </w:t>
      </w:r>
      <w:r>
        <w:rPr>
          <w:b/>
          <w:bCs/>
        </w:rPr>
        <w:t xml:space="preserve">Following the stricter validation Prof. Taniike proposed, that</w:t>
      </w:r>
      <w:r>
        <w:rPr>
          <w:b/>
          <w:bCs/>
        </w:rPr>
        <w:t xml:space="preserve"> </w:t>
      </w:r>
      <w:r>
        <w:rPr>
          <w:b/>
          <w:bCs/>
        </w:rPr>
        <w:t xml:space="preserve">improvement does not survive, and we withdraw the claim.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 in v1</w:t>
            </w:r>
          </w:p>
        </w:tc>
        <w:tc>
          <w:tcPr/>
          <w:p>
            <w:pPr>
              <w:pStyle w:val="Compact"/>
            </w:pPr>
            <w:r>
              <w:t xml:space="preserve">Status in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PFT improves CV RMSE by 10.6 % (v1: 1.907 vs baseline 2.133)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Withdrawn.</w:t>
            </w:r>
            <w:r>
              <w:t xml:space="preserve"> </w:t>
            </w:r>
            <w:r>
              <w:t xml:space="preserve">The gain was catalyst-identity leakage; under catalyst-grouped CV, PFT is 1.8 %</w:t>
            </w:r>
            <w:r>
              <w:t xml:space="preserve"> </w:t>
            </w:r>
            <w:r>
              <w:rPr>
                <w:i/>
                <w:iCs/>
              </w:rPr>
              <w:t xml:space="preserve">worse</w:t>
            </w:r>
            <w:r>
              <w:t xml:space="preserve"> </w:t>
            </w:r>
            <w:r>
              <w:t xml:space="preserve">than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Literature data measurably helps the lab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demonstrated.</w:t>
            </w:r>
            <w:r>
              <w:t xml:space="preserve"> </w:t>
            </w:r>
            <w:r>
              <w:t xml:space="preserve">Four honest designs, all ≤ the composition-only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Quantile normalisation is a necessary 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supported.</w:t>
            </w:r>
            <w:r>
              <w:t xml:space="preserve"> </w:t>
            </w:r>
            <w:r>
              <w:t xml:space="preserve">Label treatment moves RMSE by 0.001–0.023, which at 3 seeds is inside run-to-run noise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New:</w:t>
            </w:r>
            <w:r>
              <w:t xml:space="preserve"> </w:t>
            </w:r>
            <w:r>
              <w:t xml:space="preserve">the composition-only model screens</w:t>
            </w:r>
            <w:r>
              <w:t xml:space="preserve"> </w:t>
            </w:r>
            <w:r>
              <w:rPr>
                <w:i/>
                <w:iCs/>
              </w:rPr>
              <w:t xml:space="preserve">unseen</w:t>
            </w:r>
            <w:r>
              <w:t xml:space="preserve"> </w:t>
            </w:r>
            <w:r>
              <w:t xml:space="preserve">catalysts usefully (ρ = 0.761 over all 917 catalysts, 0.724 on the 771 with comparable measurement effort; enrichment 3.04–4.89×)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New:</w:t>
            </w:r>
            <w:r>
              <w:t xml:space="preserve"> </w:t>
            </w:r>
            <w:r>
              <w:t xml:space="preserve">the Ba-family failure is mechanistically explained, and yields a data budget for new chemistry</w:t>
            </w:r>
          </w:p>
        </w:tc>
      </w:tr>
    </w:tbl>
    <w:p>
      <w:pPr>
        <w:pStyle w:val="BodyText"/>
      </w:pPr>
      <w:r>
        <w:t xml:space="preserve">The cause was specific and is now understood: our Stage-1 expert was trained on literature data</w:t>
      </w:r>
      <w:r>
        <w:t xml:space="preserve"> </w:t>
      </w:r>
      <w:r>
        <w:rPr>
          <w:i/>
          <w:iCs/>
        </w:rPr>
        <w:t xml:space="preserve">together with the lab training rows</w:t>
      </w:r>
      <w:r>
        <w:t xml:space="preserve">, so under a random row split it had seen the very catalysts it</w:t>
      </w:r>
      <w:r>
        <w:t xml:space="preserve"> </w:t>
      </w:r>
      <w:r>
        <w:t xml:space="preserve">was later asked to help predict. What follows is the corrected study.</w:t>
      </w:r>
    </w:p>
    <w:p>
      <w:pPr>
        <w:pStyle w:val="CaptionedFigure"/>
      </w:pPr>
      <w:r>
        <w:drawing>
          <wp:inline>
            <wp:extent cx="5334000" cy="1925208"/>
            <wp:effectExtent b="0" l="0" r="0" t="0"/>
            <wp:docPr descr="Figure 1 — The central finding. Identical models under two evaluation protocols. When every measurement of a catalyst is confined to one fold, the reported improvement inverts." title="" id="10" name="Picture"/>
            <a:graphic>
              <a:graphicData uri="http://schemas.openxmlformats.org/drawingml/2006/picture">
                <pic:pic>
                  <pic:nvPicPr>
                    <pic:cNvPr descr="fig_protocol_comparis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5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 — The central finding.</w:t>
      </w:r>
      <w:r>
        <w:t xml:space="preserve"> </w:t>
      </w:r>
      <w:r>
        <w:t xml:space="preserve">Identical models under two evaluation protocols. When every measurement of a catalyst is confined to one fold, the reported improvement inverts.</w:t>
      </w:r>
    </w:p>
    <w:bookmarkEnd w:id="12"/>
    <w:bookmarkStart w:id="13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We predict C₂ yield from catalyst composition using the lab’s own data (89,074 measurements, 2025,</w:t>
      </w:r>
      <w:r>
        <w:t xml:space="preserve"> </w:t>
      </w:r>
      <w:r>
        <w:t xml:space="preserve">impregnation route). A body of published literature data (3,852 measurements, 1982–2019) is also</w:t>
      </w:r>
      <w:r>
        <w:t xml:space="preserve"> </w:t>
      </w:r>
      <w:r>
        <w:t xml:space="preserve">available. The question is whether the literature can improve the lab model without degrading it.</w:t>
      </w:r>
    </w:p>
    <w:p>
      <w:pPr>
        <w:pStyle w:val="BodyText"/>
      </w:pPr>
      <w:r>
        <w:t xml:space="preserve">Two distributional differences make this a</w:t>
      </w:r>
      <w:r>
        <w:t xml:space="preserve"> </w:t>
      </w:r>
      <w:r>
        <w:rPr>
          <w:b/>
          <w:bCs/>
        </w:rPr>
        <w:t xml:space="preserve">domain-adaptation</w:t>
      </w:r>
      <w:r>
        <w:t xml:space="preserve"> </w:t>
      </w:r>
      <w:r>
        <w:t xml:space="preserve">problem: a</w:t>
      </w:r>
      <w:r>
        <w:t xml:space="preserve"> </w:t>
      </w:r>
      <w:r>
        <w:rPr>
          <w:b/>
          <w:bCs/>
        </w:rPr>
        <w:t xml:space="preserve">label shift</w:t>
      </w:r>
      <w:r>
        <w:t xml:space="preserve"> </w:t>
      </w:r>
      <w:r>
        <w:t xml:space="preserve">(literature</w:t>
      </w:r>
      <w:r>
        <w:t xml:space="preserve"> </w:t>
      </w:r>
      <w:r>
        <w:t xml:space="preserve">mean 8.670 % vs. lab 5.245 %, a +3.425 pp gap reflecting publication practice) and a</w:t>
      </w:r>
      <w:r>
        <w:t xml:space="preserve"> </w:t>
      </w:r>
      <w:r>
        <w:rPr>
          <w:b/>
          <w:bCs/>
        </w:rPr>
        <w:t xml:space="preserve">covariate</w:t>
      </w:r>
      <w:r>
        <w:rPr>
          <w:b/>
          <w:bCs/>
        </w:rPr>
        <w:t xml:space="preserve"> </w:t>
      </w:r>
      <w:r>
        <w:rPr>
          <w:b/>
          <w:bCs/>
        </w:rPr>
        <w:t xml:space="preserve">shift</w:t>
      </w:r>
      <w:r>
        <w:t xml:space="preserve"> </w:t>
      </w:r>
      <w:r>
        <w:t xml:space="preserve">(the two collections emphasise different chemistry).</w:t>
      </w:r>
    </w:p>
    <w:bookmarkEnd w:id="13"/>
    <w:bookmarkStart w:id="14" w:name="evaluation-methodology"/>
    <w:p>
      <w:pPr>
        <w:pStyle w:val="Heading2"/>
      </w:pPr>
      <w:r>
        <w:t xml:space="preserve">2. Evaluation methodology</w:t>
      </w:r>
    </w:p>
    <w:p>
      <w:pPr>
        <w:pStyle w:val="FirstParagraph"/>
      </w:pPr>
      <w:r>
        <w:rPr>
          <w:b/>
          <w:bCs/>
        </w:rPr>
        <w:t xml:space="preserve">Catalyst-grouped cross-validation is now our default protocol.</w:t>
      </w:r>
      <w:r>
        <w:t xml:space="preserve"> </w:t>
      </w:r>
      <w:r>
        <w:t xml:space="preserve">All measurements of a given</w:t>
      </w:r>
      <w:r>
        <w:t xml:space="preserve"> </w:t>
      </w:r>
      <w:r>
        <w:t xml:space="preserve">catalyst are assigned to exactly one fold, so every reported number answers:</w:t>
      </w:r>
      <w:r>
        <w:t xml:space="preserve"> </w:t>
      </w:r>
      <w:r>
        <w:rPr>
          <w:i/>
          <w:iCs/>
        </w:rPr>
        <w:t xml:space="preserve">how well do we predict</w:t>
      </w:r>
      <w:r>
        <w:rPr>
          <w:i/>
          <w:iCs/>
        </w:rPr>
        <w:t xml:space="preserve"> </w:t>
      </w:r>
      <w:r>
        <w:rPr>
          <w:i/>
          <w:iCs/>
        </w:rPr>
        <w:t xml:space="preserve">a catalyst nobody has made yet?</w:t>
      </w:r>
      <w:r>
        <w:t xml:space="preserve"> </w:t>
      </w:r>
      <w:r>
        <w:t xml:space="preserve">Anything fitted on data — scaler, domain classifier, both model</w:t>
      </w:r>
      <w:r>
        <w:t xml:space="preserve"> </w:t>
      </w:r>
      <w:r>
        <w:t xml:space="preserve">stages — sees training-fold data only.</w:t>
      </w:r>
    </w:p>
    <w:p>
      <w:pPr>
        <w:pStyle w:val="BodyText"/>
      </w:pPr>
      <w:r>
        <w:rPr>
          <w:b/>
          <w:bCs/>
        </w:rPr>
        <w:t xml:space="preserve">Why the previous protocol was inadequate — a quantitative argument.</w:t>
      </w:r>
      <w:r>
        <w:t xml:space="preserve"> </w:t>
      </w:r>
      <w:r>
        <w:t xml:space="preserve">The 89,074 measurements</w:t>
      </w:r>
      <w:r>
        <w:t xml:space="preserve"> </w:t>
      </w:r>
      <w:r>
        <w:t xml:space="preserve">comprise only</w:t>
      </w:r>
      <w:r>
        <w:t xml:space="preserve"> </w:t>
      </w:r>
      <w:r>
        <w:rPr>
          <w:b/>
          <w:bCs/>
        </w:rPr>
        <w:t xml:space="preserve">917 distinct catalysts</w:t>
      </w:r>
      <w:r>
        <w:t xml:space="preserve"> </w:t>
      </w:r>
      <w:r>
        <w:t xml:space="preserve">at 5 temperatures, giving 4,399 (catalyst, temperature)</w:t>
      </w:r>
      <w:r>
        <w:t xml:space="preserve"> </w:t>
      </w:r>
      <w:r>
        <w:t xml:space="preserve">cells holding 20.2 rows on average. Your description of these rows as measurements</w:t>
      </w:r>
      <w:r>
        <w:t xml:space="preserve"> </w:t>
      </w:r>
      <w:r>
        <w:rPr>
          <w:i/>
          <w:iCs/>
        </w:rPr>
        <w:t xml:space="preserve">under different</w:t>
      </w:r>
      <w:r>
        <w:rPr>
          <w:i/>
          <w:iCs/>
        </w:rPr>
        <w:t xml:space="preserve"> </w:t>
      </w:r>
      <w:r>
        <w:rPr>
          <w:i/>
          <w:iCs/>
        </w:rPr>
        <w:t xml:space="preserve">reaction conditions</w:t>
      </w:r>
      <w:r>
        <w:t xml:space="preserve"> </w:t>
      </w:r>
      <w:r>
        <w:t xml:space="preserve">is borne out by the row counts themselves, and we should have taken it more</w:t>
      </w:r>
      <w:r>
        <w:t xml:space="preserve"> </w:t>
      </w:r>
      <w:r>
        <w:t xml:space="preserve">literally than we first did. Cell sizes have a hard ceiling at exactly</w:t>
      </w:r>
      <w:r>
        <w:t xml:space="preserve"> </w:t>
      </w:r>
      <w:r>
        <w:rPr>
          <w:b/>
          <w:bCs/>
        </w:rPr>
        <w:t xml:space="preserve">27</w:t>
      </w:r>
      <w:r>
        <w:t xml:space="preserve">, a second at exactly</w:t>
      </w:r>
      <w:r>
        <w:t xml:space="preserve"> </w:t>
      </w:r>
      <w:r>
        <w:rPr>
          <w:b/>
          <w:bCs/>
        </w:rPr>
        <w:t xml:space="preserve">54 = 2 × 27</w:t>
      </w:r>
      <w:r>
        <w:t xml:space="preserve">, and nothing above;</w:t>
      </w:r>
      <w:r>
        <w:t xml:space="preserve"> </w:t>
      </w:r>
      <w:r>
        <w:rPr>
          <w:b/>
          <w:bCs/>
        </w:rPr>
        <w:t xml:space="preserve">15 catalysts hold exactly 135 rows, and all 15 decompose as</w:t>
      </w:r>
      <w:r>
        <w:rPr>
          <w:b/>
          <w:bCs/>
        </w:rPr>
        <w:t xml:space="preserve"> </w:t>
      </w:r>
      <w:r>
        <w:rPr>
          <w:b/>
          <w:bCs/>
        </w:rPr>
        <w:t xml:space="preserve">exactly (27, 27, 27, 27, 27)</w:t>
      </w:r>
      <w:r>
        <w:t xml:space="preserve">. That is</w:t>
      </w:r>
      <w:r>
        <w:t xml:space="preserve"> </w:t>
      </w:r>
      <w:r>
        <w:rPr>
          <w:b/>
          <w:bCs/>
        </w:rPr>
        <w:t xml:space="preserve">5 temperatures × 27 condition settings = 135</w:t>
      </w:r>
      <w:r>
        <w:t xml:space="preserve">, matching</w:t>
      </w:r>
      <w:r>
        <w:t xml:space="preserve"> </w:t>
      </w:r>
      <w:r>
        <w:t xml:space="preserve">the 135 conditions you describe. We also tested the competing reading that 27 was an export cut-off</w:t>
      </w:r>
      <w:r>
        <w:t xml:space="preserve"> </w:t>
      </w:r>
      <w:r>
        <w:t xml:space="preserve">rather than a design size, and rejected it: the spacing between the two lowest values in a 27-row</w:t>
      </w:r>
      <w:r>
        <w:t xml:space="preserve"> </w:t>
      </w:r>
      <w:r>
        <w:t xml:space="preserve">cell is 2.03× the interior spacing, whereas artificially truncating a larger cell to 27 rows gives</w:t>
      </w:r>
      <w:r>
        <w:t xml:space="preserve"> </w:t>
      </w:r>
      <w:r>
        <w:t xml:space="preserve">0.90× — the signature of a complete sample rather than a truncated one.</w:t>
      </w:r>
    </w:p>
    <w:p>
      <w:pPr>
        <w:pStyle w:val="BodyText"/>
      </w:pPr>
      <w:r>
        <w:t xml:space="preserve">The consequence is that these rows are</w:t>
      </w:r>
      <w:r>
        <w:t xml:space="preserve"> </w:t>
      </w:r>
      <w:r>
        <w:rPr>
          <w:b/>
          <w:bCs/>
        </w:rPr>
        <w:t xml:space="preserve">not replicates</w:t>
      </w:r>
      <w:r>
        <w:t xml:space="preserve">, and the variation across them is not</w:t>
      </w:r>
      <w:r>
        <w:t xml:space="preserve"> </w:t>
      </w:r>
      <w:r>
        <w:t xml:space="preserve">measurement noise. Because those 27 condition settings are absent from the feature table,</w:t>
      </w:r>
      <w:r>
        <w:t xml:space="preserve"> </w:t>
      </w:r>
      <w:r>
        <w:rPr>
          <w:b/>
          <w:bCs/>
        </w:rPr>
        <w:t xml:space="preserve">19.9 %</w:t>
      </w:r>
      <w:r>
        <w:rPr>
          <w:b/>
          <w:bCs/>
        </w:rPr>
        <w:t xml:space="preserve"> </w:t>
      </w:r>
      <w:r>
        <w:rPr>
          <w:b/>
          <w:bCs/>
        </w:rPr>
        <w:t xml:space="preserve">of total yield variance lies within cells</w:t>
      </w:r>
      <w:r>
        <w:t xml:space="preserve"> </w:t>
      </w:r>
      <w:r>
        <w:t xml:space="preserve">and cannot be reached from composition and temperature</w:t>
      </w:r>
      <w:r>
        <w:t xml:space="preserve"> </w:t>
      </w:r>
      <w:r>
        <w:t xml:space="preserve">alone, which floors row-level RMSE at</w:t>
      </w:r>
      <w:r>
        <w:t xml:space="preserve"> </w:t>
      </w:r>
      <w:r>
        <w:rPr>
          <w:b/>
          <w:bCs/>
        </w:rPr>
        <w:t xml:space="preserve">1.757</w:t>
      </w:r>
      <w:r>
        <w:t xml:space="preserve">. This is a property of the missing columns, not an</w:t>
      </w:r>
      <w:r>
        <w:t xml:space="preserve"> </w:t>
      </w:r>
      <w:r>
        <w:t xml:space="preserve">irreducible physical limit — recovering the condition data would make most of it learnable.</w:t>
      </w:r>
    </w:p>
    <w:p>
      <w:pPr>
        <w:pStyle w:val="BodyText"/>
      </w:pPr>
      <w:r>
        <w:t xml:space="preserve">Version 1 reported 1.907 — only 0.15 above that floor. In hindsight this should itself have prompted</w:t>
      </w:r>
      <w:r>
        <w:t xml:space="preserve"> </w:t>
      </w:r>
      <w:r>
        <w:t xml:space="preserve">suspicion: a model cannot approach a floor that assumes knowledge of each catalyst’s own cell means</w:t>
      </w:r>
      <w:r>
        <w:t xml:space="preserve"> </w:t>
      </w:r>
      <w:r>
        <w:t xml:space="preserve">unless it has, in effect, memorised those catalysts. Point-wise RMSE is therefore not merely less</w:t>
      </w:r>
      <w:r>
        <w:t xml:space="preserve"> </w:t>
      </w:r>
      <w:r>
        <w:t xml:space="preserve">relevant than catalyst-level metrics here; it is close to uninformative — and it is precisely the</w:t>
      </w:r>
      <w:r>
        <w:t xml:space="preserve"> </w:t>
      </w:r>
      <w:r>
        <w:t xml:space="preserve">metric that a catalyst-identity leak flatters most.</w:t>
      </w:r>
    </w:p>
    <w:p>
      <w:pPr>
        <w:pStyle w:val="BodyText"/>
      </w:pPr>
      <w:r>
        <w:rPr>
          <w:b/>
          <w:bCs/>
        </w:rPr>
        <w:t xml:space="preserve">Primary metrics</w:t>
      </w:r>
      <w:r>
        <w:t xml:space="preserve"> </w:t>
      </w:r>
      <w:r>
        <w:t xml:space="preserve">are consequently catalyst-level, as proposed: Spearman correlation between</w:t>
      </w:r>
      <w:r>
        <w:t xml:space="preserve"> </w:t>
      </w:r>
      <w:r>
        <w:t xml:space="preserve">predicted and observed</w:t>
      </w:r>
      <w:r>
        <w:t xml:space="preserve"> </w:t>
      </w:r>
      <w:r>
        <w:rPr>
          <w:i/>
          <w:iCs/>
        </w:rPr>
        <w:t xml:space="preserve">maximum</w:t>
      </w:r>
      <w:r>
        <w:t xml:space="preserve"> </w:t>
      </w:r>
      <w:r>
        <w:t xml:space="preserve">yield, and enrichment of true high performers among top-ranked</w:t>
      </w:r>
      <w:r>
        <w:t xml:space="preserve"> </w:t>
      </w:r>
      <w:r>
        <w:t xml:space="preserve">predictions.</w:t>
      </w:r>
    </w:p>
    <w:bookmarkEnd w:id="14"/>
    <w:bookmarkStart w:id="21" w:name="baseline-and-the-two-datasets"/>
    <w:p>
      <w:pPr>
        <w:pStyle w:val="Heading2"/>
      </w:pPr>
      <w:r>
        <w:t xml:space="preserve">3. Baseline and the two datasets</w:t>
      </w:r>
    </w:p>
    <w:p>
      <w:pPr>
        <w:pStyle w:val="FirstParagraph"/>
      </w:pPr>
      <w:r>
        <w:t xml:space="preserve">A LightGBM regressor trained on lab data only. Under the grouped protocol its CV RMSE is</w:t>
      </w:r>
      <w:r>
        <w:t xml:space="preserve"> </w:t>
      </w:r>
      <w:r>
        <w:rPr>
          <w:b/>
          <w:bCs/>
        </w:rPr>
        <w:t xml:space="preserve">2.943</w:t>
      </w:r>
      <w:r>
        <w:t xml:space="preserve"> </w:t>
      </w:r>
      <w:r>
        <w:t xml:space="preserve">(row-level: 2.118 — the difference is the leakage, not a change of model).</w:t>
      </w:r>
    </w:p>
    <w:p>
      <w:pPr>
        <w:pStyle w:val="CaptionedFigure"/>
      </w:pPr>
      <w:r>
        <w:drawing>
          <wp:inline>
            <wp:extent cx="5334000" cy="1534815"/>
            <wp:effectExtent b="0" l="0" r="0" t="0"/>
            <wp:docPr descr="Figure 2 — Label shift. The literature (orange) is centred about 3.4 points above the lab data (blue). Systematic, not noise." title="" id="16" name="Picture"/>
            <a:graphic>
              <a:graphicData uri="http://schemas.openxmlformats.org/drawingml/2006/picture">
                <pic:pic>
                  <pic:nvPicPr>
                    <pic:cNvPr descr="fig_mean_shif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4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 — Label shift.</w:t>
      </w:r>
      <w:r>
        <w:t xml:space="preserve"> </w:t>
      </w:r>
      <w:r>
        <w:t xml:space="preserve">The literature (orange) is centred about 3.4 points above the lab data (blue). Systematic, not noise.</w:t>
      </w:r>
    </w:p>
    <w:p>
      <w:pPr>
        <w:pStyle w:val="CaptionedFigure"/>
      </w:pPr>
      <w:r>
        <w:drawing>
          <wp:inline>
            <wp:extent cx="5334000" cy="1881684"/>
            <wp:effectExtent b="0" l="0" r="0" t="0"/>
            <wp:docPr descr="Figure 3 — Covariate shift. The most-used elements differ between the two collections." title="" id="19" name="Picture"/>
            <a:graphic>
              <a:graphicData uri="http://schemas.openxmlformats.org/drawingml/2006/picture">
                <pic:pic>
                  <pic:nvPicPr>
                    <pic:cNvPr descr="fig_element_usag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1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 — Covariate shift.</w:t>
      </w:r>
      <w:r>
        <w:t xml:space="preserve"> </w:t>
      </w:r>
      <w:r>
        <w:t xml:space="preserve">The most-used elements differ between the two collections.</w:t>
      </w:r>
    </w:p>
    <w:bookmarkEnd w:id="21"/>
    <w:bookmarkStart w:id="31" w:name="approaches-evaluated"/>
    <w:p>
      <w:pPr>
        <w:pStyle w:val="Heading2"/>
      </w:pPr>
      <w:r>
        <w:t xml:space="preserve">4. Approaches evaluated</w:t>
      </w:r>
    </w:p>
    <w:p>
      <w:pPr>
        <w:pStyle w:val="FirstParagraph"/>
      </w:pPr>
      <w:r>
        <w:rPr>
          <w:b/>
          <w:bCs/>
        </w:rPr>
        <w:t xml:space="preserve">Direct merge.</w:t>
      </w:r>
      <w:r>
        <w:t xml:space="preserve"> </w:t>
      </w:r>
      <w:r>
        <w:t xml:space="preserve">Pool all literature records with the lab data. The label shift enters the training</w:t>
      </w:r>
      <w:r>
        <w:t xml:space="preserve"> </w:t>
      </w:r>
      <w:r>
        <w:t xml:space="preserve">target and accuracy is not improved.</w:t>
      </w:r>
    </w:p>
    <w:p>
      <w:pPr>
        <w:pStyle w:val="BodyText"/>
      </w:pPr>
      <w:r>
        <w:rPr>
          <w:b/>
          <w:bCs/>
        </w:rPr>
        <w:t xml:space="preserve">Selective merge.</w:t>
      </w:r>
      <w:r>
        <w:t xml:space="preserve"> </w:t>
      </w:r>
      <w:r>
        <w:t xml:space="preserve">Make the literature more lab-like before merging — either a hard filter (DRST: a</w:t>
      </w:r>
      <w:r>
        <w:t xml:space="preserve"> </w:t>
      </w:r>
      <w:r>
        <w:t xml:space="preserve">logistic-regression domain classifier scoring each record by</w:t>
      </w:r>
      <w:r>
        <w:t xml:space="preserve"> </w:t>
      </w:r>
      <w:r>
        <w:rPr>
          <w:rStyle w:val="VerbatimChar"/>
        </w:rPr>
        <w:t xml:space="preserve">P(lab | features)</w:t>
      </w:r>
      <w:r>
        <w:t xml:space="preserve">, retaining 20.3 % at</w:t>
      </w:r>
      <w:r>
        <w:t xml:space="preserve"> </w:t>
      </w:r>
      <w:r>
        <w:t xml:space="preserve">τ = 0.30) or continuous importance weights (KMM). Both still place literature yields in the training</w:t>
      </w:r>
      <w:r>
        <w:t xml:space="preserve"> </w:t>
      </w:r>
      <w:r>
        <w:t xml:space="preserve">objective, so the label shift is unresolved.</w:t>
      </w:r>
    </w:p>
    <w:p>
      <w:pPr>
        <w:pStyle w:val="CaptionedFigure"/>
      </w:pPr>
      <w:r>
        <w:drawing>
          <wp:inline>
            <wp:extent cx="5334000" cy="1951298"/>
            <wp:effectExtent b="0" l="0" r="0" t="0"/>
            <wp:docPr descr="Figure 4 — DRST scores. Each literature record scored by how lab-like its chemistry is." title="" id="23" name="Picture"/>
            <a:graphic>
              <a:graphicData uri="http://schemas.openxmlformats.org/drawingml/2006/picture">
                <pic:pic>
                  <pic:nvPicPr>
                    <pic:cNvPr descr="fig_drst_scor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1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 — DRST scores.</w:t>
      </w:r>
      <w:r>
        <w:t xml:space="preserve"> </w:t>
      </w:r>
      <w:r>
        <w:t xml:space="preserve">Each literature record scored by how lab-like its chemistry is.</w:t>
      </w:r>
    </w:p>
    <w:p>
      <w:pPr>
        <w:pStyle w:val="CaptionedFigure"/>
      </w:pPr>
      <w:r>
        <w:drawing>
          <wp:inline>
            <wp:extent cx="5334000" cy="1109011"/>
            <wp:effectExtent b="0" l="0" r="0" t="0"/>
            <wp:docPr descr="Figure 5 — KMM weights. Continuous weights agree closely with the DRST filter (r = 0.792)." title="" id="26" name="Picture"/>
            <a:graphic>
              <a:graphicData uri="http://schemas.openxmlformats.org/drawingml/2006/picture">
                <pic:pic>
                  <pic:nvPicPr>
                    <pic:cNvPr descr="fig_kmm_weight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9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5 — KMM weights.</w:t>
      </w:r>
      <w:r>
        <w:t xml:space="preserve"> </w:t>
      </w:r>
      <w:r>
        <w:t xml:space="preserve">Continuous weights agree closely with the DRST filter (r = 0.792).</w:t>
      </w:r>
    </w:p>
    <w:p>
      <w:pPr>
        <w:pStyle w:val="BodyText"/>
      </w:pPr>
      <w:r>
        <w:rPr>
          <w:b/>
          <w:bCs/>
        </w:rPr>
        <w:t xml:space="preserve">Prior-feature method (PFT).</w:t>
      </w:r>
      <w:r>
        <w:t xml:space="preserve"> </w:t>
      </w:r>
      <w:r>
        <w:t xml:space="preserve">Let the literature influence the final model only through a</w:t>
      </w:r>
      <w:r>
        <w:t xml:space="preserve"> </w:t>
      </w:r>
      <w:r>
        <w:rPr>
          <w:i/>
          <w:iCs/>
        </w:rPr>
        <w:t xml:space="preserve">predicted</w:t>
      </w:r>
      <w:r>
        <w:rPr>
          <w:i/>
          <w:iCs/>
        </w:rPr>
        <w:t xml:space="preserve"> </w:t>
      </w:r>
      <w:r>
        <w:rPr>
          <w:i/>
          <w:iCs/>
        </w:rPr>
        <w:t xml:space="preserve">value used as an input feature</w:t>
      </w:r>
      <w:r>
        <w:t xml:space="preserve">, never as a training label: Stage 1 trains an expert on literature</w:t>
      </w:r>
      <w:r>
        <w:t xml:space="preserve"> </w:t>
      </w:r>
      <w:r>
        <w:t xml:space="preserve">data whose yields are rank-rescaled onto the lab scale; Stage 2 trains on lab data with that</w:t>
      </w:r>
      <w:r>
        <w:t xml:space="preserve"> </w:t>
      </w:r>
      <w:r>
        <w:t xml:space="preserve">prediction as one extra feature, using lab labels only.</w:t>
      </w:r>
    </w:p>
    <w:p>
      <w:pPr>
        <w:pStyle w:val="CaptionedFigure"/>
      </w:pPr>
      <w:r>
        <w:drawing>
          <wp:inline>
            <wp:extent cx="5334000" cy="1734000"/>
            <wp:effectExtent b="0" l="0" r="0" t="0"/>
            <wp:docPr descr="Figure 6 — Stage-1 rescaling. Literature yields (orange) mapped onto the lab range (green). Note: the ablation in §5 shows this rescaling is not actually necessary — the final model uses only the prior’s ordering." title="" id="29" name="Picture"/>
            <a:graphic>
              <a:graphicData uri="http://schemas.openxmlformats.org/drawingml/2006/picture">
                <pic:pic>
                  <pic:nvPicPr>
                    <pic:cNvPr descr="fig_bias_correct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6 — Stage-1 rescaling.</w:t>
      </w:r>
      <w:r>
        <w:t xml:space="preserve"> </w:t>
      </w:r>
      <w:r>
        <w:t xml:space="preserve">Literature yields (orange) mapped onto the lab range (green).</w:t>
      </w:r>
      <w:r>
        <w:t xml:space="preserve"> </w:t>
      </w:r>
      <w:r>
        <w:rPr>
          <w:i/>
          <w:iCs/>
        </w:rPr>
        <w:t xml:space="preserve">Note: the ablation in §5 shows this rescaling is not actually necessary — the final model uses only the prior’s ordering.</w:t>
      </w:r>
    </w:p>
    <w:bookmarkEnd w:id="31"/>
    <w:bookmarkStart w:id="35" w:name="what-the-stricter-validation-showed"/>
    <w:p>
      <w:pPr>
        <w:pStyle w:val="Heading2"/>
      </w:pPr>
      <w:r>
        <w:t xml:space="preserve">5. What the stricter validation showed</w:t>
      </w:r>
    </w:p>
    <w:p>
      <w:pPr>
        <w:pStyle w:val="FirstParagraph"/>
      </w:pPr>
      <w:r>
        <w:rPr>
          <w:b/>
          <w:bCs/>
        </w:rPr>
        <w:t xml:space="preserve">The improvement was leakage.</w:t>
      </w:r>
      <w:r>
        <w:t xml:space="preserve"> </w:t>
      </w:r>
      <w:r>
        <w:t xml:space="preserve">Under catalyst-grouped CV: baseline</w:t>
      </w:r>
      <w:r>
        <w:t xml:space="preserve"> </w:t>
      </w:r>
      <w:r>
        <w:rPr>
          <w:b/>
          <w:bCs/>
        </w:rPr>
        <w:t xml:space="preserve">2.943</w:t>
      </w:r>
      <w:r>
        <w:t xml:space="preserve">, PFT</w:t>
      </w:r>
      <w:r>
        <w:t xml:space="preserve"> </w:t>
      </w:r>
      <w:r>
        <w:rPr>
          <w:b/>
          <w:bCs/>
        </w:rPr>
        <w:t xml:space="preserve">2.995</w:t>
      </w:r>
      <w:r>
        <w:t xml:space="preserve"> </w:t>
      </w:r>
      <w:r>
        <w:t xml:space="preserve">(+1.8 %).</w:t>
      </w:r>
      <w:r>
        <w:t xml:space="preserve"> </w:t>
      </w:r>
      <w:r>
        <w:t xml:space="preserve">Three readings of the same ablation grid point to the mechanism (they share one 3-seed run, so we do</w:t>
      </w:r>
      <w:r>
        <w:t xml:space="preserve"> </w:t>
      </w:r>
      <w:r>
        <w:t xml:space="preserve">not present them as independent experiments):</w:t>
      </w:r>
    </w:p>
    <w:p>
      <w:pPr>
        <w:pStyle w:val="Compact"/>
        <w:numPr>
          <w:ilvl w:val="0"/>
          <w:numId w:val="1001"/>
        </w:numPr>
      </w:pPr>
      <w:r>
        <w:t xml:space="preserve">Training Stage 1 on literature</w:t>
      </w:r>
      <w:r>
        <w:t xml:space="preserve"> </w:t>
      </w:r>
      <w:r>
        <w:rPr>
          <w:i/>
          <w:iCs/>
        </w:rPr>
        <w:t xml:space="preserve">alone</w:t>
      </w:r>
      <w:r>
        <w:t xml:space="preserve"> </w:t>
      </w:r>
      <w:r>
        <w:t xml:space="preserve">reduces the row-level gain from −9.7 % to</w:t>
      </w:r>
      <w:r>
        <w:t xml:space="preserve"> </w:t>
      </w:r>
      <w:r>
        <w:rPr>
          <w:b/>
          <w:bCs/>
        </w:rPr>
        <w:t xml:space="preserve">−2.4 %</w:t>
      </w:r>
      <w:r>
        <w:t xml:space="preserve"> </w:t>
      </w:r>
      <w:r>
        <w:t xml:space="preserve">(QN prior) or</w:t>
      </w:r>
      <w:r>
        <w:t xml:space="preserve"> </w:t>
      </w:r>
      <w:r>
        <w:rPr>
          <w:b/>
          <w:bCs/>
        </w:rPr>
        <w:t xml:space="preserve">−2.7 %</w:t>
      </w:r>
      <w:r>
        <w:t xml:space="preserve"> </w:t>
      </w:r>
      <w:r>
        <w:t xml:space="preserve">(rank prior)</w:t>
      </w:r>
    </w:p>
    <w:p>
      <w:pPr>
        <w:pStyle w:val="Compact"/>
        <w:numPr>
          <w:ilvl w:val="0"/>
          <w:numId w:val="1001"/>
        </w:numPr>
      </w:pPr>
      <w:r>
        <w:t xml:space="preserve">Under grouped CV the joint variant (</w:t>
      </w:r>
      <w:r>
        <w:rPr>
          <w:b/>
          <w:bCs/>
        </w:rPr>
        <w:t xml:space="preserve">2.982</w:t>
      </w:r>
      <w:r>
        <w:t xml:space="preserve">, 3 seeds) is worse than literature-only (</w:t>
      </w:r>
      <w:r>
        <w:rPr>
          <w:b/>
          <w:bCs/>
        </w:rPr>
        <w:t xml:space="preserve">2.938</w:t>
      </w:r>
      <w:r>
        <w:t xml:space="preserve">, rank prior, 3 seeds)</w:t>
      </w:r>
    </w:p>
    <w:p>
      <w:pPr>
        <w:pStyle w:val="Compact"/>
        <w:numPr>
          <w:ilvl w:val="0"/>
          <w:numId w:val="1001"/>
        </w:numPr>
      </w:pPr>
      <w:r>
        <w:t xml:space="preserve">On those same three seeds, literature-only (2.938) and the baseline (2.928) are indistinguishable</w:t>
      </w:r>
    </w:p>
    <w:p>
      <w:pPr>
        <w:pStyle w:val="FirstParagraph"/>
      </w:pPr>
      <w:r>
        <w:rPr>
          <w:i/>
          <w:iCs/>
        </w:rPr>
        <w:t xml:space="preserve">(Seed counts differ between these checks and the headline table. The headline PFT figure of 2.995 is a</w:t>
      </w:r>
      <w:r>
        <w:rPr>
          <w:i/>
          <w:iCs/>
        </w:rPr>
        <w:t xml:space="preserve"> </w:t>
      </w:r>
      <w:r>
        <w:rPr>
          <w:i/>
          <w:iCs/>
        </w:rPr>
        <w:t xml:space="preserve">5-seed mean; 2.982 is the same configuration over the first 3 seeds only. The ablation grid ran at 3</w:t>
      </w:r>
      <w:r>
        <w:rPr>
          <w:i/>
          <w:iCs/>
        </w:rPr>
        <w:t xml:space="preserve"> </w:t>
      </w:r>
      <w:r>
        <w:rPr>
          <w:i/>
          <w:iCs/>
        </w:rPr>
        <w:t xml:space="preserve">seeds throughout.)</w:t>
      </w:r>
    </w:p>
    <w:p>
      <w:pPr>
        <w:pStyle w:val="BodyText"/>
      </w:pPr>
      <w:r>
        <w:rPr>
          <w:b/>
          <w:bCs/>
        </w:rPr>
        <w:t xml:space="preserve">Your quantile-normalisation hypothesis is supported, though we will not state it as strongly as we</w:t>
      </w:r>
      <w:r>
        <w:rPr>
          <w:b/>
          <w:bCs/>
        </w:rPr>
        <w:t xml:space="preserve"> </w:t>
      </w:r>
      <w:r>
        <w:rPr>
          <w:b/>
          <w:bCs/>
        </w:rPr>
        <w:t xml:space="preserve">first did.</w:t>
      </w:r>
      <w:r>
        <w:t xml:space="preserve"> </w:t>
      </w:r>
      <w:r>
        <w:t xml:space="preserve">We compared the three label treatments you named under both protocols. The gaps are:</w:t>
      </w:r>
      <w:r>
        <w:t xml:space="preserve"> </w:t>
      </w:r>
      <w:r>
        <w:t xml:space="preserve">row-level 0.006 (QN vs raw) and 0.006 (QN vs rank); catalyst-grouped 0.023 (QN vs raw) and 0.001</w:t>
      </w:r>
      <w:r>
        <w:t xml:space="preserve"> </w:t>
      </w:r>
      <w:r>
        <w:t xml:space="preserve">(QN vs rank). The largest gap sits under our primary protocol, and it is close to the run-to-run</w:t>
      </w:r>
      <w:r>
        <w:t xml:space="preserve"> </w:t>
      </w:r>
      <w:r>
        <w:t xml:space="preserve">spread there (per-configuration standard deviations of 0.022 and 0.035 over 3 seeds). The honest</w:t>
      </w:r>
      <w:r>
        <w:t xml:space="preserve"> </w:t>
      </w:r>
      <w:r>
        <w:t xml:space="preserve">statement is therefore that</w:t>
      </w:r>
      <w:r>
        <w:t xml:space="preserve"> </w:t>
      </w:r>
      <w:r>
        <w:rPr>
          <w:b/>
          <w:bCs/>
        </w:rPr>
        <w:t xml:space="preserve">no label treatment is distinguishable from another at this seed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t xml:space="preserve">, not that the effect is exact. On that evidence the normalisation step can be dropped without</w:t>
      </w:r>
      <w:r>
        <w:t xml:space="preserve"> </w:t>
      </w:r>
      <w:r>
        <w:t xml:space="preserve">a measurable penalty, which is the practical conclusion you anticipated.</w:t>
      </w:r>
    </w:p>
    <w:p>
      <w:pPr>
        <w:pStyle w:val="BodyText"/>
      </w:pPr>
      <w:r>
        <w:rPr>
          <w:b/>
          <w:bCs/>
        </w:rPr>
        <w:t xml:space="preserve">With the leakage channel closed, we retested literature integration properly</w:t>
      </w:r>
      <w:r>
        <w:t xml:space="preserve"> </w:t>
      </w:r>
      <w:r>
        <w:t xml:space="preserve">— a literature-only</w:t>
      </w:r>
      <w:r>
        <w:t xml:space="preserve"> </w:t>
      </w:r>
      <w:r>
        <w:t xml:space="preserve">rank prior, similarity-to-literature features, a gated prior combining both, and a catalyst-level</w:t>
      </w:r>
      <w:r>
        <w:t xml:space="preserve"> </w:t>
      </w:r>
      <w:r>
        <w:t xml:space="preserve">direct merge. Success criteria were fixed before running.</w:t>
      </w:r>
      <w:r>
        <w:t xml:space="preserve"> </w:t>
      </w:r>
      <w:r>
        <w:rPr>
          <w:b/>
          <w:bCs/>
        </w:rPr>
        <w:t xml:space="preserve">None improved on composition alone.</w:t>
      </w:r>
    </w:p>
    <w:p>
      <w:pPr>
        <w:pStyle w:val="CaptionedFigure"/>
      </w:pPr>
      <w:r>
        <w:drawing>
          <wp:inline>
            <wp:extent cx="5334000" cy="2312857"/>
            <wp:effectExtent b="0" l="0" r="0" t="0"/>
            <wp:docPr descr="Figure 7 — No literature variant beats composition alone. Catalyst-grouped protocol; the dashed line is the composition-only control. Deltas in parentheses." title="" id="33" name="Picture"/>
            <a:graphic>
              <a:graphicData uri="http://schemas.openxmlformats.org/drawingml/2006/picture">
                <pic:pic>
                  <pic:nvPicPr>
                    <pic:cNvPr descr="fig_grouped_result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7 — No literature variant beats composition alone.</w:t>
      </w:r>
      <w:r>
        <w:t xml:space="preserve"> </w:t>
      </w:r>
      <w:r>
        <w:t xml:space="preserve">Catalyst-grouped protocol; the dashed line is the composition-only control. Deltas in parentheses.</w:t>
      </w:r>
    </w:p>
    <w:p>
      <w:pPr>
        <w:pStyle w:val="BodyText"/>
      </w:pPr>
      <w:r>
        <w:t xml:space="preserve">We also tested a hypothesis of our own — that the prior might help specifically where our own</w:t>
      </w:r>
      <w:r>
        <w:t xml:space="preserve"> </w:t>
      </w:r>
      <w:r>
        <w:t xml:space="preserve">coverage is thin, suggested by one family (Zr) showing a consistent gain. Across</w:t>
      </w:r>
      <w:r>
        <w:t xml:space="preserve"> </w:t>
      </w:r>
      <w:r>
        <w:rPr>
          <w:b/>
          <w:bCs/>
        </w:rPr>
        <w:t xml:space="preserve">all 28 element</w:t>
      </w:r>
      <w:r>
        <w:rPr>
          <w:b/>
          <w:bCs/>
        </w:rPr>
        <w:t xml:space="preserve"> </w:t>
      </w:r>
      <w:r>
        <w:rPr>
          <w:b/>
          <w:bCs/>
        </w:rPr>
        <w:t xml:space="preserve">families with ≥50 catalysts</w:t>
      </w:r>
      <w:r>
        <w:t xml:space="preserve"> </w:t>
      </w:r>
      <w:r>
        <w:t xml:space="preserve">the mean effect was</w:t>
      </w:r>
      <w:r>
        <w:t xml:space="preserve"> </w:t>
      </w:r>
      <w:r>
        <w:rPr>
          <w:b/>
          <w:bCs/>
        </w:rPr>
        <w:t xml:space="preserve">−0.0025</w:t>
      </w:r>
      <w:r>
        <w:t xml:space="preserve">, 14/28 positive, and the strongest</w:t>
      </w:r>
      <w:r>
        <w:t xml:space="preserve"> </w:t>
      </w:r>
      <w:r>
        <w:t xml:space="preserve">correlation with any coverage measure was |ρ| = 0.276 against a pre-registered threshold of 0.5. The</w:t>
      </w:r>
      <w:r>
        <w:t xml:space="preserve"> </w:t>
      </w:r>
      <w:r>
        <w:t xml:space="preserve">Zr result was selection from noise, and we discarded it.</w:t>
      </w:r>
    </w:p>
    <w:bookmarkEnd w:id="35"/>
    <w:bookmarkStart w:id="39" w:name="X107919a23f3dca2dedc432d6cc3b265bb97b007"/>
    <w:p>
      <w:pPr>
        <w:pStyle w:val="Heading2"/>
      </w:pPr>
      <w:r>
        <w:t xml:space="preserve">6. What the model can do: screening unseen catalysts</w:t>
      </w:r>
    </w:p>
    <w:p>
      <w:pPr>
        <w:pStyle w:val="FirstParagraph"/>
      </w:pPr>
      <w:r>
        <w:t xml:space="preserve">Rebuilt at catalyst level — composition → maximum yield, 917 training examples, no temperature — the</w:t>
      </w:r>
      <w:r>
        <w:t xml:space="preserve"> </w:t>
      </w:r>
      <w:r>
        <w:t xml:space="preserve">model matches the full 89,074-row model on ranking (Spearman 0.760 vs 0.766, within seed noise) while</w:t>
      </w:r>
      <w:r>
        <w:t xml:space="preserve"> </w:t>
      </w:r>
      <w:r>
        <w:t xml:space="preserve">training on ~100× fewer rows. On genuinely unseen</w:t>
      </w:r>
      <w:r>
        <w:t xml:space="preserve"> </w:t>
      </w:r>
      <w:r>
        <w:t xml:space="preserve">catalysts: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All 917 catalysts</w:t>
            </w:r>
          </w:p>
        </w:tc>
        <w:tc>
          <w:tcPr/>
          <w:p>
            <w:pPr>
              <w:pStyle w:val="Compact"/>
            </w:pPr>
            <w:r>
              <w:t xml:space="preserve">95 % CI</w:t>
            </w:r>
          </w:p>
        </w:tc>
        <w:tc>
          <w:tcPr/>
          <w:p>
            <w:pPr>
              <w:pStyle w:val="Compact"/>
            </w:pPr>
            <w:r>
              <w:t xml:space="preserve">Equal-effort set (771)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ρ (predicted vs. observed max yield)</w:t>
            </w:r>
          </w:p>
        </w:tc>
        <w:tc>
          <w:tcPr/>
          <w:p>
            <w:pPr>
              <w:pStyle w:val="Compact"/>
            </w:pPr>
            <w:r>
              <w:t xml:space="preserve">0.761</w:t>
            </w:r>
          </w:p>
        </w:tc>
        <w:tc>
          <w:tcPr/>
          <w:p>
            <w:pPr>
              <w:pStyle w:val="Compact"/>
            </w:pPr>
            <w:r>
              <w:t xml:space="preserve">0.725 – 0.785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of true top-decile among top-decile predicted</w:t>
            </w:r>
          </w:p>
        </w:tc>
        <w:tc>
          <w:tcPr/>
          <w:p>
            <w:pPr>
              <w:pStyle w:val="Compact"/>
            </w:pPr>
            <w:r>
              <w:t xml:space="preserve">4.28×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3.04 – 4.89×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3.77×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Precision@20 (of 20 nominated, fraction truly top-decile)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0.15 – 0.65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</w:tr>
    </w:tbl>
    <w:p>
      <w:pPr>
        <w:pStyle w:val="BodyText"/>
      </w:pPr>
      <w:r>
        <w:t xml:space="preserve">We quote intervals rather than point estimates: with 92 catalysts in the top decile of 917, these</w:t>
      </w:r>
      <w:r>
        <w:t xml:space="preserve"> </w:t>
      </w:r>
      <w:r>
        <w:t xml:space="preserve">quantities are considerably less precise than a single number suggests.</w:t>
      </w:r>
    </w:p>
    <w:p>
      <w:pPr>
        <w:pStyle w:val="BodyText"/>
      </w:pPr>
      <w:r>
        <w:rPr>
          <w:b/>
          <w:bCs/>
        </w:rPr>
        <w:t xml:space="preserve">Why the second column exists, and why we consider it the honest one.</w:t>
      </w:r>
      <w:r>
        <w:t xml:space="preserve"> </w:t>
      </w:r>
      <w:r>
        <w:t xml:space="preserve">Grid coverage in your data</w:t>
      </w:r>
      <w:r>
        <w:t xml:space="preserve"> </w:t>
      </w:r>
      <w:r>
        <w:t xml:space="preserve">is coupled to performance — cells that were run further contain better yields — so a score computed</w:t>
      </w:r>
      <w:r>
        <w:t xml:space="preserve"> </w:t>
      </w:r>
      <w:r>
        <w:t xml:space="preserve">over all 917 catalysts is partly a record of which experiments were carried to completion. The</w:t>
      </w:r>
      <w:r>
        <w:t xml:space="preserve"> </w:t>
      </w:r>
      <w:r>
        <w:rPr>
          <w:i/>
          <w:iCs/>
        </w:rPr>
        <w:t xml:space="preserve">equal-effort set</w:t>
      </w:r>
      <w:r>
        <w:t xml:space="preserve"> </w:t>
      </w:r>
      <w:r>
        <w:t xml:space="preserve">is the 771 catalysts with at least 20 measurements in at least one temperature</w:t>
      </w:r>
      <w:r>
        <w:t xml:space="preserve"> </w:t>
      </w:r>
      <w:r>
        <w:t xml:space="preserve">cell; on that set the coupling is gone by measurement rather than by assumption, with</w:t>
      </w:r>
      <w:r>
        <w:t xml:space="preserve"> </w:t>
      </w:r>
      <w:r>
        <w:t xml:space="preserve">Spearman(measurement count, observed maximum) falling from</w:t>
      </w:r>
      <w:r>
        <w:t xml:space="preserve"> </w:t>
      </w:r>
      <w:r>
        <w:rPr>
          <w:b/>
          <w:bCs/>
        </w:rPr>
        <w:t xml:space="preserve">+0.293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+0.003</w:t>
      </w:r>
      <w:r>
        <w:t xml:space="preserve">. Moving to it</w:t>
      </w:r>
      <w:r>
        <w:t xml:space="preserve"> </w:t>
      </w:r>
      <w:r>
        <w:t xml:space="preserve">costs us 0.037 Spearman and 0.51× enrichment.</w:t>
      </w:r>
    </w:p>
    <w:p>
      <w:pPr>
        <w:pStyle w:val="BodyText"/>
      </w:pPr>
      <w:r>
        <w:t xml:space="preserve">That drop is not an artifact of scoring fewer catalysts. Drawing 300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771-catalyst subsets</w:t>
      </w:r>
      <w:r>
        <w:t xml:space="preserve"> </w:t>
      </w:r>
      <w:r>
        <w:t xml:space="preserve">from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predictions gives Spearman 0.767 with a 95 % range of 0.756 – 0.780; the equal-effort</w:t>
      </w:r>
      <w:r>
        <w:t xml:space="preserve"> </w:t>
      </w:r>
      <w:r>
        <w:t xml:space="preserve">value of 0.724 lies below that range.</w:t>
      </w:r>
    </w:p>
    <w:p>
      <w:pPr>
        <w:pStyle w:val="BodyText"/>
      </w:pPr>
      <w:r>
        <w:rPr>
          <w:b/>
          <w:bCs/>
        </w:rPr>
        <w:t xml:space="preserve">A negative control we think is worth more than either number.</w:t>
      </w:r>
      <w:r>
        <w:t xml:space="preserve"> </w:t>
      </w:r>
      <w:r>
        <w:t xml:space="preserve">We refitted the identical model</w:t>
      </w:r>
      <w:r>
        <w:t xml:space="preserve"> </w:t>
      </w:r>
      <w:r>
        <w:t xml:space="preserve">with the</w:t>
      </w:r>
      <w:r>
        <w:t xml:space="preserve"> </w:t>
      </w:r>
      <w:r>
        <w:rPr>
          <w:i/>
          <w:iCs/>
        </w:rPr>
        <w:t xml:space="preserve">number of measurements</w:t>
      </w:r>
      <w:r>
        <w:t xml:space="preserve"> </w:t>
      </w:r>
      <w:r>
        <w:t xml:space="preserve">as its target — it never sees a yield — and ranked catalysts by</w:t>
      </w:r>
      <w:r>
        <w:t xml:space="preserve"> </w:t>
      </w:r>
      <w:r>
        <w:t xml:space="preserve">predicted measurement effort. That ranking reaches</w:t>
      </w:r>
      <w:r>
        <w:t xml:space="preserve"> </w:t>
      </w:r>
      <w:r>
        <w:rPr>
          <w:b/>
          <w:bCs/>
        </w:rPr>
        <w:t xml:space="preserve">Spearman 0.400</w:t>
      </w:r>
      <w:r>
        <w:t xml:space="preserve"> </w:t>
      </w:r>
      <w:r>
        <w:t xml:space="preserve">against observed maximum yield,</w:t>
      </w:r>
      <w:r>
        <w:t xml:space="preserve"> </w:t>
      </w:r>
      <w:r>
        <w:t xml:space="preserve">but its enrichment is</w:t>
      </w:r>
      <w:r>
        <w:t xml:space="preserve"> </w:t>
      </w:r>
      <w:r>
        <w:rPr>
          <w:b/>
          <w:bCs/>
        </w:rPr>
        <w:t xml:space="preserve">0.87×</w:t>
      </w:r>
      <w:r>
        <w:t xml:space="preserve">, i.e. no better than choosing at random. So rank correlation is</w:t>
      </w:r>
      <w:r>
        <w:t xml:space="preserve"> </w:t>
      </w:r>
      <w:r>
        <w:t xml:space="preserve">partly purchasable from experimental effort, whereas enrichment is not. This is the concrete reason</w:t>
      </w:r>
      <w:r>
        <w:t xml:space="preserve"> </w:t>
      </w:r>
      <w:r>
        <w:t xml:space="preserve">we treat enrichment, not ρ, as the primary screening metric — and it is the sharpest test we could</w:t>
      </w:r>
      <w:r>
        <w:t xml:space="preserve"> </w:t>
      </w:r>
      <w:r>
        <w:t xml:space="preserve">devise of whether the model is merely recognising which catalysts you chose to finish.</w:t>
      </w:r>
    </w:p>
    <w:p>
      <w:pPr>
        <w:pStyle w:val="BodyText"/>
      </w:pPr>
      <w:r>
        <w:t xml:space="preserve">One consequence for campaign design. Inside the model’s own top-ranked catalysts — the only regime a</w:t>
      </w:r>
      <w:r>
        <w:t xml:space="preserve"> </w:t>
      </w:r>
      <w:r>
        <w:t xml:space="preserve">synthesis campaign ever occupies — the internal ranking carries little information: ρ within the top</w:t>
      </w:r>
      <w:r>
        <w:t xml:space="preserve"> </w:t>
      </w:r>
      <w:r>
        <w:t xml:space="preserve">150 predictions is</w:t>
      </w:r>
      <w:r>
        <w:t xml:space="preserve"> </w:t>
      </w:r>
      <w:r>
        <w:rPr>
          <w:b/>
          <w:bCs/>
        </w:rPr>
        <w:t xml:space="preserve">0.179</w:t>
      </w:r>
      <w:r>
        <w:t xml:space="preserve">, and within the top 20 it is</w:t>
      </w:r>
      <w:r>
        <w:t xml:space="preserve"> </w:t>
      </w:r>
      <w:r>
        <w:rPr>
          <w:b/>
          <w:bCs/>
        </w:rPr>
        <w:t xml:space="preserve">−0.066</w:t>
      </w:r>
      <w:r>
        <w:t xml:space="preserve">. The model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well (its</w:t>
      </w:r>
      <w:r>
        <w:t xml:space="preserve"> </w:t>
      </w:r>
      <w:r>
        <w:t xml:space="preserve">top 20 average 17.3 % observed maximum against ~10.5 % for the library as a whole) but does not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within its own selection. A shortlist should therefore be treated as a set to be tested, not</w:t>
      </w:r>
      <w:r>
        <w:t xml:space="preserve"> </w:t>
      </w:r>
      <w:r>
        <w:t xml:space="preserve">as a league table, and a campaign small enough to fit inside that regime cannot by itself confirm or</w:t>
      </w:r>
      <w:r>
        <w:t xml:space="preserve"> </w:t>
      </w:r>
      <w:r>
        <w:t xml:space="preserve">refute the model.</w:t>
      </w:r>
    </w:p>
    <w:p>
      <w:pPr>
        <w:pStyle w:val="CaptionedFigure"/>
      </w:pPr>
      <w:r>
        <w:drawing>
          <wp:inline>
            <wp:extent cx="5334000" cy="3236579"/>
            <wp:effectExtent b="0" l="0" r="0" t="0"/>
            <wp:docPr descr="Figure 8 — What drives achievable maximum yield. Composition-only model. Ba dominates, followed by chemically sensible contributors. (The corresponding figure in v1 ranked the literature prior first; that model was the leaked pipeline, so the figure illustrated the leak rather than the chemistry.)" title="" id="37" name="Picture"/>
            <a:graphic>
              <a:graphicData uri="http://schemas.openxmlformats.org/drawingml/2006/picture">
                <pic:pic>
                  <pic:nvPicPr>
                    <pic:cNvPr descr="fig_shap_b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6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8 — What drives achievable maximum yield.</w:t>
      </w:r>
      <w:r>
        <w:t xml:space="preserve"> </w:t>
      </w:r>
      <w:r>
        <w:t xml:space="preserve">Composition-only model. Ba dominates, followed by chemically sensible contributors.</w:t>
      </w:r>
      <w:r>
        <w:t xml:space="preserve"> </w:t>
      </w:r>
      <w:r>
        <w:rPr>
          <w:i/>
          <w:iCs/>
        </w:rPr>
        <w:t xml:space="preserve">(The corresponding figure in v1 ranked the literature prior first; that model was the leaked pipeline, so the figure illustrated the leak rather than the chemistry.)</w:t>
      </w:r>
    </w:p>
    <w:bookmarkEnd w:id="39"/>
    <w:bookmarkStart w:id="40" w:name="Xe5bc3b98f0d26caebb3a30c21926e3f65673ef8"/>
    <w:p>
      <w:pPr>
        <w:pStyle w:val="Heading2"/>
      </w:pPr>
      <w:r>
        <w:t xml:space="preserve">7. How much of the condition grid does a catalyst actually need?</w:t>
      </w:r>
    </w:p>
    <w:p>
      <w:pPr>
        <w:pStyle w:val="FirstParagraph"/>
      </w:pPr>
      <w:r>
        <w:t xml:space="preserve">We tested this retrospectively: keep only k of the ~27 measurements per catalyst-temperature cell</w:t>
      </w:r>
      <w:r>
        <w:t xml:space="preserve"> </w:t>
      </w:r>
      <w:r>
        <w:t xml:space="preserve">(drawn at random, 5 independent draws per k, always scored against the true max from the full</w:t>
      </w:r>
      <w:r>
        <w:t xml:space="preserve"> </w:t>
      </w:r>
      <w:r>
        <w:t xml:space="preserve">data), and see how the ranking degrades.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Measurements kept</w:t>
            </w:r>
          </w:p>
        </w:tc>
        <w:tc>
          <w:tcPr/>
          <w:p>
            <w:pPr>
              <w:pStyle w:val="Compact"/>
            </w:pPr>
            <w:r>
              <w:t xml:space="preserve">Share of full grid</w:t>
            </w:r>
          </w:p>
        </w:tc>
        <w:tc>
          <w:tcPr/>
          <w:p>
            <w:pPr>
              <w:pStyle w:val="Compact"/>
            </w:pPr>
            <w:r>
              <w:t xml:space="preserve">Spearman</w:t>
            </w:r>
          </w:p>
        </w:tc>
        <w:tc>
          <w:tcPr/>
          <w:p>
            <w:pPr>
              <w:pStyle w:val="Compact"/>
            </w:pPr>
            <w:r>
              <w:t xml:space="preserve">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per cell (~5 runs/catalyst)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t xml:space="preserve">0.759 ± 0.002</w:t>
            </w:r>
          </w:p>
        </w:tc>
        <w:tc>
          <w:tcPr/>
          <w:p>
            <w:pPr>
              <w:pStyle w:val="Compact"/>
            </w:pPr>
            <w:r>
              <w:t xml:space="preserve">3.99×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per cell (~10 runs/catalyst)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t xml:space="preserve">0.760 ± 0.002</w:t>
            </w:r>
          </w:p>
        </w:tc>
        <w:tc>
          <w:tcPr/>
          <w:p>
            <w:pPr>
              <w:pStyle w:val="Compact"/>
            </w:pPr>
            <w:r>
              <w:t xml:space="preserve">4.11×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per cell (~15 runs/catalyst)</w:t>
            </w:r>
          </w:p>
        </w:tc>
        <w:tc>
          <w:tcPr/>
          <w:p>
            <w:pPr>
              <w:pStyle w:val="Compact"/>
            </w:pPr>
            <w:r>
              <w:t xml:space="preserve">15 %</w:t>
            </w:r>
          </w:p>
        </w:tc>
        <w:tc>
          <w:tcPr/>
          <w:p>
            <w:pPr>
              <w:pStyle w:val="Compact"/>
            </w:pPr>
            <w:r>
              <w:t xml:space="preserve">0.765 ± 0.002</w:t>
            </w:r>
          </w:p>
        </w:tc>
        <w:tc>
          <w:tcPr/>
          <w:p>
            <w:pPr>
              <w:pStyle w:val="Compact"/>
            </w:pPr>
            <w:r>
              <w:t xml:space="preserve">4.24×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~27 per cell (full grid)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0.761</w:t>
            </w:r>
          </w:p>
        </w:tc>
        <w:tc>
          <w:tcPr/>
          <w:p>
            <w:pPr>
              <w:pStyle w:val="Compact"/>
            </w:pPr>
            <w:r>
              <w:t xml:space="preserve">4.28×</w:t>
            </w:r>
          </w:p>
        </w:tc>
      </w:tr>
    </w:tbl>
    <w:p>
      <w:pPr>
        <w:pStyle w:val="BodyText"/>
      </w:pPr>
      <w:r>
        <w:t xml:space="preserve">One measurement per cell ranks almost as well as all 27 — stable across five independent random</w:t>
      </w:r>
      <w:r>
        <w:t xml:space="preserve"> </w:t>
      </w:r>
      <w:r>
        <w:t xml:space="preserve">draws, not a lucky sample. The labels this produces are biased low (−2.8 yield points at k = 1,</w:t>
      </w:r>
      <w:r>
        <w:t xml:space="preserve"> </w:t>
      </w:r>
      <w:r>
        <w:t xml:space="preserve">shrinking below 0.4 points by k = 13), but the bias is roughly uniform across catalysts, so ranking</w:t>
      </w:r>
      <w:r>
        <w:t xml:space="preserve"> </w:t>
      </w:r>
      <w:r>
        <w:t xml:space="preserve">survives even though absolute yield estimates would not be trustworthy.</w:t>
      </w:r>
    </w:p>
    <w:p>
      <w:pPr>
        <w:pStyle w:val="BodyText"/>
      </w:pPr>
      <w:r>
        <w:t xml:space="preserve">Temperature is a different story. 700 °C alone gives ρ = 0.346, enrichment 1.07× — no better than</w:t>
      </w:r>
      <w:r>
        <w:t xml:space="preserve"> </w:t>
      </w:r>
      <w:r>
        <w:t xml:space="preserve">chance — because 70 % of catalysts reach their true maximum at 800 °C or above.</w:t>
      </w:r>
      <w:r>
        <w:t xml:space="preserve"> </w:t>
      </w:r>
      <w:r>
        <w:rPr>
          <w:b/>
          <w:bCs/>
        </w:rPr>
        <w:t xml:space="preserve">Redundancy is in the repeats within a temperature, not in the temperatures themselves.</w:t>
      </w:r>
    </w:p>
    <w:p>
      <w:pPr>
        <w:pStyle w:val="BodyText"/>
      </w:pPr>
      <w:r>
        <w:t xml:space="preserve">Mechanism: between-catalyst spread in true maximum yield (SD 5.32) is 3.8× the typical spread</w:t>
      </w:r>
      <w:r>
        <w:t xml:space="preserve"> </w:t>
      </w:r>
      <w:r>
        <w:t xml:space="preserve">within one (catalyst, temperature) cell (SD 1.41). What distinguishes catalysts is far larger than</w:t>
      </w:r>
      <w:r>
        <w:t xml:space="preserve"> </w:t>
      </w:r>
      <w:r>
        <w:t xml:space="preserve">what varies between repeats of one, so ranking needs many catalysts more than many repeats per</w:t>
      </w:r>
      <w:r>
        <w:t xml:space="preserve"> </w:t>
      </w:r>
      <w:r>
        <w:t xml:space="preserve">catalyst.</w:t>
      </w:r>
    </w:p>
    <w:p>
      <w:pPr>
        <w:pStyle w:val="BodyText"/>
      </w:pPr>
      <w:r>
        <w:rPr>
          <w:b/>
          <w:bCs/>
        </w:rPr>
        <w:t xml:space="preserve">This depends on the 27 slots being individually selectable</w:t>
      </w:r>
      <w:r>
        <w:t xml:space="preserve"> </w:t>
      </w:r>
      <w:r>
        <w:t xml:space="preserve">— the same open question as above.</w:t>
      </w:r>
      <w:r>
        <w:t xml:space="preserve"> </w:t>
      </w:r>
      <w:r>
        <w:t xml:space="preserve">If they are successive samples from one continuous run rather than distinct conditions,</w:t>
      </w:r>
      <w:r>
        <w:t xml:space="preserve"> </w:t>
      </w:r>
      <w:r>
        <w:t xml:space="preserve">“keep 1 of</w:t>
      </w:r>
      <w:r>
        <w:t xml:space="preserve"> </w:t>
      </w:r>
      <w:r>
        <w:t xml:space="preserve">27”</w:t>
      </w:r>
      <w:r>
        <w:t xml:space="preserve"> </w:t>
      </w:r>
      <w:r>
        <w:t xml:space="preserve">means stopping a run early, not choosing a condition, and this result would not transfer to a</w:t>
      </w:r>
      <w:r>
        <w:t xml:space="preserve"> </w:t>
      </w:r>
      <w:r>
        <w:t xml:space="preserve">prospective design. Full detail in</w:t>
      </w:r>
      <w:r>
        <w:t xml:space="preserve"> </w:t>
      </w:r>
      <w:r>
        <w:rPr>
          <w:rStyle w:val="VerbatimChar"/>
        </w:rPr>
        <w:t xml:space="preserve">phase10_condition_subsampling.py</w:t>
      </w:r>
      <w:r>
        <w:t xml:space="preserve">.</w:t>
      </w:r>
    </w:p>
    <w:bookmarkEnd w:id="40"/>
    <w:bookmarkStart w:id="44" w:name="X8489ec64e84cce6da8c7360c8c974c4cc420e72"/>
    <w:p>
      <w:pPr>
        <w:pStyle w:val="Heading2"/>
      </w:pPr>
      <w:r>
        <w:t xml:space="preserve">8. Why the Ba family fails, and how much data a new family needs</w:t>
      </w:r>
    </w:p>
    <w:p>
      <w:pPr>
        <w:pStyle w:val="FirstParagraph"/>
      </w:pPr>
      <w:r>
        <w:t xml:space="preserve">Family holdouts behave reasonably for La, Ti, Zr and Ce (ρ 0.62–0.68) but poorly for Ba (0.526). The</w:t>
      </w:r>
      <w:r>
        <w:t xml:space="preserve"> </w:t>
      </w:r>
      <w:r>
        <w:t xml:space="preserve">cause is quantifiable: Ba catalysts average</w:t>
      </w:r>
      <w:r>
        <w:t xml:space="preserve"> </w:t>
      </w:r>
      <w:r>
        <w:rPr>
          <w:b/>
          <w:bCs/>
        </w:rPr>
        <w:t xml:space="preserve">13.76 %</w:t>
      </w:r>
      <w:r>
        <w:t xml:space="preserve"> </w:t>
      </w:r>
      <w:r>
        <w:t xml:space="preserve">maximum yield against</w:t>
      </w:r>
      <w:r>
        <w:t xml:space="preserve"> </w:t>
      </w:r>
      <w:r>
        <w:rPr>
          <w:b/>
          <w:bCs/>
        </w:rPr>
        <w:t xml:space="preserve">8.95 %</w:t>
      </w:r>
      <w:r>
        <w:t xml:space="preserve"> </w:t>
      </w:r>
      <w:r>
        <w:t xml:space="preserve">for the rest,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78 % of the lab’s top decile contains Ba</w:t>
      </w:r>
      <w:r>
        <w:t xml:space="preserve">. Removing them removes the high-yield regime itself.</w:t>
      </w:r>
    </w:p>
    <w:p>
      <w:pPr>
        <w:pStyle w:val="BodyText"/>
      </w:pPr>
      <w:r>
        <w:t xml:space="preserve">The mechanism is provable rather than inferred. With no Ba catalysts in training, the Ba column is</w:t>
      </w:r>
      <w:r>
        <w:t xml:space="preserve"> </w:t>
      </w:r>
      <w:r>
        <w:t xml:space="preserve">constant, so no tree splits on it — and retraining with that column</w:t>
      </w:r>
      <w:r>
        <w:t xml:space="preserve"> </w:t>
      </w:r>
      <w:r>
        <w:rPr>
          <w:b/>
          <w:bCs/>
        </w:rPr>
        <w:t xml:space="preserve">deleted entirely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bit-identical predictions</w:t>
      </w:r>
      <w:r>
        <w:t xml:space="preserve">. The model prices Ba catalysts as though Ba were absent, underpredicting</w:t>
      </w:r>
      <w:r>
        <w:t xml:space="preserve"> </w:t>
      </w:r>
      <w:r>
        <w:t xml:space="preserve">the best of them by</w:t>
      </w:r>
      <w:r>
        <w:t xml:space="preserve"> </w:t>
      </w:r>
      <w:r>
        <w:rPr>
          <w:b/>
          <w:bCs/>
        </w:rPr>
        <w:t xml:space="preserve">9.8 yield points</w:t>
      </w:r>
      <w:r>
        <w:t xml:space="preserve">. Ten random pseudo-families of equal size score 0.752, so</w:t>
      </w:r>
      <w:r>
        <w:t xml:space="preserve"> </w:t>
      </w:r>
      <w:r>
        <w:t xml:space="preserve">this is chemistry and label coverage, not sample size.</w:t>
      </w:r>
    </w:p>
    <w:p>
      <w:pPr>
        <w:pStyle w:val="BodyText"/>
      </w:pPr>
      <w:r>
        <w:t xml:space="preserve">That raised a question we found more useful than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it fails:</w:t>
      </w:r>
      <w:r>
        <w:t xml:space="preserve"> </w:t>
      </w:r>
      <w:r>
        <w:rPr>
          <w:b/>
          <w:bCs/>
        </w:rPr>
        <w:t xml:space="preserve">how many labelled members of a</w:t>
      </w:r>
      <w:r>
        <w:rPr>
          <w:b/>
          <w:bCs/>
        </w:rPr>
        <w:t xml:space="preserve"> </w:t>
      </w:r>
      <w:r>
        <w:rPr>
          <w:b/>
          <w:bCs/>
        </w:rPr>
        <w:t xml:space="preserve">family are needed before the model can price it?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ρ, none seen</w:t>
            </w:r>
          </w:p>
        </w:tc>
        <w:tc>
          <w:tcPr/>
          <w:p>
            <w:pPr>
              <w:pStyle w:val="Compact"/>
            </w:pPr>
            <w:r>
              <w:t xml:space="preserve">ρ, fully seen</w:t>
            </w:r>
          </w:p>
        </w:tc>
        <w:tc>
          <w:tcPr/>
          <w:p>
            <w:pPr>
              <w:pStyle w:val="Compact"/>
            </w:pPr>
            <w:r>
              <w:t xml:space="preserve">% of ceiling at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0.509</w:t>
            </w:r>
          </w:p>
        </w:tc>
        <w:tc>
          <w:tcPr/>
          <w:p>
            <w:pPr>
              <w:pStyle w:val="Compact"/>
            </w:pPr>
            <w:r>
              <w:t xml:space="preserve">0.683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74.4 %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</w:t>
            </w:r>
          </w:p>
        </w:tc>
        <w:tc>
          <w:tcPr/>
          <w:p>
            <w:pPr>
              <w:pStyle w:val="Compact"/>
            </w:pPr>
            <w:r>
              <w:t xml:space="preserve">0.678</w:t>
            </w:r>
          </w:p>
        </w:tc>
        <w:tc>
          <w:tcPr/>
          <w:p>
            <w:pPr>
              <w:pStyle w:val="Compact"/>
            </w:pPr>
            <w:r>
              <w:t xml:space="preserve">0.731</w:t>
            </w:r>
          </w:p>
        </w:tc>
        <w:tc>
          <w:tcPr/>
          <w:p>
            <w:pPr>
              <w:pStyle w:val="Compact"/>
            </w:pPr>
            <w:r>
              <w:t xml:space="preserve">92.7 %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</w:t>
            </w:r>
          </w:p>
        </w:tc>
        <w:tc>
          <w:tcPr/>
          <w:p>
            <w:pPr>
              <w:pStyle w:val="Compact"/>
            </w:pPr>
            <w:r>
              <w:t xml:space="preserve">0.618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93.0 %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Zr</w:t>
            </w:r>
          </w:p>
        </w:tc>
        <w:tc>
          <w:tcPr/>
          <w:p>
            <w:pPr>
              <w:pStyle w:val="Compact"/>
            </w:pPr>
            <w:r>
              <w:t xml:space="preserve">0.646</w:t>
            </w:r>
          </w:p>
        </w:tc>
        <w:tc>
          <w:tcPr/>
          <w:p>
            <w:pPr>
              <w:pStyle w:val="Compact"/>
            </w:pPr>
            <w:r>
              <w:t xml:space="preserve">0.724</w:t>
            </w:r>
          </w:p>
        </w:tc>
        <w:tc>
          <w:tcPr/>
          <w:p>
            <w:pPr>
              <w:pStyle w:val="Compact"/>
            </w:pPr>
            <w:r>
              <w:t xml:space="preserve">89.2 %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t xml:space="preserve">0.722</w:t>
            </w:r>
          </w:p>
        </w:tc>
        <w:tc>
          <w:tcPr/>
          <w:p>
            <w:pPr>
              <w:pStyle w:val="Compact"/>
            </w:pPr>
            <w:r>
              <w:t xml:space="preserve">89.1 %</w:t>
            </w:r>
          </w:p>
        </w:tc>
      </w:tr>
    </w:tbl>
    <w:p>
      <w:pPr>
        <w:pStyle w:val="CaptionedFigure"/>
      </w:pPr>
      <w:r>
        <w:drawing>
          <wp:inline>
            <wp:extent cx="5334000" cy="1926454"/>
            <wp:effectExtent b="0" l="0" r="0" t="0"/>
            <wp:docPr descr="Figure 9 — A data budget for new chemistry. Left: performance against the number of family members already measured. Right: fraction of achievable performance reached having seen none." title="" id="42" name="Picture"/>
            <a:graphic>
              <a:graphicData uri="http://schemas.openxmlformats.org/drawingml/2006/picture">
                <pic:pic>
                  <pic:nvPicPr>
                    <pic:cNvPr descr="fig_learning_curv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9 — A data budget for new chemistry.</w:t>
      </w:r>
      <w:r>
        <w:t xml:space="preserve"> </w:t>
      </w:r>
      <w:r>
        <w:t xml:space="preserve">Left: performance against the number of family members already measured. Right: fraction of achievable performance reached having seen none.</w:t>
      </w:r>
    </w:p>
    <w:p>
      <w:pPr>
        <w:pStyle w:val="BodyText"/>
      </w:pPr>
      <w:r>
        <w:t xml:space="preserve">Ba is the most</w:t>
      </w:r>
      <w:r>
        <w:t xml:space="preserve"> </w:t>
      </w:r>
      <w:r>
        <w:rPr>
          <w:i/>
          <w:iCs/>
        </w:rPr>
        <w:t xml:space="preserve">consequential</w:t>
      </w:r>
      <w:r>
        <w:t xml:space="preserve"> </w:t>
      </w:r>
      <w:r>
        <w:t xml:space="preserve">family to lose, not the hardest to predict. Across all 28 families we</w:t>
      </w:r>
      <w:r>
        <w:t xml:space="preserve"> </w:t>
      </w:r>
      <w:r>
        <w:t xml:space="preserve">tested, five score below Ba’s 0.526: Pd 0.217, Cu 0.286, Al 0.329, Ni 0.329 and Co 0.493. What sets Ba</w:t>
      </w:r>
      <w:r>
        <w:t xml:space="preserve"> </w:t>
      </w:r>
      <w:r>
        <w:t xml:space="preserve">apart is its weight. It holds 78 % of the top decile, so losing it removes the high-yield regime</w:t>
      </w:r>
      <w:r>
        <w:t xml:space="preserve"> </w:t>
      </w:r>
      <w:r>
        <w:t xml:space="preserve">itself, and it gains far more than any other family from seeing its own members (+0.175, against</w:t>
      </w:r>
      <w:r>
        <w:t xml:space="preserve"> </w:t>
      </w:r>
      <w:r>
        <w:t xml:space="preserve">+0.047 to +0.079 elsewhere).</w:t>
      </w:r>
    </w:p>
    <w:p>
      <w:pPr>
        <w:pStyle w:val="BodyText"/>
      </w:pPr>
      <w:r>
        <w:rPr>
          <w:b/>
          <w:bCs/>
        </w:rPr>
        <w:t xml:space="preserve">On the data budget</w:t>
      </w:r>
      <w:r>
        <w:t xml:space="preserve">, the threshold depends entirely on how</w:t>
      </w:r>
      <w:r>
        <w:t xml:space="preserve"> </w:t>
      </w:r>
      <w:r>
        <w:t xml:space="preserve">“80 % of achievable performance”</w:t>
      </w:r>
      <w:r>
        <w:t xml:space="preserve"> </w:t>
      </w:r>
      <w:r>
        <w:t xml:space="preserve">is</w:t>
      </w:r>
      <w:r>
        <w:t xml:space="preserve"> </w:t>
      </w:r>
      <w:r>
        <w:t xml:space="preserve">defined, and the two natural readings differ by a factor of five. We give both rather than quote one.</w:t>
      </w:r>
    </w:p>
    <w:p>
      <w:pPr>
        <w:pStyle w:val="BodyText"/>
      </w:pPr>
      <w:r>
        <w:t xml:space="preserve">For Ba the learning curve runs 0.509 (no Ba in training) → 0.565 (10 members) → 0.616 (25) → 0.651</w:t>
      </w:r>
      <w:r>
        <w:t xml:space="preserve"> </w:t>
      </w:r>
      <w:r>
        <w:t xml:space="preserve">(50) → 0.683 (all 204). Taking 80 % of the</w:t>
      </w:r>
      <w:r>
        <w:t xml:space="preserve"> </w:t>
      </w:r>
      <w:r>
        <w:rPr>
          <w:b/>
          <w:bCs/>
        </w:rPr>
        <w:t xml:space="preserve">final level</w:t>
      </w:r>
      <w:r>
        <w:t xml:space="preserve"> </w:t>
      </w:r>
      <w:r>
        <w:t xml:space="preserve">(0.8 × 0.683 = 0.547) puts the threshold at</w:t>
      </w:r>
      <w:r>
        <w:t xml:space="preserve"> </w:t>
      </w:r>
      <w:r>
        <w:rPr>
          <w:b/>
          <w:bCs/>
        </w:rPr>
        <w:t xml:space="preserve">10 members</w:t>
      </w:r>
      <w:r>
        <w:t xml:space="preserve">; taking 80 % of the</w:t>
      </w:r>
      <w:r>
        <w:t xml:space="preserve"> </w:t>
      </w:r>
      <w:r>
        <w:rPr>
          <w:b/>
          <w:bCs/>
        </w:rPr>
        <w:t xml:space="preserve">gain from seeing the family</w:t>
      </w:r>
      <w:r>
        <w:t xml:space="preserve"> </w:t>
      </w:r>
      <w:r>
        <w:t xml:space="preserve">(0.509 + 0.8 × 0.174 = 0.648) puts</w:t>
      </w:r>
      <w:r>
        <w:t xml:space="preserve"> </w:t>
      </w:r>
      <w:r>
        <w:t xml:space="preserve">it at roughly</w:t>
      </w:r>
      <w:r>
        <w:t xml:space="preserve"> </w:t>
      </w:r>
      <w:r>
        <w:rPr>
          <w:b/>
          <w:bCs/>
        </w:rPr>
        <w:t xml:space="preserve">50</w:t>
      </w:r>
      <w:r>
        <w:t xml:space="preserve">. Our stored figure uses the first definition. We now think the second is the more</w:t>
      </w:r>
      <w:r>
        <w:t xml:space="preserve"> </w:t>
      </w:r>
      <w:r>
        <w:t xml:space="preserve">meaningful one, because Ba already reaches 0.509 having seen no Ba catalysts at all — so 80 % of the</w:t>
      </w:r>
      <w:r>
        <w:t xml:space="preserve"> </w:t>
      </w:r>
      <w:r>
        <w:t xml:space="preserve">level is a bar that is nearly cleared by seeing nothing, and the</w:t>
      </w:r>
      <w:r>
        <w:t xml:space="preserve"> </w:t>
      </w:r>
      <w:r>
        <w:t xml:space="preserve">“10”</w:t>
      </w:r>
      <w:r>
        <w:t xml:space="preserve"> </w:t>
      </w:r>
      <w:r>
        <w:t xml:space="preserve">understates what is actually</w:t>
      </w:r>
      <w:r>
        <w:t xml:space="preserve"> </w:t>
      </w:r>
      <w:r>
        <w:t xml:space="preserve">required. The same caution applies to the</w:t>
      </w:r>
      <w:r>
        <w:t xml:space="preserve"> </w:t>
      </w:r>
      <w:r>
        <w:rPr>
          <w:b/>
          <w:bCs/>
        </w:rPr>
        <w:t xml:space="preserve">0 for La, Ti, Zr and Ce</w:t>
      </w:r>
      <w:r>
        <w:t xml:space="preserve">: those four exceed 80 % of their</w:t>
      </w:r>
      <w:r>
        <w:t xml:space="preserve"> </w:t>
      </w:r>
      <w:r>
        <w:t xml:space="preserve">final level having seen none, which says more about the leniency of that bar than about the families.</w:t>
      </w:r>
    </w:p>
    <w:p>
      <w:pPr>
        <w:pStyle w:val="BodyText"/>
      </w:pPr>
      <w:r>
        <w:t xml:space="preserve">Reaching 95 % takes about 50 for Ba and 25–50 for the others. We would treat all of this as</w:t>
      </w:r>
      <w:r>
        <w:t xml:space="preserve"> </w:t>
      </w:r>
      <w:r>
        <w:t xml:space="preserve">order-of-magnitude guidance only: for Ti and Zr the per-point seed spread (0.03–0.12) is comparable to</w:t>
      </w:r>
      <w:r>
        <w:t xml:space="preserve"> </w:t>
      </w:r>
      <w:r>
        <w:t xml:space="preserve">the whole learning-curve gain, so those two curves are not resolved.</w:t>
      </w:r>
    </w:p>
    <w:bookmarkEnd w:id="44"/>
    <w:bookmarkStart w:id="45" w:name="X4c516e742cd4f94fc4850084fd7794e268a551e"/>
    <w:p>
      <w:pPr>
        <w:pStyle w:val="Heading2"/>
      </w:pPr>
      <w:r>
        <w:t xml:space="preserve">9. A candidate list for prospective validation</w:t>
      </w:r>
    </w:p>
    <w:p>
      <w:pPr>
        <w:pStyle w:val="FirstParagraph"/>
      </w:pPr>
      <w:r>
        <w:t xml:space="preserve">We enumerated</w:t>
      </w:r>
      <w:r>
        <w:t xml:space="preserve"> </w:t>
      </w:r>
      <w:r>
        <w:rPr>
          <w:b/>
          <w:bCs/>
        </w:rPr>
        <w:t xml:space="preserve">26,414 unseen candidates</w:t>
      </w:r>
      <w:r>
        <w:t xml:space="preserve"> </w:t>
      </w:r>
      <w:r>
        <w:t xml:space="preserve">in the laboratory’s own design grammar — impregnation, one</w:t>
      </w:r>
      <w:r>
        <w:t xml:space="preserve"> </w:t>
      </w:r>
      <w:r>
        <w:t xml:space="preserve">support at ~90 % with 2–3 promoters at ~3.33 %, drawn from the supports and promoters already in use —</w:t>
      </w:r>
      <w:r>
        <w:t xml:space="preserve"> </w:t>
      </w:r>
      <w:r>
        <w:t xml:space="preserve">and scored them with a 10-seed ensemble. No literature prior is used.</w:t>
      </w:r>
    </w:p>
    <w:p>
      <w:pPr>
        <w:pStyle w:val="BodyText"/>
      </w:pPr>
      <w:r>
        <w:t xml:space="preserve">Every candidate carries a coverage flag, and the safeguard is verified rather than assumed: for an</w:t>
      </w:r>
      <w:r>
        <w:t xml:space="preserve"> </w:t>
      </w:r>
      <w:r>
        <w:t xml:space="preserve">element absent from our data (Ag), predictions computed with and without its column differ by exactly</w:t>
      </w:r>
      <w:r>
        <w:t xml:space="preserve"> </w:t>
      </w:r>
      <w:r>
        <w:t xml:space="preserve">zero — confirming such candidates are unpriceable and must be flagged rather than ranked.</w:t>
      </w:r>
    </w:p>
    <w:p>
      <w:pPr>
        <w:pStyle w:val="BodyText"/>
      </w:pPr>
      <w:r>
        <w:t xml:space="preserve">The highest-ranked candidate is</w:t>
      </w:r>
      <w:r>
        <w:t xml:space="preserve"> </w:t>
      </w:r>
      <w:r>
        <w:rPr>
          <w:b/>
          <w:bCs/>
        </w:rPr>
        <w:t xml:space="preserve">Ba(90) + Mo(3.33) + Zn(3.33) + Fe(3.33)</w:t>
      </w:r>
      <w:r>
        <w:t xml:space="preserve">, predicted 18.79 %. We</w:t>
      </w:r>
      <w:r>
        <w:t xml:space="preserve"> </w:t>
      </w:r>
      <w:r>
        <w:t xml:space="preserve">deliberately do not attach an error bar to that figure. The ± 0.09 our ensemble reports is only the</w:t>
      </w:r>
      <w:r>
        <w:t xml:space="preserve"> </w:t>
      </w:r>
      <w:r>
        <w:t xml:space="preserve">spread across 10 seeds; the model’s actual catalyst-level error on held-out catalysts is about</w:t>
      </w:r>
      <w:r>
        <w:t xml:space="preserve"> </w:t>
      </w:r>
      <w:r>
        <w:t xml:space="preserve">2.7 yield points (MAE). The number ranks candidates. It does not forecast a yield.</w:t>
      </w:r>
    </w:p>
    <w:p>
      <w:pPr>
        <w:pStyle w:val="BodyText"/>
      </w:pPr>
      <w:r>
        <w:t xml:space="preserve">Two caveats. Absolute predictions compress at the extreme — our ensemble maximum is 18.79 % while</w:t>
      </w:r>
      <w:r>
        <w:t xml:space="preserve"> </w:t>
      </w:r>
      <w:r>
        <w:t xml:space="preserve">observed training yields reach 21.50 % — so the</w:t>
      </w:r>
      <w:r>
        <w:t xml:space="preserve"> </w:t>
      </w:r>
      <w:r>
        <w:rPr>
          <w:b/>
          <w:bCs/>
        </w:rPr>
        <w:t xml:space="preserve">ranking</w:t>
      </w:r>
      <w:r>
        <w:t xml:space="preserve"> </w:t>
      </w:r>
      <w:r>
        <w:t xml:space="preserve">is the deliverable, not the predicted</w:t>
      </w:r>
      <w:r>
        <w:t xml:space="preserve"> </w:t>
      </w:r>
      <w:r>
        <w:t xml:space="preserve">value. And the top 20 are chemically monotonous: all contain Ba, most contain Mo. A diversity</w:t>
      </w:r>
      <w:r>
        <w:t xml:space="preserve"> </w:t>
      </w:r>
      <w:r>
        <w:t xml:space="preserve">constraint did not meaningfully change this, because the model’s preference for Ba is genuine. We</w:t>
      </w:r>
      <w:r>
        <w:t xml:space="preserve"> </w:t>
      </w:r>
      <w:r>
        <w:t xml:space="preserve">therefore also provide the best candidate per support, with its cost in predicted yield: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Ti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Zr</w:t>
            </w:r>
          </w:p>
        </w:tc>
        <w:tc>
          <w:tcPr/>
          <w:p>
            <w:pPr>
              <w:pStyle w:val="Compact"/>
            </w:pPr>
            <w:r>
              <w:t xml:space="preserve">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predicted max yield (%)</w:t>
            </w:r>
          </w:p>
        </w:tc>
        <w:tc>
          <w:tcPr/>
          <w:p>
            <w:pPr>
              <w:pStyle w:val="Compact"/>
            </w:pPr>
            <w:r>
              <w:t xml:space="preserve">18.79</w:t>
            </w:r>
          </w:p>
        </w:tc>
        <w:tc>
          <w:tcPr/>
          <w:p>
            <w:pPr>
              <w:pStyle w:val="Compact"/>
            </w:pPr>
            <w:r>
              <w:t xml:space="preserve">16.49</w:t>
            </w:r>
          </w:p>
        </w:tc>
        <w:tc>
          <w:tcPr/>
          <w:p>
            <w:pPr>
              <w:pStyle w:val="Compact"/>
            </w:pPr>
            <w:r>
              <w:t xml:space="preserve">15.82</w:t>
            </w:r>
          </w:p>
        </w:tc>
        <w:tc>
          <w:tcPr/>
          <w:p>
            <w:pPr>
              <w:pStyle w:val="Compact"/>
            </w:pPr>
            <w:r>
              <w:t xml:space="preserve">15.54</w:t>
            </w:r>
          </w:p>
        </w:tc>
        <w:tc>
          <w:tcPr/>
          <w:p>
            <w:pPr>
              <w:pStyle w:val="Compact"/>
            </w:pPr>
            <w:r>
              <w:t xml:space="preserve">14.66</w:t>
            </w:r>
          </w:p>
        </w:tc>
        <w:tc>
          <w:tcPr/>
          <w:p>
            <w:pPr>
              <w:pStyle w:val="Compact"/>
            </w:pPr>
            <w:r>
              <w:t xml:space="preserve">13.83</w:t>
            </w:r>
          </w:p>
        </w:tc>
        <w:tc>
          <w:tcPr/>
          <w:p>
            <w:pPr>
              <w:pStyle w:val="Compact"/>
            </w:pPr>
            <w:r>
              <w:t xml:space="preserve">13.63</w:t>
            </w:r>
          </w:p>
        </w:tc>
        <w:tc>
          <w:tcPr/>
          <w:p>
            <w:pPr>
              <w:pStyle w:val="Compact"/>
            </w:pPr>
            <w:r>
              <w:t xml:space="preserve">13.02</w:t>
            </w:r>
          </w:p>
        </w:tc>
        <w:tc>
          <w:tcPr/>
          <w:p>
            <w:pPr>
              <w:pStyle w:val="Compact"/>
            </w:pPr>
            <w:r>
              <w:t xml:space="preserve">12.93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recommended campaign (17 catalysts,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campaign_shortlist.csv</w:t>
      </w:r>
      <w:r>
        <w:rPr>
          <w:b/>
          <w:bCs/>
        </w:rPr>
        <w:t xml:space="preserve">).</w:t>
      </w:r>
      <w:r>
        <w:t xml:space="preserve"> </w:t>
      </w:r>
      <w:r>
        <w:t xml:space="preserve">Rather than submit twenty</w:t>
      </w:r>
      <w:r>
        <w:t xml:space="preserve"> </w:t>
      </w:r>
      <w:r>
        <w:t xml:space="preserve">near-identical catalysts, we suggest splitting the budget: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 A — 12 catalysts, the model’s optimum</w:t>
      </w:r>
      <w:r>
        <w:t xml:space="preserve"> </w:t>
      </w:r>
      <w:r>
        <w:t xml:space="preserve">(predicted 18.33–18.79 %). This is where the expected</w:t>
      </w:r>
      <w:r>
        <w:t xml:space="preserve"> </w:t>
      </w:r>
      <w:r>
        <w:t xml:space="preserve">hits are. From the retrospective grouped-CV precision@20, we would expect roughly</w:t>
      </w:r>
      <w:r>
        <w:t xml:space="preserve"> </w:t>
      </w:r>
      <w:r>
        <w:rPr>
          <w:b/>
          <w:bCs/>
        </w:rPr>
        <w:t xml:space="preserve">2–8 of the 12</w:t>
      </w:r>
      <w:r>
        <w:t xml:space="preserve"> </w:t>
      </w:r>
      <w:r>
        <w:t xml:space="preserve">to be genuine top-decile performers (95 % CI 0.15–0.65 — deliberately a wide interval).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 B — 5 catalysts, one per alternative support</w:t>
      </w:r>
      <w:r>
        <w:t xml:space="preserve"> </w:t>
      </w:r>
      <w:r>
        <w:t xml:space="preserve">(Ti 16.49, La 15.82, Ca 15.54, Mg 14.66,</w:t>
      </w:r>
      <w:r>
        <w:t xml:space="preserve"> </w:t>
      </w:r>
      <w:r>
        <w:t xml:space="preserve">Si 13.83). These cost predicted yield and we do not expect them to win. They are an</w:t>
      </w:r>
      <w:r>
        <w:t xml:space="preserve"> </w:t>
      </w:r>
      <w:r>
        <w:rPr>
          <w:i/>
          <w:iCs/>
        </w:rPr>
        <w:t xml:space="preserve">information</w:t>
      </w:r>
      <w:r>
        <w:t xml:space="preserve"> </w:t>
      </w:r>
      <w:r>
        <w:t xml:space="preserve">purchase: 78 % of the lab’s existing top decile already contains Ba, so the model’s strong Ba</w:t>
      </w:r>
      <w:r>
        <w:t xml:space="preserve"> </w:t>
      </w:r>
      <w:r>
        <w:t xml:space="preserve">preference may partly reflect that coverage rather than chemistry. If several Tier-B catalysts</w:t>
      </w:r>
      <w:r>
        <w:t xml:space="preserve"> </w:t>
      </w:r>
      <w:r>
        <w:t xml:space="preserve">outperform their predictions, that tells us something the Tier-A catalysts cannot.</w:t>
      </w:r>
    </w:p>
    <w:p>
      <w:pPr>
        <w:pStyle w:val="FirstParagraph"/>
      </w:pPr>
      <w:r>
        <w:t xml:space="preserve">We would of course defer to your judgement on synthesis feasibility, and are happy to reweight the</w:t>
      </w:r>
      <w:r>
        <w:t xml:space="preserve"> </w:t>
      </w:r>
      <w:r>
        <w:t xml:space="preserve">split.</w:t>
      </w:r>
    </w:p>
    <w:p>
      <w:pPr>
        <w:pStyle w:val="BodyText"/>
      </w:pPr>
      <w:r>
        <w:rPr>
          <w:b/>
          <w:bCs/>
        </w:rPr>
        <w:t xml:space="preserve">A limit we should state plainly before you spend reactor time.</w:t>
      </w:r>
      <w:r>
        <w:t xml:space="preserve"> </w:t>
      </w:r>
      <w:r>
        <w:t xml:space="preserve">Seventeen catalysts, all drawn from</w:t>
      </w:r>
      <w:r>
        <w:t xml:space="preserve"> </w:t>
      </w:r>
      <w:r>
        <w:t xml:space="preserve">the model’s top-ranked region and with no control arm, cannot confirm or refute the model. As noted in</w:t>
      </w:r>
      <w:r>
        <w:t xml:space="preserve"> </w:t>
      </w:r>
      <w:r>
        <w:t xml:space="preserve">§6, the model’s internal ordering inside that region is close to uninformative (ρ = 0.179 within its</w:t>
      </w:r>
      <w:r>
        <w:t xml:space="preserve"> </w:t>
      </w:r>
      <w:r>
        <w:t xml:space="preserve">top 150, −0.066 within its top 20), so a campaign drawn entirely from it has very wide error bars on</w:t>
      </w:r>
      <w:r>
        <w:t xml:space="preserve"> </w:t>
      </w:r>
      <w:r>
        <w:t xml:space="preserve">any correlation it measures. The list is a reasonable set of catalysts to</w:t>
      </w:r>
      <w:r>
        <w:t xml:space="preserve"> </w:t>
      </w:r>
      <w:r>
        <w:rPr>
          <w:i/>
          <w:iCs/>
        </w:rPr>
        <w:t xml:space="preserve">try</w:t>
      </w:r>
      <w:r>
        <w:t xml:space="preserve">; it is not a test.</w:t>
      </w:r>
    </w:p>
    <w:p>
      <w:pPr>
        <w:pStyle w:val="BodyText"/>
      </w:pPr>
      <w:r>
        <w:t xml:space="preserve">If a test is wanted, our retrospective replay on your own archive suggests a different allocation of</w:t>
      </w:r>
      <w:r>
        <w:t xml:space="preserve"> </w:t>
      </w:r>
      <w:r>
        <w:t xml:space="preserve">the same reactor budget. Measuring 5 conditions at each of 750, 800, 850 and 900 °C — 20 runs rather</w:t>
      </w:r>
      <w:r>
        <w:t xml:space="preserve"> </w:t>
      </w:r>
      <w:r>
        <w:t xml:space="preserve">than 135 — reproduces the ranking of your 811 fully-measured catalysts at ρ =</w:t>
      </w:r>
      <w:r>
        <w:t xml:space="preserve"> </w:t>
      </w:r>
      <w:r>
        <w:rPr>
          <w:b/>
          <w:bCs/>
        </w:rPr>
        <w:t xml:space="preserve">0.955</w:t>
      </w:r>
      <w:r>
        <w:t xml:space="preserve"> </w:t>
      </w:r>
      <w:r>
        <w:t xml:space="preserve">(systematically</w:t>
      </w:r>
      <w:r>
        <w:t xml:space="preserve"> </w:t>
      </w:r>
      <w:r>
        <w:t xml:space="preserve">low by 1.31 yield points, a bias that can be pre-declared; §7 has the fuller, stability-checked</w:t>
      </w:r>
      <w:r>
        <w:t xml:space="preserve"> </w:t>
      </w:r>
      <w:r>
        <w:t xml:space="preserve">version of this result). That buys roughly 72 catalysts screened</w:t>
      </w:r>
      <w:r>
        <w:t xml:space="preserve"> </w:t>
      </w:r>
      <w:r>
        <w:t xml:space="preserve">instead of 17 measured exhaustively, with the best few then confirmed at full coverage, and with part</w:t>
      </w:r>
      <w:r>
        <w:t xml:space="preserve"> </w:t>
      </w:r>
      <w:r>
        <w:t xml:space="preserve">of the batch drawn at random from the same candidate grammar as a control arm. The cost is more</w:t>
      </w:r>
      <w:r>
        <w:t xml:space="preserve"> </w:t>
      </w:r>
      <w:r>
        <w:t xml:space="preserve">syntheses for the same number of reactor runs, which may or may not suit your constraints.</w:t>
      </w:r>
    </w:p>
    <w:p>
      <w:pPr>
        <w:pStyle w:val="BodyText"/>
      </w:pPr>
      <w:r>
        <w:t xml:space="preserve">This depends on one thing we could not determine from the data file, and it is the question we would</w:t>
      </w:r>
      <w:r>
        <w:t xml:space="preserve"> </w:t>
      </w:r>
      <w:r>
        <w:t xml:space="preserve">most like answered:</w:t>
      </w:r>
      <w:r>
        <w:t xml:space="preserve"> </w:t>
      </w:r>
      <w:r>
        <w:rPr>
          <w:b/>
          <w:bCs/>
        </w:rPr>
        <w:t xml:space="preserve">are the ~27 measurements per catalyst–temperature distinct reaction conditions,</w:t>
      </w:r>
      <w:r>
        <w:rPr>
          <w:b/>
          <w:bCs/>
        </w:rPr>
        <w:t xml:space="preserve"> </w:t>
      </w:r>
      <w:r>
        <w:rPr>
          <w:b/>
          <w:bCs/>
        </w:rPr>
        <w:t xml:space="preserve">or successive time-on-stream samples at a single condition?</w:t>
      </w:r>
      <w:r>
        <w:t xml:space="preserve"> </w:t>
      </w:r>
      <w:r>
        <w:t xml:space="preserve">If the latter, then selecting 5 of 27</w:t>
      </w:r>
      <w:r>
        <w:t xml:space="preserve"> </w:t>
      </w:r>
      <w:r>
        <w:t xml:space="preserve">saves analysis rather than reactor hours, the arithmetic above changes, and — more importantly — a</w:t>
      </w:r>
      <w:r>
        <w:t xml:space="preserve"> </w:t>
      </w:r>
      <w:r>
        <w:t xml:space="preserve">catalyst’s observed maximum is a fresh-catalyst transient rather than an achievable optimum, which</w:t>
      </w:r>
      <w:r>
        <w:t xml:space="preserve"> </w:t>
      </w:r>
      <w:r>
        <w:t xml:space="preserve">would change what our target quantity means.</w:t>
      </w:r>
    </w:p>
    <w:bookmarkEnd w:id="45"/>
    <w:bookmarkStart w:id="46" w:name="relation-to-prior-work"/>
    <w:p>
      <w:pPr>
        <w:pStyle w:val="Heading2"/>
      </w:pPr>
      <w:r>
        <w:t xml:space="preserve">10. Relation to prior work</w:t>
      </w:r>
    </w:p>
    <w:p>
      <w:pPr>
        <w:pStyle w:val="FirstParagraph"/>
      </w:pPr>
      <w:r>
        <w:t xml:space="preserve">The mechanism of PFT — using a model’s prediction as an input feature — is</w:t>
      </w:r>
      <w:r>
        <w:t xml:space="preserve"> </w:t>
      </w:r>
      <w:r>
        <w:rPr>
          <w:b/>
          <w:bCs/>
        </w:rPr>
        <w:t xml:space="preserve">stacked generalisation</w:t>
      </w:r>
      <w:r>
        <w:t xml:space="preserve"> </w:t>
      </w:r>
      <w:r>
        <w:t xml:space="preserve">(Wolpert,</w:t>
      </w:r>
      <w:r>
        <w:t xml:space="preserve"> </w:t>
      </w:r>
      <w:r>
        <w:rPr>
          <w:i/>
          <w:iCs/>
        </w:rPr>
        <w:t xml:space="preserve">Neural Networks</w:t>
      </w:r>
      <w:r>
        <w:t xml:space="preserve"> </w:t>
      </w:r>
      <w:r>
        <w:t xml:space="preserve">5, 1992, 241–259) applied across distributions.</w:t>
      </w:r>
      <w:r>
        <w:t xml:space="preserve"> </w:t>
      </w:r>
      <w:r>
        <w:t xml:space="preserve">“Prior Feature Transfer”</w:t>
      </w:r>
      <w:r>
        <w:t xml:space="preserve"> </w:t>
      </w:r>
      <w:r>
        <w:t xml:space="preserve">was our internal shorthand, not a standard term, and we note that</w:t>
      </w:r>
      <w:r>
        <w:t xml:space="preserve"> </w:t>
      </w:r>
      <w:r>
        <w:t xml:space="preserve">“feature transfer”</w:t>
      </w:r>
      <w:r>
        <w:t xml:space="preserve"> </w:t>
      </w:r>
      <w:r>
        <w:t xml:space="preserve">usually denotes</w:t>
      </w:r>
      <w:r>
        <w:t xml:space="preserve"> </w:t>
      </w:r>
      <w:r>
        <w:rPr>
          <w:i/>
          <w:iCs/>
        </w:rPr>
        <w:t xml:space="preserve">representation</w:t>
      </w:r>
      <w:r>
        <w:t xml:space="preserve"> </w:t>
      </w:r>
      <w:r>
        <w:t xml:space="preserve">transfer, which this is not.</w:t>
      </w:r>
    </w:p>
    <w:p>
      <w:pPr>
        <w:pStyle w:val="BodyText"/>
      </w:pPr>
      <w:r>
        <w:rPr>
          <w:b/>
          <w:bCs/>
        </w:rPr>
        <w:t xml:space="preserve">Our corrected understanding of when such a method can help.</w:t>
      </w:r>
      <w:r>
        <w:t xml:space="preserve"> </w:t>
      </w:r>
      <w:r>
        <w:t xml:space="preserve">Because the prior</w:t>
      </w:r>
      <w:r>
        <w:t xml:space="preserve"> </w:t>
      </w:r>
      <w:r>
        <w:rPr>
          <w:rStyle w:val="VerbatimChar"/>
        </w:rPr>
        <w:t xml:space="preserve">p = f(x)</w:t>
      </w:r>
      <w:r>
        <w:t xml:space="preserve"> </w:t>
      </w:r>
      <w:r>
        <w:t xml:space="preserve">is a</w:t>
      </w:r>
      <w:r>
        <w:t xml:space="preserve"> </w:t>
      </w:r>
      <w:r>
        <w:t xml:space="preserve">deterministic function of features the final model already has,</w:t>
      </w:r>
      <w:r>
        <w:t xml:space="preserve"> </w:t>
      </w:r>
      <w:r>
        <w:rPr>
          <w:rStyle w:val="VerbatimChar"/>
        </w:rPr>
        <w:t xml:space="preserve">I(y; x, f(x)) = I(y; x)</w:t>
      </w:r>
      <w:r>
        <w:t xml:space="preserve"> </w:t>
      </w:r>
      <w:r>
        <w:t xml:space="preserve">— it cannot</w:t>
      </w:r>
      <w:r>
        <w:t xml:space="preserve"> </w:t>
      </w:r>
      <w:r>
        <w:t xml:space="preserve">add information. It can only supply an inductive bias, or exploit source data covering regions the</w:t>
      </w:r>
      <w:r>
        <w:t xml:space="preserve"> </w:t>
      </w:r>
      <w:r>
        <w:t xml:space="preserve">target data does not. Our results indicate neither applies here at the scale that matters, for three</w:t>
      </w:r>
      <w:r>
        <w:t xml:space="preserve"> </w:t>
      </w:r>
      <w:r>
        <w:t xml:space="preserve">reasons: ~79.7 % of the literature is out-of-distribution relative to the lab; quantile normalisation</w:t>
      </w:r>
      <w:r>
        <w:t xml:space="preserve"> </w:t>
      </w:r>
      <w:r>
        <w:t xml:space="preserve">aligns marginal but not conditional distributions; and literature yields are measured under each</w:t>
      </w:r>
      <w:r>
        <w:t xml:space="preserve"> </w:t>
      </w:r>
      <w:r>
        <w:t xml:space="preserve">paper’s own conditions, whereas our target is the maximum over a standardised battery — semantically</w:t>
      </w:r>
      <w:r>
        <w:t xml:space="preserve"> </w:t>
      </w:r>
      <w:r>
        <w:t xml:space="preserve">different quantities.</w:t>
      </w:r>
      <w:r>
        <w:t xml:space="preserve"> </w:t>
      </w:r>
      <w:r>
        <w:rPr>
          <w:b/>
          <w:bCs/>
        </w:rPr>
        <w:t xml:space="preserve">The honest scope statement is that this family of methods is a local-coverage</w:t>
      </w:r>
      <w:r>
        <w:rPr>
          <w:b/>
          <w:bCs/>
        </w:rPr>
        <w:t xml:space="preserve"> </w:t>
      </w:r>
      <w:r>
        <w:rPr>
          <w:b/>
          <w:bCs/>
        </w:rPr>
        <w:t xml:space="preserve">tool, not a global-information tool.</w:t>
      </w:r>
    </w:p>
    <w:p>
      <w:pPr>
        <w:pStyle w:val="BodyText"/>
      </w:pPr>
      <w:r>
        <w:t xml:space="preserve">Related approaches remain distinct: Δ-machine-learning (Ramakrishnan et al.,</w:t>
      </w:r>
      <w:r>
        <w:t xml:space="preserve"> </w:t>
      </w:r>
      <w:r>
        <w:rPr>
          <w:i/>
          <w:iCs/>
        </w:rPr>
        <w:t xml:space="preserve">JCTC</w:t>
      </w:r>
      <w:r>
        <w:t xml:space="preserve"> </w:t>
      </w:r>
      <w:r>
        <w:t xml:space="preserve">11, 2015, 2087)</w:t>
      </w:r>
      <w:r>
        <w:t xml:space="preserve"> </w:t>
      </w:r>
      <w:r>
        <w:t xml:space="preserve">adds a source estimate as an additive baseline, inheriting its scale; importance weighting (Huang et</w:t>
      </w:r>
      <w:r>
        <w:t xml:space="preserve"> </w:t>
      </w:r>
      <w:r>
        <w:t xml:space="preserve">al., NIPS 2006; Sugiyama et al.,</w:t>
      </w:r>
      <w:r>
        <w:t xml:space="preserve"> </w:t>
      </w:r>
      <w:r>
        <w:rPr>
          <w:i/>
          <w:iCs/>
        </w:rPr>
        <w:t xml:space="preserve">JMLR</w:t>
      </w:r>
      <w:r>
        <w:t xml:space="preserve"> </w:t>
      </w:r>
      <w:r>
        <w:t xml:space="preserve">8, 2007) corrects which records are used but keeps source</w:t>
      </w:r>
      <w:r>
        <w:t xml:space="preserve"> </w:t>
      </w:r>
      <w:r>
        <w:t xml:space="preserve">labels in the objective — our DRST and KMM baselines are instances; label-shift correction (Lipton et</w:t>
      </w:r>
      <w:r>
        <w:t xml:space="preserve"> </w:t>
      </w:r>
      <w:r>
        <w:t xml:space="preserve">al., ICML 2018) reweights to correct the label distribution.</w:t>
      </w:r>
    </w:p>
    <w:bookmarkEnd w:id="46"/>
    <w:bookmarkStart w:id="47" w:name="limitations-and-next-steps"/>
    <w:p>
      <w:pPr>
        <w:pStyle w:val="Heading2"/>
      </w:pPr>
      <w:r>
        <w:t xml:space="preserve">11. Limitations and 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literature contribution is not demonstrated.</w:t>
      </w:r>
      <w:r>
        <w:t xml:space="preserve"> </w:t>
      </w:r>
      <w:r>
        <w:t xml:space="preserve">Four designs plus a 28-family follow-up all</w:t>
      </w:r>
      <w:r>
        <w:t xml:space="preserve"> </w:t>
      </w:r>
      <w:r>
        <w:t xml:space="preserve">returned null. We report this rather than continue searching for a variant that scores well.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Novel promoter families cannot be priced.</w:t>
      </w:r>
      <w:r>
        <w:t xml:space="preserve"> </w:t>
      </w:r>
      <w:r>
        <w:t xml:space="preserve">This is structural, not a modelling deficiency — but</w:t>
      </w:r>
      <w:r>
        <w:t xml:space="preserve"> </w:t>
      </w:r>
      <w:r>
        <w:t xml:space="preserve">§8 quantifies the data required to remove the limitation.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target carries a measurement-effort confound, and grid coverage is not random.</w:t>
      </w:r>
      <w:r>
        <w:t xml:space="preserve"> </w:t>
      </w:r>
      <w:r>
        <w:t xml:space="preserve">47 catalysts</w:t>
      </w:r>
      <w:r>
        <w:t xml:space="preserve"> </w:t>
      </w:r>
      <w:r>
        <w:t xml:space="preserve">have fewer than 20 measurements and systematically low maxima. More generally, how much of the</w:t>
      </w:r>
      <w:r>
        <w:t xml:space="preserve"> </w:t>
      </w:r>
      <w:r>
        <w:t xml:space="preserve">135-condition grid was actually run tracks how well the catalyst performed: Spearman(cell size,</w:t>
      </w:r>
      <w:r>
        <w:t xml:space="preserve"> </w:t>
      </w:r>
      <w:r>
        <w:t xml:space="preserve">cell maximum yield) =</w:t>
      </w:r>
      <w:r>
        <w:t xml:space="preserve"> </w:t>
      </w:r>
      <w:r>
        <w:rPr>
          <w:b/>
          <w:bCs/>
        </w:rPr>
        <w:t xml:space="preserve">+0.441</w:t>
      </w:r>
      <w:r>
        <w:t xml:space="preserve">, and mean cell yield rises monotonically from 2.22 % in cells with</w:t>
      </w:r>
      <w:r>
        <w:t xml:space="preserve"> </w:t>
      </w:r>
      <w:r>
        <w:t xml:space="preserve">1–5 rows to 6.05 % in cells with 27. Only 811 of 917 catalysts have all five temperatures present,</w:t>
      </w:r>
      <w:r>
        <w:t xml:space="preserve"> </w:t>
      </w:r>
      <w:r>
        <w:t xml:space="preserve">and 186 catalyst–temperature cells are absent entirely. This reads as unpromising combinations</w:t>
      </w:r>
      <w:r>
        <w:t xml:space="preserve"> </w:t>
      </w:r>
      <w:r>
        <w:t xml:space="preserve">being abandoned partway through the grid. Excluding the low-count catalysts changes our headline</w:t>
      </w:r>
      <w:r>
        <w:t xml:space="preserve"> </w:t>
      </w:r>
      <w:r>
        <w:t xml:space="preserve">metric by 0.002, so no conclusion here hinges on it — but we would welcome confirmation of whether</w:t>
      </w:r>
      <w:r>
        <w:t xml:space="preserve"> </w:t>
      </w:r>
      <w:r>
        <w:t xml:space="preserve">the incomplete cells were stopped deliberately, since that decides whether the bias is correctable</w:t>
      </w:r>
      <w:r>
        <w:t xml:space="preserve"> </w:t>
      </w:r>
      <w:r>
        <w:t xml:space="preserve">or is itself informative.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unrecorded reaction conditions are the largest single opportunity.</w:t>
      </w:r>
      <w:r>
        <w:t xml:space="preserve"> </w:t>
      </w:r>
      <w:r>
        <w:t xml:space="preserve">If those ~27 condition</w:t>
      </w:r>
      <w:r>
        <w:t xml:space="preserve"> </w:t>
      </w:r>
      <w:r>
        <w:t xml:space="preserve">settings per catalyst–temperature exist in a retrievable form, the 19.9 % of variance now</w:t>
      </w:r>
      <w:r>
        <w:t xml:space="preserve"> </w:t>
      </w:r>
      <w:r>
        <w:t xml:space="preserve">unreachable from composition and temperature becomes largely learnable, condition-level modelling</w:t>
      </w:r>
      <w:r>
        <w:t xml:space="preserve"> </w:t>
      </w:r>
      <w:r>
        <w:t xml:space="preserve">becomes meaningful, and row-level RMSE becomes a well-posed target again rather than a floor</w:t>
      </w:r>
      <w:r>
        <w:t xml:space="preserve"> </w:t>
      </w:r>
      <w:r>
        <w:t xml:space="preserve">artefact. One further question would settle a reading we could not resolve from the file alone:</w:t>
      </w:r>
      <w:r>
        <w:t xml:space="preserve"> </w:t>
      </w:r>
      <w:r>
        <w:t xml:space="preserve">are the ~27 measurements per catalyst–temperature</w:t>
      </w:r>
      <w:r>
        <w:t xml:space="preserve"> </w:t>
      </w:r>
      <w:r>
        <w:rPr>
          <w:b/>
          <w:bCs/>
        </w:rPr>
        <w:t xml:space="preserve">distinct reaction conditions</w:t>
      </w:r>
      <w:r>
        <w:t xml:space="preserve">, or successive</w:t>
      </w:r>
      <w:r>
        <w:t xml:space="preserve"> </w:t>
      </w:r>
      <w:r>
        <w:rPr>
          <w:b/>
          <w:bCs/>
        </w:rPr>
        <w:t xml:space="preserve">time-on-stream samples</w:t>
      </w:r>
      <w:r>
        <w:t xml:space="preserve"> </w:t>
      </w:r>
      <w:r>
        <w:t xml:space="preserve">at a single condition? If the latter, a catalyst’s maximum is a</w:t>
      </w:r>
      <w:r>
        <w:t xml:space="preserve"> </w:t>
      </w:r>
      <w:r>
        <w:t xml:space="preserve">fresh-catalyst transient rather than an achievable optimum, which would change the target we</w:t>
      </w:r>
      <w:r>
        <w:t xml:space="preserve"> </w:t>
      </w:r>
      <w:r>
        <w:t xml:space="preserve">should be predicting.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Cross-preparation transfer is now measured, and it is where literature data finally helps.</w:t>
      </w:r>
      <w:r>
        <w:t xml:space="preserve"> </w:t>
      </w:r>
      <w:r>
        <w:t xml:space="preserve">Predicting</w:t>
      </w:r>
      <w:r>
        <w:t xml:space="preserve"> </w:t>
      </w:r>
      <w:r>
        <w:rPr>
          <w:i/>
          <w:iCs/>
        </w:rPr>
        <w:t xml:space="preserve">impregnation</w:t>
      </w:r>
      <w:r>
        <w:t xml:space="preserve"> </w:t>
      </w:r>
      <w:r>
        <w:t xml:space="preserve">literature (different source, same preparation) gives ρ = 0.398; predicting</w:t>
      </w:r>
      <w:r>
        <w:t xml:space="preserve"> </w:t>
      </w:r>
      <w:r>
        <w:rPr>
          <w:i/>
          <w:iCs/>
        </w:rPr>
        <w:t xml:space="preserve">non-impregnation</w:t>
      </w:r>
      <w:r>
        <w:t xml:space="preserve"> </w:t>
      </w:r>
      <w:r>
        <w:t xml:space="preserve">literature gives ρ = 0.238 — so changing preparation costs a further 0.160. At that</w:t>
      </w:r>
      <w:r>
        <w:t xml:space="preserve"> </w:t>
      </w:r>
      <w:r>
        <w:t xml:space="preserve">range the model is not usable for selection out of preparation: its top-decile picks average 11.50 %</w:t>
      </w:r>
      <w:r>
        <w:t xml:space="preserve"> </w:t>
      </w:r>
      <w:r>
        <w:t xml:space="preserve">true yield against a population mean of 10.34 %, while the genuine top decile averages 21.92 %</w:t>
      </w:r>
      <w:r>
        <w:t xml:space="preserve"> </w:t>
      </w:r>
      <w:r>
        <w:t xml:space="preserve">(enrichment 0.42×, i.e. worse than picking at random).</w:t>
      </w:r>
      <w:r>
        <w:t xml:space="preserve"> </w:t>
      </w:r>
      <w:r>
        <w:rPr>
          <w:b/>
          <w:bCs/>
        </w:rPr>
        <w:t xml:space="preserve">But adding impregnation literature to training</w:t>
      </w:r>
      <w:r>
        <w:rPr>
          <w:b/>
          <w:bCs/>
        </w:rPr>
        <w:t xml:space="preserve"> </w:t>
      </w:r>
      <w:r>
        <w:rPr>
          <w:b/>
          <w:bCs/>
        </w:rPr>
        <w:t xml:space="preserve">raises ρ from 0.238 to 0.388 (+0.150, 5/5 seeds)</w:t>
      </w:r>
      <w:r>
        <w:t xml:space="preserve"> </w:t>
      </w:r>
      <w:r>
        <w:t xml:space="preserve">— the first setting in this study where literature</w:t>
      </w:r>
      <w:r>
        <w:t xml:space="preserve"> </w:t>
      </w:r>
      <w:r>
        <w:t xml:space="preserve">data measurably helps, and consistent with the scope statement in §10: the lab has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coverage of</w:t>
      </w:r>
      <w:r>
        <w:t xml:space="preserve"> </w:t>
      </w:r>
      <w:r>
        <w:t xml:space="preserve">non-impregnation chemistry, so the literature supplies genuinely new information there. Two caveats:</w:t>
      </w:r>
      <w:r>
        <w:t xml:space="preserve"> </w:t>
      </w:r>
      <w:r>
        <w:t xml:space="preserve">absolute performance remains poor, and plain merging outperforms the prior-feature construction</w:t>
      </w:r>
      <w:r>
        <w:t xml:space="preserve"> </w:t>
      </w:r>
      <w:r>
        <w:t xml:space="preserve">(0.388 vs 0.318). Details in</w:t>
      </w:r>
      <w:r>
        <w:t xml:space="preserve"> </w:t>
      </w:r>
      <w:r>
        <w:rPr>
          <w:rStyle w:val="VerbatimChar"/>
        </w:rPr>
        <w:t xml:space="preserve">phase7_prep_ood.py</w:t>
      </w:r>
      <w:r>
        <w:t xml:space="preserve">; this supersedes the earlier row-level OOD numbers.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Prospective validation is the natural next step.</w:t>
      </w:r>
      <w:r>
        <w:t xml:space="preserve"> </w:t>
      </w:r>
      <w:r>
        <w:t xml:space="preserve">We are turning §7’s subsampling result into</w:t>
      </w:r>
      <w:r>
        <w:t xml:space="preserve"> </w:t>
      </w:r>
      <w:r>
        <w:t xml:space="preserve">a pre-registered screening protocol, and preparing the wider screen-then-confirm campaign design</w:t>
      </w:r>
      <w:r>
        <w:t xml:space="preserve"> </w:t>
      </w:r>
      <w:r>
        <w:t xml:space="preserve">from §9, both pending your answer on distinct conditions vs. time-on-stream. We consider further</w:t>
      </w:r>
      <w:r>
        <w:t xml:space="preserve"> </w:t>
      </w:r>
      <w:r>
        <w:t xml:space="preserve">in-domain literature-integration variants closed and are not pursuing more of them. We would</w:t>
      </w:r>
      <w:r>
        <w:t xml:space="preserve"> </w:t>
      </w:r>
      <w:r>
        <w:t xml:space="preserve">pre-register the expected hit rate (precision@20, CI 0.15–0.65) before any results arrive.</w:t>
      </w:r>
    </w:p>
    <w:p>
      <w:pPr>
        <w:pStyle w:val="FirstParagraph"/>
      </w:pPr>
      <w:r>
        <w:rPr>
          <w:i/>
          <w:iCs/>
        </w:rPr>
        <w:t xml:space="preserve">All numbers in this note are stored outputs of the scripts named at the head of the document; each</w:t>
      </w:r>
      <w:r>
        <w:rPr>
          <w:i/>
          <w:iCs/>
        </w:rPr>
        <w:t xml:space="preserve"> </w:t>
      </w:r>
      <w:r>
        <w:rPr>
          <w:i/>
          <w:iCs/>
        </w:rPr>
        <w:t xml:space="preserve">figure is generated from the corresponding experiment’s JSON so that figures cannot drift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experiments that produced them.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2" Target="media/rId22.png" /><Relationship Type="http://schemas.openxmlformats.org/officeDocument/2006/relationships/image" Id="rId18" Target="media/rId18.png" /><Relationship Type="http://schemas.openxmlformats.org/officeDocument/2006/relationships/image" Id="rId32" Target="media/rId32.png" /><Relationship Type="http://schemas.openxmlformats.org/officeDocument/2006/relationships/image" Id="rId25" Target="media/rId25.png" /><Relationship Type="http://schemas.openxmlformats.org/officeDocument/2006/relationships/image" Id="rId41" Target="media/rId41.png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2026-09-16T17:02:50Z</dcterms:created>
  <dcterms:modified xsi:type="dcterms:W3CDTF">2026-09-16T17:02:50Z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