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note, which describes the problem setup, the two datasets and the</w:t>
      </w:r>
      <w:r>
        <w:t xml:space="preserve"> </w:t>
      </w:r>
      <w:r>
        <w:t xml:space="preserve">five methods in full; that material is not repeated here.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phase8_target_robustness.py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phase9_equal_effort_eval.py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phase10_condition_subsampling.py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you proposed, that improvement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</w:t>
            </w:r>
            <w:r>
              <w:t xml:space="preserve"> </w:t>
            </w:r>
            <w:r>
              <w:t xml:space="preserve">in-domain. Four designs, all ≤ the composition-only control. It does help across preparation methods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inside run-to-run noise at 3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 over all 917 catalysts, 0.724 on the 771 with comparable measurement 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one measurement per catalyst–temperature ranks nearly as well as all ~27 (§5)</w:t>
            </w:r>
          </w:p>
        </w:tc>
      </w:tr>
    </w:tbl>
    <w:p>
      <w:pPr>
        <w:pStyle w:val="BodyText"/>
      </w:pPr>
      <w:r>
        <w:t xml:space="preserve">The cause was specific: our Stage-1 expert was trained on literature data</w:t>
      </w:r>
      <w:r>
        <w:t xml:space="preserve"> </w:t>
      </w:r>
      <w:r>
        <w:rPr>
          <w:i/>
          <w:iCs/>
        </w:rPr>
        <w:t xml:space="preserve">together with the lab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rows</w:t>
      </w:r>
      <w:r>
        <w:t xml:space="preserve">, so under a random row split it had seen the very catalysts it was later asked to help</w:t>
      </w:r>
      <w:r>
        <w:t xml:space="preserve"> </w:t>
      </w:r>
      <w:r>
        <w:t xml:space="preserve">predict.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evaluation-methodology"/>
    <w:p>
      <w:pPr>
        <w:pStyle w:val="Heading2"/>
      </w:pPr>
      <w:r>
        <w:t xml:space="preserve">1.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default.</w:t>
      </w:r>
      <w:r>
        <w:t xml:space="preserve"> </w:t>
      </w:r>
      <w:r>
        <w:t xml:space="preserve">All measurements of a catalyst are assigned</w:t>
      </w:r>
      <w:r>
        <w:t xml:space="preserve"> </w:t>
      </w:r>
      <w:r>
        <w:t xml:space="preserve">to exactly one fold, so every number answers:</w:t>
      </w:r>
      <w:r>
        <w:t xml:space="preserve"> </w:t>
      </w:r>
      <w:r>
        <w:rPr>
          <w:i/>
          <w:iCs/>
        </w:rPr>
        <w:t xml:space="preserve">how well do we predict a catalyst nobody has made yet?</w:t>
      </w:r>
      <w:r>
        <w:t xml:space="preserve"> </w:t>
      </w:r>
      <w:r>
        <w:t xml:space="preserve">Anything fitted on data — scaler, domain classifier, both model 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inadequate.</w:t>
      </w:r>
      <w:r>
        <w:t xml:space="preserve"> </w:t>
      </w:r>
      <w:r>
        <w:t xml:space="preserve">The 89,074 measurements comprise only</w:t>
      </w:r>
      <w:r>
        <w:t xml:space="preserve"> </w:t>
      </w:r>
      <w:r>
        <w:rPr>
          <w:b/>
          <w:bCs/>
        </w:rPr>
        <w:t xml:space="preserve">917 distinct</w:t>
      </w:r>
      <w:r>
        <w:rPr>
          <w:b/>
          <w:bCs/>
        </w:rPr>
        <w:t xml:space="preserve"> </w:t>
      </w:r>
      <w:r>
        <w:rPr>
          <w:b/>
          <w:bCs/>
        </w:rPr>
        <w:t xml:space="preserve">catalysts</w:t>
      </w:r>
      <w:r>
        <w:t xml:space="preserve"> </w:t>
      </w:r>
      <w:r>
        <w:t xml:space="preserve">at 5 temperatures, giving 4,399 (catalyst, temperature) cells of 20.2 rows on average.</w:t>
      </w:r>
      <w:r>
        <w:t xml:space="preserve"> </w:t>
      </w:r>
      <w:r>
        <w:t xml:space="preserve">Your description of these rows as measurements</w:t>
      </w:r>
      <w:r>
        <w:t xml:space="preserve"> </w:t>
      </w:r>
      <w:r>
        <w:rPr>
          <w:i/>
          <w:iCs/>
        </w:rPr>
        <w:t xml:space="preserve">under different reaction conditions</w:t>
      </w:r>
      <w:r>
        <w:t xml:space="preserve"> </w:t>
      </w:r>
      <w:r>
        <w:t xml:space="preserve">is borne out by</w:t>
      </w:r>
      <w:r>
        <w:t xml:space="preserve"> </w:t>
      </w:r>
      <w:r>
        <w:t xml:space="preserve">the row counts, and we should have taken it more literally. 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and nothing above;</w:t>
      </w:r>
      <w:r>
        <w:t xml:space="preserve"> </w:t>
      </w:r>
      <w:r>
        <w:rPr>
          <w:b/>
          <w:bCs/>
        </w:rPr>
        <w:t xml:space="preserve">15 catalysts hold exactly 135 rows,</w:t>
      </w:r>
      <w:r>
        <w:rPr>
          <w:b/>
          <w:bCs/>
        </w:rPr>
        <w:t xml:space="preserve"> </w:t>
      </w:r>
      <w:r>
        <w:rPr>
          <w:b/>
          <w:bCs/>
        </w:rPr>
        <w:t xml:space="preserve">and all 15 decompose as exactly (27, 27, 27, 27, 27)</w:t>
      </w:r>
      <w:r>
        <w:t xml:space="preserve"> </w:t>
      </w:r>
      <w:r>
        <w:t xml:space="preserve">— that is</w:t>
      </w:r>
      <w:r>
        <w:t xml:space="preserve"> </w:t>
      </w:r>
      <w:r>
        <w:rPr>
          <w:b/>
          <w:bCs/>
        </w:rPr>
        <w:t xml:space="preserve">5 temperatures × 27 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settings = 135</w:t>
      </w:r>
      <w:r>
        <w:t xml:space="preserve">, matching the figure you gave us. We tested the competing reading that 27 was an</w:t>
      </w:r>
      <w:r>
        <w:t xml:space="preserve"> </w:t>
      </w:r>
      <w:r>
        <w:t xml:space="preserve">export cut-off and rejected it: the spacing between the two lowest values in a 27-row cell is 2.03×</w:t>
      </w:r>
      <w:r>
        <w:t xml:space="preserve"> </w:t>
      </w:r>
      <w:r>
        <w:t xml:space="preserve">the interior spacing, whereas truncating a larger cell to 27 rows gives 0.90× — a complete sample,</w:t>
      </w:r>
      <w:r>
        <w:t xml:space="preserve"> </w:t>
      </w:r>
      <w:r>
        <w:t xml:space="preserve">not a truncated one.</w:t>
      </w:r>
    </w:p>
    <w:p>
      <w:pPr>
        <w:pStyle w:val="BodyText"/>
      </w:pPr>
      <w:r>
        <w:t xml:space="preserve">These rows are therefore</w:t>
      </w:r>
      <w:r>
        <w:t xml:space="preserve"> </w:t>
      </w:r>
      <w:r>
        <w:rPr>
          <w:b/>
          <w:bCs/>
        </w:rPr>
        <w:t xml:space="preserve">not replicates</w:t>
      </w:r>
      <w:r>
        <w:t xml:space="preserve">. Because the 27 settings are absent from the feature</w:t>
      </w:r>
      <w:r>
        <w:t xml:space="preserve"> </w:t>
      </w:r>
      <w:r>
        <w:t xml:space="preserve">table,</w:t>
      </w:r>
      <w:r>
        <w:t xml:space="preserve"> </w:t>
      </w:r>
      <w:r>
        <w:rPr>
          <w:b/>
          <w:bCs/>
        </w:rPr>
        <w:t xml:space="preserve">19.9 % of total yield variance lies within cells</w:t>
      </w:r>
      <w:r>
        <w:t xml:space="preserve"> </w:t>
      </w:r>
      <w:r>
        <w:t xml:space="preserve">and cannot be reached from composition and</w:t>
      </w:r>
      <w:r>
        <w:t xml:space="preserve"> </w:t>
      </w:r>
      <w:r>
        <w:t xml:space="preserve">temperature, flooring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. That is a property of the missing columns, not a</w:t>
      </w:r>
      <w:r>
        <w:t xml:space="preserve"> </w:t>
      </w:r>
      <w:r>
        <w:t xml:space="preserve">physical limit — recovering the condition data would make most of it learnable.</w:t>
      </w:r>
    </w:p>
    <w:p>
      <w:pPr>
        <w:pStyle w:val="BodyText"/>
      </w:pPr>
      <w:r>
        <w:t xml:space="preserve">Version 1 reported 1.907, only 0.15 above that floor. In hindsight that should itself have prompted</w:t>
      </w:r>
      <w:r>
        <w:t xml:space="preserve"> </w:t>
      </w:r>
      <w:r>
        <w:t xml:space="preserve">suspicion: a model cannot approach a floor that presumes knowledge of each catalyst’s own cell means</w:t>
      </w:r>
      <w:r>
        <w:t xml:space="preserve"> </w:t>
      </w:r>
      <w:r>
        <w:t xml:space="preserve">unless it has effectively memorised those catalysts. Point-wise RMSE is close to uninformative here,</w:t>
      </w:r>
      <w:r>
        <w:t xml:space="preserve"> </w:t>
      </w:r>
      <w:r>
        <w:t xml:space="preserve">and it is precisely the metric a catalyst-identity leak flatters most.</w:t>
      </w:r>
      <w:r>
        <w:t xml:space="preserve"> </w:t>
      </w:r>
      <w:r>
        <w:rPr>
          <w:b/>
          <w:bCs/>
        </w:rPr>
        <w:t xml:space="preserve">Primary metrics are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catalyst-level, as you proposed:</w:t>
      </w:r>
      <w:r>
        <w:t xml:space="preserve"> </w:t>
      </w:r>
      <w:r>
        <w:t xml:space="preserve">Spearman correlation on maximum yield, and enrichment of true high</w:t>
      </w:r>
      <w:r>
        <w:t xml:space="preserve"> </w:t>
      </w:r>
      <w:r>
        <w:t xml:space="preserve">performers among top-ranked predictions.</w:t>
      </w:r>
    </w:p>
    <w:bookmarkEnd w:id="13"/>
    <w:bookmarkStart w:id="17" w:name="what-the-stricter-validation-showed"/>
    <w:p>
      <w:pPr>
        <w:pStyle w:val="Heading2"/>
      </w:pPr>
      <w:r>
        <w:t xml:space="preserve">2.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 The same two models under the row-level split give</w:t>
      </w:r>
      <w:r>
        <w:t xml:space="preserve"> </w:t>
      </w:r>
      <w:r>
        <w:rPr>
          <w:b/>
          <w:bCs/>
        </w:rPr>
        <w:t xml:space="preserve">2.118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1.912</w:t>
      </w:r>
      <w:r>
        <w:t xml:space="preserve"> </w:t>
      </w:r>
      <w:r>
        <w:t xml:space="preserve">(−9.7 %) — the</w:t>
      </w:r>
      <w:r>
        <w:t xml:space="preserve"> </w:t>
      </w:r>
      <w:r>
        <w:t xml:space="preserve">difference between the two lines is leakage, not a change of model.</w:t>
      </w:r>
      <w:r>
        <w:t xml:space="preserve"> </w:t>
      </w:r>
      <w:r>
        <w:t xml:space="preserve">Three readings of one 3-seed ablation grid point to the mechanism (not independent experiments):</w:t>
      </w:r>
      <w:r>
        <w:t xml:space="preserve"> </w:t>
      </w:r>
      <w:r>
        <w:t xml:space="preserve">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prior); under grouped CV the joint variant (</w:t>
      </w:r>
      <w:r>
        <w:rPr>
          <w:b/>
          <w:bCs/>
        </w:rPr>
        <w:t xml:space="preserve">2.982</w:t>
      </w:r>
      <w:r>
        <w:t xml:space="preserve">) is worse than literature-only</w:t>
      </w:r>
      <w:r>
        <w:t xml:space="preserve"> </w:t>
      </w:r>
      <w:r>
        <w:t xml:space="preserve">(</w:t>
      </w:r>
      <w:r>
        <w:rPr>
          <w:b/>
          <w:bCs/>
        </w:rPr>
        <w:t xml:space="preserve">2.938</w:t>
      </w:r>
      <w:r>
        <w:t xml:space="preserve">); and literature-only is indistinguishable from baseline (</w:t>
      </w:r>
      <w:r>
        <w:rPr>
          <w:b/>
          <w:bCs/>
        </w:rPr>
        <w:t xml:space="preserve">2.928</w:t>
      </w:r>
      <w:r>
        <w:t xml:space="preserve">).</w:t>
      </w:r>
      <w:r>
        <w:t xml:space="preserve"> </w:t>
      </w:r>
      <w:r>
        <w:rPr>
          <w:i/>
          <w:iCs/>
        </w:rPr>
        <w:t xml:space="preserve">(The headline 2.995</w:t>
      </w:r>
      <w:r>
        <w:rPr>
          <w:i/>
          <w:iCs/>
        </w:rPr>
        <w:t xml:space="preserve"> </w:t>
      </w:r>
      <w:r>
        <w:rPr>
          <w:i/>
          <w:iCs/>
        </w:rPr>
        <w:t xml:space="preserve">is a 5-seed mean; 2.982 is the same configuration over the first 3 seeds.)</w:t>
      </w:r>
    </w:p>
    <w:p>
      <w:pPr>
        <w:pStyle w:val="BodyText"/>
      </w:pPr>
      <w:r>
        <w:rPr>
          <w:b/>
          <w:bCs/>
        </w:rPr>
        <w:t xml:space="preserve">Your quantile-normalisation hypothesis is supported</w:t>
      </w:r>
      <w:r>
        <w:t xml:space="preserve">, though not as strongly as we first stated.</w:t>
      </w:r>
      <w:r>
        <w:t xml:space="preserve"> </w:t>
      </w:r>
      <w:r>
        <w:t xml:space="preserve">Gaps are 0.006 row-level, and catalyst-grouped 0.023 (QN vs raw) and 0.001 (QN vs rank) — the largest</w:t>
      </w:r>
      <w:r>
        <w:t xml:space="preserve"> </w:t>
      </w:r>
      <w:r>
        <w:t xml:space="preserve">sits under our primary protocol and is close to the run-to-run spread there (per-configuration SD</w:t>
      </w:r>
      <w:r>
        <w:t xml:space="preserve"> </w:t>
      </w:r>
      <w:r>
        <w:t xml:space="preserve">0.022 and 0.035 over 3 seeds). The honest statement is that</w:t>
      </w:r>
      <w:r>
        <w:t xml:space="preserve"> </w:t>
      </w:r>
      <w:r>
        <w:rPr>
          <w:b/>
          <w:bCs/>
        </w:rPr>
        <w:t xml:space="preserve">no label treatment is distinguishable</w:t>
      </w:r>
      <w:r>
        <w:rPr>
          <w:b/>
          <w:bCs/>
        </w:rPr>
        <w:t xml:space="preserve"> </w:t>
      </w:r>
      <w:r>
        <w:rPr>
          <w:b/>
          <w:bCs/>
        </w:rPr>
        <w:t xml:space="preserve">from another at this seed count</w:t>
      </w:r>
      <w:r>
        <w:t xml:space="preserve">. The normalisation step can be dropped without measurable penalty.</w:t>
      </w:r>
    </w:p>
    <w:p>
      <w:pPr>
        <w:pStyle w:val="BodyText"/>
      </w:pPr>
      <w:r>
        <w:rPr>
          <w:b/>
          <w:bCs/>
        </w:rPr>
        <w:t xml:space="preserve">With the leak closed we retested literature integration properly</w:t>
      </w:r>
      <w:r>
        <w:t xml:space="preserve"> </w:t>
      </w:r>
      <w:r>
        <w:t xml:space="preserve">— a literature-only rank prior,</w:t>
      </w:r>
      <w:r>
        <w:t xml:space="preserve"> </w:t>
      </w:r>
      <w:r>
        <w:t xml:space="preserve">similarity features, a gated prior, and a catalyst-level direct merge. Criteria were fixed before</w:t>
      </w:r>
      <w:r>
        <w:t xml:space="preserve"> </w:t>
      </w:r>
      <w:r>
        <w:t xml:space="preserve">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2 — No literature variant beats composition alone. Catalyst-grouped protocol; dashed line is the composition-only control." title="" id="15" name="Picture"/>
            <a:graphic>
              <a:graphicData uri="http://schemas.openxmlformats.org/drawingml/2006/picture">
                <pic:pic>
                  <pic:nvPicPr>
                    <pic:cNvPr descr="fig_grouped_resul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No literature variant beats composition alone.</w:t>
      </w:r>
      <w:r>
        <w:t xml:space="preserve"> </w:t>
      </w:r>
      <w:r>
        <w:t xml:space="preserve">Catalyst-grouped protocol; dashed line is the composition-only control.</w:t>
      </w:r>
    </w:p>
    <w:p>
      <w:pPr>
        <w:pStyle w:val="BodyText"/>
      </w:pPr>
      <w:r>
        <w:t xml:space="preserve">We also tested a hypothesis of our own — that the prior might help where our coverage is thin,</w:t>
      </w:r>
      <w:r>
        <w:t xml:space="preserve"> </w:t>
      </w:r>
      <w:r>
        <w:t xml:space="preserve">suggested by one family (Zr). Across</w:t>
      </w:r>
      <w:r>
        <w:t xml:space="preserve"> </w:t>
      </w:r>
      <w:r>
        <w:rPr>
          <w:b/>
          <w:bCs/>
        </w:rPr>
        <w:t xml:space="preserve">all 28 element 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strongest correlation with any coverage measure |ρ| = 0.276 against a</w:t>
      </w:r>
      <w:r>
        <w:t xml:space="preserve"> </w:t>
      </w:r>
      <w:r>
        <w:t xml:space="preserve">pre-registered threshold of 0.5. The Zr result was selection from noise, and we discarded it.</w:t>
      </w:r>
    </w:p>
    <w:bookmarkEnd w:id="17"/>
    <w:bookmarkStart w:id="21" w:name="screening-unseen-catalysts"/>
    <w:p>
      <w:pPr>
        <w:pStyle w:val="Heading2"/>
      </w:pPr>
      <w:r>
        <w:t xml:space="preserve">3.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while training on ~100× fewer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All 917 catalysts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  <w:tc>
          <w:tcPr/>
          <w:p>
            <w:pPr>
              <w:pStyle w:val="Compact"/>
            </w:pPr>
            <w:r>
              <w:t xml:space="preserve">Equal-effort set (771)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p>
      <w:pPr>
        <w:pStyle w:val="BodyText"/>
      </w:pPr>
      <w:r>
        <w:t xml:space="preserve">With 92 catalysts in the top decile of 917, these are less precise than a point estimate suggests.</w:t>
      </w:r>
    </w:p>
    <w:p>
      <w:pPr>
        <w:pStyle w:val="BodyText"/>
      </w:pPr>
      <w:r>
        <w:rPr>
          <w:b/>
          <w:bCs/>
        </w:rPr>
        <w:t xml:space="preserve">Why the second column exists, and why we consider it the honest one.</w:t>
      </w:r>
      <w:r>
        <w:t xml:space="preserve"> </w:t>
      </w:r>
      <w:r>
        <w:t xml:space="preserve">Grid coverage in your data is</w:t>
      </w:r>
      <w:r>
        <w:t xml:space="preserve"> </w:t>
      </w:r>
      <w:r>
        <w:t xml:space="preserve">coupled to performance — cells run further contain better yields — so a score over all 917 catalysts</w:t>
      </w:r>
      <w:r>
        <w:t xml:space="preserve"> </w:t>
      </w:r>
      <w:r>
        <w:t xml:space="preserve">is partly a record of which experiments were completed. The</w:t>
      </w:r>
      <w:r>
        <w:t xml:space="preserve"> </w:t>
      </w:r>
      <w:r>
        <w:rPr>
          <w:i/>
          <w:iCs/>
        </w:rPr>
        <w:t xml:space="preserve">equal-effort set</w:t>
      </w:r>
      <w:r>
        <w:t xml:space="preserve"> </w:t>
      </w:r>
      <w:r>
        <w:t xml:space="preserve">is the 771 catalysts</w:t>
      </w:r>
      <w:r>
        <w:t xml:space="preserve"> </w:t>
      </w:r>
      <w:r>
        <w:t xml:space="preserve">with ≥20 measurements in at least one cell; there the coupling is gone by measurement, with</w:t>
      </w:r>
      <w:r>
        <w:t xml:space="preserve"> </w:t>
      </w:r>
      <w:r>
        <w:t xml:space="preserve">Spearman(measurement count, observed maximum) falling from</w:t>
      </w:r>
      <w:r>
        <w:t xml:space="preserve"> </w:t>
      </w:r>
      <w:r>
        <w:rPr>
          <w:b/>
          <w:bCs/>
        </w:rPr>
        <w:t xml:space="preserve">+0.293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+0.003</w:t>
      </w:r>
      <w:r>
        <w:t xml:space="preserve">. Moving to it costs</w:t>
      </w:r>
      <w:r>
        <w:t xml:space="preserve"> </w:t>
      </w:r>
      <w:r>
        <w:t xml:space="preserve">0.037 Spearman and 0.51× enrichment.</w:t>
      </w:r>
    </w:p>
    <w:p>
      <w:pPr>
        <w:pStyle w:val="BodyText"/>
      </w:pPr>
      <w:r>
        <w:t xml:space="preserve">That drop is not an artifact of scoring fewer catalysts: 300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771-catalyst subsets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predictions give 0.767 with a 95 % range of 0.756 – 0.780, and 0.724 lies below it.</w:t>
      </w:r>
    </w:p>
    <w:p>
      <w:pPr>
        <w:pStyle w:val="BodyText"/>
      </w:pPr>
      <w:r>
        <w:rPr>
          <w:b/>
          <w:bCs/>
        </w:rPr>
        <w:t xml:space="preserve">A negative control worth more than either number.</w:t>
      </w:r>
      <w:r>
        <w:t xml:space="preserve"> </w:t>
      </w:r>
      <w:r>
        <w:t xml:space="preserve">We refitted the identical model with the</w:t>
      </w:r>
      <w:r>
        <w:t xml:space="preserve"> </w:t>
      </w:r>
      <w:r>
        <w:rPr>
          <w:i/>
          <w:iCs/>
        </w:rPr>
        <w:t xml:space="preserve">number</w:t>
      </w:r>
      <w:r>
        <w:rPr>
          <w:i/>
          <w:iCs/>
        </w:rPr>
        <w:t xml:space="preserve"> </w:t>
      </w:r>
      <w:r>
        <w:rPr>
          <w:i/>
          <w:iCs/>
        </w:rPr>
        <w:t xml:space="preserve">of measurements</w:t>
      </w:r>
      <w:r>
        <w:t xml:space="preserve"> </w:t>
      </w:r>
      <w:r>
        <w:t xml:space="preserve">as its target — it never sees a yield. That ranking reaches</w:t>
      </w:r>
      <w:r>
        <w:t xml:space="preserve"> </w:t>
      </w:r>
      <w:r>
        <w:rPr>
          <w:b/>
          <w:bCs/>
        </w:rPr>
        <w:t xml:space="preserve">Spearman 0.400</w:t>
      </w:r>
      <w:r>
        <w:t xml:space="preserve"> </w:t>
      </w:r>
      <w:r>
        <w:t xml:space="preserve">against</w:t>
      </w:r>
      <w:r>
        <w:t xml:space="preserve"> </w:t>
      </w:r>
      <w:r>
        <w:t xml:space="preserve">observed maximum yield, but enrichment</w:t>
      </w:r>
      <w:r>
        <w:t xml:space="preserve"> </w:t>
      </w:r>
      <w:r>
        <w:rPr>
          <w:b/>
          <w:bCs/>
        </w:rPr>
        <w:t xml:space="preserve">0.87×</w:t>
      </w:r>
      <w:r>
        <w:t xml:space="preserve">, no better than chance. Rank correlation is partly</w:t>
      </w:r>
      <w:r>
        <w:t xml:space="preserve"> </w:t>
      </w:r>
      <w:r>
        <w:t xml:space="preserve">purchasable from experimental effort; enrichment is not. That is why we treat enrichment as primary.</w:t>
      </w:r>
    </w:p>
    <w:p>
      <w:pPr>
        <w:pStyle w:val="BodyText"/>
      </w:pPr>
      <w:r>
        <w:rPr>
          <w:b/>
          <w:bCs/>
        </w:rPr>
        <w:t xml:space="preserve">One consequence for campaign design.</w:t>
      </w:r>
      <w:r>
        <w:t xml:space="preserve"> </w:t>
      </w:r>
      <w:r>
        <w:t xml:space="preserve">Inside the model’s own top-ranked region — the only regime a</w:t>
      </w:r>
      <w:r>
        <w:t xml:space="preserve"> </w:t>
      </w:r>
      <w:r>
        <w:t xml:space="preserve">campaign occupies — internal ordering carries little information: ρ =</w:t>
      </w:r>
      <w:r>
        <w:t xml:space="preserve"> </w:t>
      </w:r>
      <w:r>
        <w:rPr>
          <w:b/>
          <w:bCs/>
        </w:rPr>
        <w:t xml:space="preserve">0.179</w:t>
      </w:r>
      <w:r>
        <w:t xml:space="preserve"> </w:t>
      </w:r>
      <w:r>
        <w:t xml:space="preserve">within the top 150 and</w:t>
      </w:r>
      <w:r>
        <w:t xml:space="preserve"> </w:t>
      </w:r>
      <w:r>
        <w:rPr>
          <w:b/>
          <w:bCs/>
        </w:rPr>
        <w:t xml:space="preserve">−0.066</w:t>
      </w:r>
      <w:r>
        <w:t xml:space="preserve"> </w:t>
      </w:r>
      <w:r>
        <w:t xml:space="preserve">within the top 20. The model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well (its top 20 average 17.3 % observed maximum</w:t>
      </w:r>
      <w:r>
        <w:t xml:space="preserve"> </w:t>
      </w:r>
      <w:r>
        <w:t xml:space="preserve">against ~10.5 % library-wide) but does not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within its selection. A shortlist is a set to test,</w:t>
      </w:r>
      <w:r>
        <w:t xml:space="preserve"> </w:t>
      </w:r>
      <w:r>
        <w:t xml:space="preserve">not a league table.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3 — What drives achievable maximum yield. Composition-only model. (Regenerated: the corresponding v1 figure ranked the literature prior first, because that model was the leaked pipeline.)" title="" id="19" name="Picture"/>
            <a:graphic>
              <a:graphicData uri="http://schemas.openxmlformats.org/drawingml/2006/picture">
                <pic:pic>
                  <pic:nvPicPr>
                    <pic:cNvPr descr="fig_shap_ba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What drives achievable maximum yield.</w:t>
      </w:r>
      <w:r>
        <w:t xml:space="preserve"> </w:t>
      </w:r>
      <w:r>
        <w:t xml:space="preserve">Composition-only model.</w:t>
      </w:r>
      <w:r>
        <w:t xml:space="preserve"> </w:t>
      </w:r>
      <w:r>
        <w:rPr>
          <w:i/>
          <w:iCs/>
        </w:rPr>
        <w:t xml:space="preserve">(Regenerated: the corresponding v1 figure ranked the literature prior first, because that model was the leaked pipeline.)</w:t>
      </w:r>
    </w:p>
    <w:bookmarkEnd w:id="21"/>
    <w:bookmarkStart w:id="22" w:name="Xcd9df9c808bd1d6a0adde7df399c4168a839bd0"/>
    <w:p>
      <w:pPr>
        <w:pStyle w:val="Heading2"/>
      </w:pPr>
      <w:r>
        <w:t xml:space="preserve">4. How much of the condition grid does a catalyst need?</w:t>
      </w:r>
    </w:p>
    <w:p>
      <w:pPr>
        <w:pStyle w:val="FirstParagraph"/>
      </w:pPr>
      <w:r>
        <w:t xml:space="preserve">Keep only k of the ~27 measurements per catalyst–temperature cell (drawn at random, 5 independent</w:t>
      </w:r>
      <w:r>
        <w:t xml:space="preserve"> </w:t>
      </w:r>
      <w:r>
        <w:t xml:space="preserve">draws per k, always scored against the true maximum from the full data):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Measurements kept</w:t>
            </w:r>
          </w:p>
        </w:tc>
        <w:tc>
          <w:tcPr/>
          <w:p>
            <w:pPr>
              <w:pStyle w:val="Compact"/>
            </w:pPr>
            <w:r>
              <w:t xml:space="preserve">Share of full grid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per cell (~5 runs/catalyst)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0.759 ± 0.002</w:t>
            </w:r>
          </w:p>
        </w:tc>
        <w:tc>
          <w:tcPr/>
          <w:p>
            <w:pPr>
              <w:pStyle w:val="Compact"/>
            </w:pPr>
            <w:r>
              <w:t xml:space="preserve">3.99×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per cell (~10 runs/catalyst)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0.760 ± 0.002</w:t>
            </w:r>
          </w:p>
        </w:tc>
        <w:tc>
          <w:tcPr/>
          <w:p>
            <w:pPr>
              <w:pStyle w:val="Compact"/>
            </w:pPr>
            <w:r>
              <w:t xml:space="preserve">4.11×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per cell (~15 runs/catalyst)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  <w:tc>
          <w:tcPr/>
          <w:p>
            <w:pPr>
              <w:pStyle w:val="Compact"/>
            </w:pPr>
            <w:r>
              <w:t xml:space="preserve">0.765 ± 0.002</w:t>
            </w:r>
          </w:p>
        </w:tc>
        <w:tc>
          <w:tcPr/>
          <w:p>
            <w:pPr>
              <w:pStyle w:val="Compact"/>
            </w:pPr>
            <w:r>
              <w:t xml:space="preserve">4.24×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~27 per cell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</w:tr>
    </w:tbl>
    <w:p>
      <w:pPr>
        <w:pStyle w:val="BodyText"/>
      </w:pPr>
      <w:r>
        <w:t xml:space="preserve">One measurement per cell ranks almost as well as all 27, stable across five independent draws. Labels</w:t>
      </w:r>
      <w:r>
        <w:t xml:space="preserve"> </w:t>
      </w:r>
      <w:r>
        <w:t xml:space="preserve">are biased low (−2.8 yield points at k = 1, below 0.4 by k = 13), but the bias is roughly uniform</w:t>
      </w:r>
      <w:r>
        <w:t xml:space="preserve"> </w:t>
      </w:r>
      <w:r>
        <w:t xml:space="preserve">across catalysts, so ranking survives even though absolute yield estimates would not.</w:t>
      </w:r>
    </w:p>
    <w:p>
      <w:pPr>
        <w:pStyle w:val="BodyText"/>
      </w:pPr>
      <w:r>
        <w:t xml:space="preserve">Temperature is different. 700 °C alone gives ρ = 0.346, enrichment 1.07× — no better than chance —</w:t>
      </w:r>
      <w:r>
        <w:t xml:space="preserve"> </w:t>
      </w:r>
      <w:r>
        <w:t xml:space="preserve">because 70 % of catalysts reach their maximum at 800 °C or above.</w:t>
      </w:r>
      <w:r>
        <w:t xml:space="preserve"> </w:t>
      </w:r>
      <w:r>
        <w:rPr>
          <w:b/>
          <w:bCs/>
        </w:rPr>
        <w:t xml:space="preserve">Redundancy is within a</w:t>
      </w:r>
      <w:r>
        <w:rPr>
          <w:b/>
          <w:bCs/>
        </w:rPr>
        <w:t xml:space="preserve"> </w:t>
      </w:r>
      <w:r>
        <w:rPr>
          <w:b/>
          <w:bCs/>
        </w:rPr>
        <w:t xml:space="preserve">temperature, not across temperatures.</w:t>
      </w:r>
      <w:r>
        <w:t xml:space="preserve"> </w:t>
      </w:r>
      <w:r>
        <w:t xml:space="preserve">Mechanism: between-catalyst spread in true maximum yield</w:t>
      </w:r>
      <w:r>
        <w:t xml:space="preserve"> </w:t>
      </w:r>
      <w:r>
        <w:t xml:space="preserve">(SD 5.32) is 3.8× the typical spread within one cell (SD 1.41).</w:t>
      </w:r>
    </w:p>
    <w:p>
      <w:pPr>
        <w:pStyle w:val="BodyText"/>
      </w:pPr>
      <w:r>
        <w:rPr>
          <w:b/>
          <w:bCs/>
        </w:rPr>
        <w:t xml:space="preserve">This depends on the 27 slots being individually selectable.</w:t>
      </w:r>
      <w:r>
        <w:t xml:space="preserve"> </w:t>
      </w:r>
      <w:r>
        <w:t xml:space="preserve">If they are successive samples from one</w:t>
      </w:r>
      <w:r>
        <w:t xml:space="preserve"> </w:t>
      </w:r>
      <w:r>
        <w:t xml:space="preserve">continuous run,</w:t>
      </w:r>
      <w:r>
        <w:t xml:space="preserve"> </w:t>
      </w:r>
      <w:r>
        <w:t xml:space="preserve">“keep 1 of 27”</w:t>
      </w:r>
      <w:r>
        <w:t xml:space="preserve"> </w:t>
      </w:r>
      <w:r>
        <w:t xml:space="preserve">means stopping a run early, not choosing a condition, and the result</w:t>
      </w:r>
      <w:r>
        <w:t xml:space="preserve"> </w:t>
      </w:r>
      <w:r>
        <w:t xml:space="preserve">would not transfer to a prospective design. See question 2 in §8.</w:t>
      </w:r>
    </w:p>
    <w:bookmarkEnd w:id="22"/>
    <w:bookmarkStart w:id="26" w:name="X9d3780d3e41cef1897423057dfd6718d2ec2415"/>
    <w:p>
      <w:pPr>
        <w:pStyle w:val="Heading2"/>
      </w:pPr>
      <w:r>
        <w:t xml:space="preserve">5. Why Ba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Ba</w:t>
      </w:r>
      <w:r>
        <w:t xml:space="preserve"> </w:t>
      </w:r>
      <w:r>
        <w:t xml:space="preserve">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 and</w:t>
      </w:r>
      <w:r>
        <w:t xml:space="preserve"> </w:t>
      </w:r>
      <w:r>
        <w:rPr>
          <w:b/>
          <w:bCs/>
        </w:rPr>
        <w:t xml:space="preserve">78 % of the lab’s</w:t>
      </w:r>
      <w:r>
        <w:rPr>
          <w:b/>
          <w:bCs/>
        </w:rPr>
        <w:t xml:space="preserve"> </w:t>
      </w:r>
      <w:r>
        <w:rPr>
          <w:b/>
          <w:bCs/>
        </w:rPr>
        <w:t xml:space="preserve">top decile contains Ba</w:t>
      </w:r>
      <w:r>
        <w:t xml:space="preserve"> </w:t>
      </w:r>
      <w:r>
        <w:t xml:space="preserve">— removing them removes the high-yield regime.</w:t>
      </w:r>
    </w:p>
    <w:p>
      <w:pPr>
        <w:pStyle w:val="BodyText"/>
      </w:pPr>
      <w:r>
        <w:t xml:space="preserve">The mechanism is provable. With no Ba in training the Ba column is constant, so no tree splits on it,</w:t>
      </w:r>
      <w:r>
        <w:t xml:space="preserve"> </w:t>
      </w:r>
      <w:r>
        <w:t xml:space="preserve">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</w:t>
      </w:r>
      <w:r>
        <w:t xml:space="preserve"> </w:t>
      </w:r>
      <w:r>
        <w:t xml:space="preserve">prices Ba catalysts as though Ba were absent, underpredicting the best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</w:t>
      </w:r>
      <w:r>
        <w:t xml:space="preserve"> </w:t>
      </w:r>
      <w:r>
        <w:t xml:space="preserve">random pseudo-families of equal size score 0.752, so this is label coverage, not sample size.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4 — A data budget for new chemistry. Left: performance against family members already measured. Right: fraction of achievable performance reached having seen none." title="" id="24" name="Picture"/>
            <a:graphic>
              <a:graphicData uri="http://schemas.openxmlformats.org/drawingml/2006/picture">
                <pic:pic>
                  <pic:nvPicPr>
                    <pic:cNvPr descr="fig_learning_curv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A data budget for new chemistry.</w:t>
      </w:r>
      <w:r>
        <w:t xml:space="preserve"> </w:t>
      </w:r>
      <w:r>
        <w:t xml:space="preserve">Left: performance against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 — five of the 28 score below</w:t>
      </w:r>
      <w:r>
        <w:t xml:space="preserve"> </w:t>
      </w:r>
      <w:r>
        <w:t xml:space="preserve">it (Pd 0.217, Cu 0.286, Al 0.329, Ni 0.329, Co 0.493). What sets Ba apart is weight: it holds 78 % of</w:t>
      </w:r>
      <w:r>
        <w:t xml:space="preserve"> </w:t>
      </w:r>
      <w:r>
        <w:t xml:space="preserve">the top decile and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budget, the threshold depends on the definition, and the two readings differ by five</w:t>
      </w:r>
      <w:r>
        <w:rPr>
          <w:b/>
          <w:bCs/>
        </w:rPr>
        <w:t xml:space="preserve"> </w:t>
      </w:r>
      <w:r>
        <w:rPr>
          <w:b/>
          <w:bCs/>
        </w:rPr>
        <w:t xml:space="preserve">times.</w:t>
      </w:r>
      <w:r>
        <w:t xml:space="preserve"> </w:t>
      </w:r>
      <w:r>
        <w:t xml:space="preserve">The Ba curve runs 0.509 (none seen) → 0.565 (10) → 0.616 (25) → 0.651 (50) → 0.683 (all 204).</w:t>
      </w:r>
      <w:r>
        <w:t xml:space="preserve"> </w:t>
      </w:r>
      <w:r>
        <w:t xml:space="preserve">Taking 80 % of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(0.547) gives</w:t>
      </w:r>
      <w:r>
        <w:t xml:space="preserve"> </w:t>
      </w:r>
      <w:r>
        <w:rPr>
          <w:b/>
          <w:bCs/>
        </w:rPr>
        <w:t xml:space="preserve">10 members</w:t>
      </w:r>
      <w:r>
        <w:t xml:space="preserve">; taking 80 % of the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(0.648)</w:t>
      </w:r>
      <w:r>
        <w:t xml:space="preserve"> </w:t>
      </w:r>
      <w:r>
        <w:t xml:space="preserve">gives roughly</w:t>
      </w:r>
      <w:r>
        <w:t xml:space="preserve"> </w:t>
      </w:r>
      <w:r>
        <w:rPr>
          <w:b/>
          <w:bCs/>
        </w:rPr>
        <w:t xml:space="preserve">50</w:t>
      </w:r>
      <w:r>
        <w:t xml:space="preserve">. We now think the second is more meaningful: Ba already reaches 0.509 having seen</w:t>
      </w:r>
      <w:r>
        <w:t xml:space="preserve"> </w:t>
      </w:r>
      <w:r>
        <w:t xml:space="preserve">no Ba at all, so the level-based bar is nearly cleared by seeing nothing. The same caution applies to</w:t>
      </w:r>
      <w:r>
        <w:t xml:space="preserve"> </w:t>
      </w:r>
      <w:r>
        <w:t xml:space="preserve">the</w:t>
      </w:r>
      <w:r>
        <w:t xml:space="preserve"> </w:t>
      </w:r>
      <w:r>
        <w:t xml:space="preserve">“0 needed”</w:t>
      </w:r>
      <w:r>
        <w:t xml:space="preserve"> </w:t>
      </w:r>
      <w:r>
        <w:t xml:space="preserve">for La, Ti, Zr and Ce. Reaching 95 % takes about 50 for Ba and 25–50 for the others —</w:t>
      </w:r>
      <w:r>
        <w:t xml:space="preserve"> </w:t>
      </w:r>
      <w:r>
        <w:t xml:space="preserve">order-of-magnitude guidance only, since for Ti and Zr the per-point seed spread (0.03–0.12) is</w:t>
      </w:r>
      <w:r>
        <w:t xml:space="preserve"> </w:t>
      </w:r>
      <w:r>
        <w:t xml:space="preserve">comparable to the whole gain.</w:t>
      </w:r>
    </w:p>
    <w:bookmarkEnd w:id="26"/>
    <w:bookmarkStart w:id="27" w:name="X4c516e742cd4f94fc4850084fd7794e268a551e"/>
    <w:p>
      <w:pPr>
        <w:pStyle w:val="Heading2"/>
      </w:pPr>
      <w:r>
        <w:t xml:space="preserve">6.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your own design grammar — impregnation, one support at</w:t>
      </w:r>
      <w:r>
        <w:t xml:space="preserve"> </w:t>
      </w:r>
      <w:r>
        <w:t xml:space="preserve">~90 % with 2–3 promoters at ~3.33 %, drawn from supports and promoters already in use — and scored</w:t>
      </w:r>
      <w:r>
        <w:t xml:space="preserve"> </w:t>
      </w:r>
      <w:r>
        <w:t xml:space="preserve">them with a 10-seed ensemble. No literature prior is used. Every candidate carries a coverage flag,</w:t>
      </w:r>
      <w:r>
        <w:t xml:space="preserve"> </w:t>
      </w:r>
      <w:r>
        <w:t xml:space="preserve">verified rather than assumed: for an element absent from our data (Ag), predictions with and without</w:t>
      </w:r>
      <w:r>
        <w:t xml:space="preserve"> </w:t>
      </w:r>
      <w:r>
        <w:t xml:space="preserve">its column differ by exactly zero, confirming such candidates are unpriceable and must be flagged.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attach no error bar: the ± 0.09 our ensemble reports is only seed spread, while the</w:t>
      </w:r>
      <w:r>
        <w:t xml:space="preserve"> </w:t>
      </w:r>
      <w:r>
        <w:t xml:space="preserve">model’s catalyst-level error on held-out catalysts is about</w:t>
      </w:r>
      <w:r>
        <w:t xml:space="preserve"> </w:t>
      </w:r>
      <w:r>
        <w:rPr>
          <w:b/>
          <w:bCs/>
        </w:rPr>
        <w:t xml:space="preserve">2.7 yield points</w:t>
      </w:r>
      <w:r>
        <w:t xml:space="preserve"> </w:t>
      </w:r>
      <w:r>
        <w:t xml:space="preserve">(MAE). The number</w:t>
      </w:r>
      <w:r>
        <w:t xml:space="preserve"> </w:t>
      </w:r>
      <w:r>
        <w:t xml:space="preserve">ranks candidates; it does not forecast a yield. Absolute predictions also compress at the extreme —</w:t>
      </w:r>
      <w:r>
        <w:t xml:space="preserve"> </w:t>
      </w:r>
      <w:r>
        <w:t xml:space="preserve">our maximum is 18.79 % against observed training yields reaching 21.50 %.</w:t>
      </w:r>
    </w:p>
    <w:p>
      <w:pPr>
        <w:pStyle w:val="BodyText"/>
      </w:pPr>
      <w:r>
        <w:t xml:space="preserve">The top 20 are chemically monotonous (all Ba, mostly Mo), and a diversity constraint did not change</w:t>
      </w:r>
      <w:r>
        <w:t xml:space="preserve"> </w:t>
      </w:r>
      <w:r>
        <w:t xml:space="preserve">this, because the model’s Ba preference is genuine. Best candidate per support: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suggested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</w:t>
      </w:r>
      <w:r>
        <w:t xml:space="preserve"> </w:t>
      </w:r>
      <w:r>
        <w:t xml:space="preserve">splits the budget:</w:t>
      </w:r>
      <w:r>
        <w:t xml:space="preserve"> </w:t>
      </w:r>
      <w:r>
        <w:rPr>
          <w:b/>
          <w:bCs/>
        </w:rPr>
        <w:t xml:space="preserve">Tier A</w:t>
      </w:r>
      <w:r>
        <w:t xml:space="preserve">, 12</w:t>
      </w:r>
      <w:r>
        <w:t xml:space="preserve"> </w:t>
      </w:r>
      <w:r>
        <w:t xml:space="preserve">catalysts at the model’s optimum (18.33–18.79 %), where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would be genuine</w:t>
      </w:r>
      <w:r>
        <w:t xml:space="preserve"> </w:t>
      </w:r>
      <w:r>
        <w:t xml:space="preserve">top-decile performers on the retrospective precision@20 CI of 0.15–0.65; and</w:t>
      </w:r>
      <w:r>
        <w:t xml:space="preserve"> </w:t>
      </w:r>
      <w:r>
        <w:rPr>
          <w:b/>
          <w:bCs/>
        </w:rPr>
        <w:t xml:space="preserve">Tier B</w:t>
      </w:r>
      <w:r>
        <w:t xml:space="preserve">, 5 catalysts</w:t>
      </w:r>
      <w:r>
        <w:t xml:space="preserve"> </w:t>
      </w:r>
      <w:r>
        <w:t xml:space="preserve">one per alternative support (Ti 16.49, La 15.82, Ca 15.54, Mg 14.66, Si 13.83). Tier B costs predicted</w:t>
      </w:r>
      <w:r>
        <w:t xml:space="preserve"> </w:t>
      </w:r>
      <w:r>
        <w:t xml:space="preserve">yield and we do not expect it to win — it is an information purchase, since 78 % of the existing top</w:t>
      </w:r>
      <w:r>
        <w:t xml:space="preserve"> </w:t>
      </w:r>
      <w:r>
        <w:t xml:space="preserve">decile already contains Ba, so the model’s preference may partly reflect coverage rather than</w:t>
      </w:r>
      <w:r>
        <w:t xml:space="preserve"> </w:t>
      </w:r>
      <w:r>
        <w:t xml:space="preserve">chemistry. We defer to your judgement on synthesis feasibility.</w:t>
      </w:r>
    </w:p>
    <w:p>
      <w:pPr>
        <w:pStyle w:val="BodyText"/>
      </w:pPr>
      <w:r>
        <w:rPr>
          <w:b/>
          <w:bCs/>
        </w:rPr>
        <w:t xml:space="preserve">A limit we should state plainly before you spend reactor time.</w:t>
      </w:r>
      <w:r>
        <w:t xml:space="preserve"> </w:t>
      </w:r>
      <w:r>
        <w:t xml:space="preserve">Seventeen catalysts from the</w:t>
      </w:r>
      <w:r>
        <w:t xml:space="preserve"> </w:t>
      </w:r>
      <w:r>
        <w:t xml:space="preserve">top-ranked region with no control arm cannot confirm or refute the model — per §3, internal ordering</w:t>
      </w:r>
      <w:r>
        <w:t xml:space="preserve"> </w:t>
      </w:r>
      <w:r>
        <w:t xml:space="preserve">there is close to uninformative. The list is a reasonable set to</w:t>
      </w:r>
      <w:r>
        <w:t xml:space="preserve"> </w:t>
      </w:r>
      <w:r>
        <w:rPr>
          <w:i/>
          <w:iCs/>
        </w:rPr>
        <w:t xml:space="preserve">try</w:t>
      </w:r>
      <w:r>
        <w:t xml:space="preserve">; it is not a test.</w:t>
      </w:r>
    </w:p>
    <w:p>
      <w:pPr>
        <w:pStyle w:val="BodyText"/>
      </w:pPr>
      <w:r>
        <w:t xml:space="preserve">If a test is wanted, a different allocation of the same reactor budget: measuring 5 conditions at each</w:t>
      </w:r>
      <w:r>
        <w:t xml:space="preserve"> </w:t>
      </w:r>
      <w:r>
        <w:t xml:space="preserve">of 750, 800, 850 and 900 °C — 20 runs rather than 135 — reproduces the ranking of your 811</w:t>
      </w:r>
      <w:r>
        <w:t xml:space="preserve"> </w:t>
      </w:r>
      <w:r>
        <w:t xml:space="preserve">fully-measured catalysts at ρ =</w:t>
      </w:r>
      <w:r>
        <w:t xml:space="preserve"> </w:t>
      </w:r>
      <w:r>
        <w:rPr>
          <w:b/>
          <w:bCs/>
        </w:rPr>
        <w:t xml:space="preserve">0.955</w:t>
      </w:r>
      <w:r>
        <w:t xml:space="preserve"> </w:t>
      </w:r>
      <w:r>
        <w:t xml:space="preserve">(low by 1.31 yield points, a bias that can be pre-declared;</w:t>
      </w:r>
      <w:r>
        <w:t xml:space="preserve"> </w:t>
      </w:r>
      <w:r>
        <w:t xml:space="preserve">§4 has the stability-checked version). That buys roughly</w:t>
      </w:r>
      <w:r>
        <w:t xml:space="preserve"> </w:t>
      </w:r>
      <w:r>
        <w:rPr>
          <w:b/>
          <w:bCs/>
        </w:rPr>
        <w:t xml:space="preserve">72 catalysts screened instead of 17</w:t>
      </w:r>
      <w:r>
        <w:t xml:space="preserve"> </w:t>
      </w:r>
      <w:r>
        <w:t xml:space="preserve">measured exhaustively, the best few then confirmed at full coverage, with part of the batch drawn at</w:t>
      </w:r>
      <w:r>
        <w:t xml:space="preserve"> </w:t>
      </w:r>
      <w:r>
        <w:t xml:space="preserve">random as a control arm. The cost is more syntheses for the same reactor hours.</w:t>
      </w:r>
    </w:p>
    <w:bookmarkEnd w:id="27"/>
    <w:bookmarkStart w:id="28" w:name="relation-to-prior-work"/>
    <w:p>
      <w:pPr>
        <w:pStyle w:val="Heading2"/>
      </w:pPr>
      <w:r>
        <w:t xml:space="preserve">7. Relation to prior work</w:t>
      </w:r>
    </w:p>
    <w:p>
      <w:pPr>
        <w:pStyle w:val="FirstParagraph"/>
      </w:pPr>
      <w:r>
        <w:t xml:space="preserve">The mechanism of PFT — a model’s prediction used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term.</w:t>
      </w:r>
    </w:p>
    <w:p>
      <w:pPr>
        <w:pStyle w:val="BodyText"/>
      </w:pPr>
      <w:r>
        <w:rPr>
          <w:b/>
          <w:bCs/>
        </w:rPr>
        <w:t xml:space="preserve">Our corrected understanding of when it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 deterministic</w:t>
      </w:r>
      <w:r>
        <w:t xml:space="preserve"> </w:t>
      </w:r>
      <w:r>
        <w:t xml:space="preserve">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 add</w:t>
      </w:r>
      <w:r>
        <w:t xml:space="preserve"> </w:t>
      </w:r>
      <w:r>
        <w:t xml:space="preserve">information. It can only supply an inductive bias, or exploit source data covering regions the target</w:t>
      </w:r>
      <w:r>
        <w:t xml:space="preserve"> </w:t>
      </w:r>
      <w:r>
        <w:t xml:space="preserve">does not. Neither applies here at scale: ~79.7 % of the literature is out-of-distribution relative to</w:t>
      </w:r>
      <w:r>
        <w:t xml:space="preserve"> </w:t>
      </w:r>
      <w:r>
        <w:t xml:space="preserve">the lab; quantile normalisation aligns marginal but not conditional distributions; and literature</w:t>
      </w:r>
      <w:r>
        <w:t xml:space="preserve"> </w:t>
      </w:r>
      <w:r>
        <w:t xml:space="preserve">yields come from each paper’s own conditions, whereas our target is a maximum over a standardised</w:t>
      </w:r>
      <w:r>
        <w:t xml:space="preserve"> </w:t>
      </w:r>
      <w:r>
        <w:t xml:space="preserve">battery.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 tool, not a</w:t>
      </w:r>
      <w:r>
        <w:rPr>
          <w:b/>
          <w:bCs/>
        </w:rPr>
        <w:t xml:space="preserve"> </w:t>
      </w:r>
      <w:r>
        <w:rPr>
          <w:b/>
          <w:bCs/>
        </w:rPr>
        <w:t xml:space="preserve">global-information tool</w:t>
      </w:r>
      <w:r>
        <w:t xml:space="preserve"> </w:t>
      </w:r>
      <w:r>
        <w:t xml:space="preserve">— which is exactly what §8 then confirms.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baseline; importance weighting (Huang et al., NIPS 2006;</w:t>
      </w:r>
      <w:r>
        <w:t xml:space="preserve"> </w:t>
      </w:r>
      <w:r>
        <w:t xml:space="preserve">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keeps source labels in the objective — our DRST and KMM baselines are</w:t>
      </w:r>
      <w:r>
        <w:t xml:space="preserve"> </w:t>
      </w:r>
      <w:r>
        <w:t xml:space="preserve">instances; label-shift correction (Lipton et al., ICML 2018) reweights the label distribution.</w:t>
      </w:r>
    </w:p>
    <w:bookmarkEnd w:id="28"/>
    <w:bookmarkStart w:id="29" w:name="X935a356fa2167f5343786b5dab875eac4d6aa1e"/>
    <w:p>
      <w:pPr>
        <w:pStyle w:val="Heading2"/>
      </w:pPr>
      <w:r>
        <w:t xml:space="preserve">8. Limitations, open questions, and what we are doing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literature contribution is not demonstrated in-domain.</w:t>
      </w:r>
      <w:r>
        <w:t xml:space="preserve"> </w:t>
      </w:r>
      <w:r>
        <w:t xml:space="preserve">Four designs plus a 28-family</w:t>
      </w:r>
      <w:r>
        <w:t xml:space="preserve"> </w:t>
      </w:r>
      <w:r>
        <w:t xml:space="preserve">follow-up all returned null. We report this rather than keep searching for a variant that scores.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Cross-preparation transfer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gives ρ = 0.398;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gives 0.238, where the model cannot select at all</w:t>
      </w:r>
      <w:r>
        <w:t xml:space="preserve"> </w:t>
      </w:r>
      <w:r>
        <w:t xml:space="preserve">(top-decile picks average 11.50 % against a population mean of 10.34 %, while the true top decile</w:t>
      </w:r>
      <w:r>
        <w:t xml:space="preserve"> </w:t>
      </w:r>
      <w:r>
        <w:t xml:space="preserve">averages 21.92 % — enrichment 0.42×, worse than random).</w:t>
      </w:r>
      <w:r>
        <w:t xml:space="preserve"> </w:t>
      </w:r>
      <w:r>
        <w:rPr>
          <w:b/>
          <w:bCs/>
        </w:rPr>
        <w:t xml:space="preserve">Adding impregnation literature to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raises ρ from 0.238 to 0.388 (+0.150, 5/5 seeds).</w:t>
      </w:r>
      <w:r>
        <w:t xml:space="preserve"> </w:t>
      </w:r>
      <w:r>
        <w:t xml:space="preserve">Two caveats: absolute performance</w:t>
      </w:r>
      <w:r>
        <w:t xml:space="preserve"> </w:t>
      </w:r>
      <w:r>
        <w:t xml:space="preserve">remains poor, and plain merging outperforms the prior-feature construction (0.388 vs 0.318) — the</w:t>
      </w:r>
      <w:r>
        <w:t xml:space="preserve"> </w:t>
      </w:r>
      <w:r>
        <w:t xml:space="preserve">value is the data, not the two-stage machinery.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Structural, not a modelling deficiency; §5 quantifies</w:t>
      </w:r>
      <w:r>
        <w:t xml:space="preserve"> </w:t>
      </w:r>
      <w:r>
        <w:t xml:space="preserve">the data needed to remove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target carries a measurement-effort confound.</w:t>
      </w:r>
      <w:r>
        <w:t xml:space="preserve"> </w:t>
      </w:r>
      <w:r>
        <w:t xml:space="preserve">47 catalysts have fewer than 20 measurements</w:t>
      </w:r>
      <w:r>
        <w:t xml:space="preserve"> </w:t>
      </w:r>
      <w:r>
        <w:t xml:space="preserve">and systematically low maxima. More generally, how much of the grid was run tracks how well the</w:t>
      </w:r>
      <w:r>
        <w:t xml:space="preserve"> </w:t>
      </w:r>
      <w:r>
        <w:t xml:space="preserve">catalyst performed: Spearman(cell size, cell maximum yield) =</w:t>
      </w:r>
      <w:r>
        <w:t xml:space="preserve"> </w:t>
      </w:r>
      <w:r>
        <w:rPr>
          <w:b/>
          <w:bCs/>
        </w:rPr>
        <w:t xml:space="preserve">+0.441</w:t>
      </w:r>
      <w:r>
        <w:t xml:space="preserve">, mean cell yield rising from</w:t>
      </w:r>
      <w:r>
        <w:t xml:space="preserve"> </w:t>
      </w:r>
      <w:r>
        <w:t xml:space="preserve">2.22 % in cells of 1–5 rows to 6.05 % in cells of 27. Only 811 of 917 catalysts have all five</w:t>
      </w:r>
      <w:r>
        <w:t xml:space="preserve"> </w:t>
      </w:r>
      <w:r>
        <w:t xml:space="preserve">temperatures, and 186 cells are absent entirely. Excluding low-count catalysts changes our headline</w:t>
      </w:r>
      <w:r>
        <w:t xml:space="preserve"> </w:t>
      </w:r>
      <w:r>
        <w:t xml:space="preserve">by 0.002, so nothing here hinges on it.</w:t>
      </w:r>
    </w:p>
    <w:p>
      <w:pPr>
        <w:pStyle w:val="FirstParagraph"/>
      </w:pPr>
      <w:r>
        <w:rPr>
          <w:b/>
          <w:bCs/>
        </w:rPr>
        <w:t xml:space="preserve">Three questions, in order of value to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~27 condition settings per catalyst–temperature exist in retrievable form?</w:t>
      </w:r>
      <w:r>
        <w:t xml:space="preserve"> </w:t>
      </w:r>
      <w:r>
        <w:t xml:space="preserve">This is the</w:t>
      </w:r>
      <w:r>
        <w:t xml:space="preserve"> </w:t>
      </w:r>
      <w:r>
        <w:t xml:space="preserve">largest single opportunity: the 19.9 % of variance now unreachable becomes largely learnable,</w:t>
      </w:r>
      <w:r>
        <w:t xml:space="preserve"> </w:t>
      </w:r>
      <w:r>
        <w:t xml:space="preserve">condition-level modelling becomes meaningful, and row-level RMSE becomes a well-posed target again.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Are those ~27 measurements distinct reaction conditions, or successive time-on-stream samples at</w:t>
      </w:r>
      <w:r>
        <w:rPr>
          <w:b/>
          <w:bCs/>
        </w:rPr>
        <w:t xml:space="preserve"> </w:t>
      </w:r>
      <w:r>
        <w:rPr>
          <w:b/>
          <w:bCs/>
        </w:rPr>
        <w:t xml:space="preserve">a single condition?</w:t>
      </w:r>
      <w:r>
        <w:t xml:space="preserve"> </w:t>
      </w:r>
      <w:r>
        <w:t xml:space="preserve">We could not settle this from the file. If the latter, a catalyst’s maximum</w:t>
      </w:r>
      <w:r>
        <w:t xml:space="preserve"> </w:t>
      </w:r>
      <w:r>
        <w:t xml:space="preserve">is a fresh-catalyst transient rather than an achievable optimum — which changes both what our</w:t>
      </w:r>
      <w:r>
        <w:t xml:space="preserve"> </w:t>
      </w:r>
      <w:r>
        <w:t xml:space="preserve">target means and whether §4’s result transfers to a prospective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Were incomplete runs stopped deliberately when results looked poor?</w:t>
      </w:r>
      <w:r>
        <w:t xml:space="preserve"> </w:t>
      </w:r>
      <w:r>
        <w:t xml:space="preserve">Coverage correlates with</w:t>
      </w:r>
      <w:r>
        <w:t xml:space="preserve"> </w:t>
      </w:r>
      <w:r>
        <w:t xml:space="preserve">performance, and the answer decides whether that bias is correctable or is itself informative.</w:t>
      </w:r>
    </w:p>
    <w:p>
      <w:pPr>
        <w:pStyle w:val="FirstParagraph"/>
      </w:pPr>
      <w:r>
        <w:rPr>
          <w:b/>
          <w:bCs/>
        </w:rPr>
        <w:t xml:space="preserve">What we are doing meanwhile.</w:t>
      </w:r>
      <w:r>
        <w:t xml:space="preserve"> </w:t>
      </w:r>
      <w:r>
        <w:t xml:space="preserve">Turning §4’s subsampling result into a pre-registered screening</w:t>
      </w:r>
      <w:r>
        <w:t xml:space="preserve"> </w:t>
      </w:r>
      <w:r>
        <w:t xml:space="preserve">protocol, and preparing the wider screen-then-confirm design in §6 — both pending your answer to</w:t>
      </w:r>
      <w:r>
        <w:t xml:space="preserve"> </w:t>
      </w:r>
      <w:r>
        <w:t xml:space="preserve">question 2. We consider further in-domain literature-integration variants closed and are not pursuing</w:t>
      </w:r>
      <w:r>
        <w:t xml:space="preserve"> </w:t>
      </w:r>
      <w:r>
        <w:t xml:space="preserve">more. Any prospective campaign would have its expected hit rate (precision@20, CI 0.15–0.65)</w:t>
      </w:r>
      <w:r>
        <w:t xml:space="preserve"> </w:t>
      </w:r>
      <w:r>
        <w:t xml:space="preserve">pre-registered before results arrive.</w:t>
      </w:r>
    </w:p>
    <w:p>
      <w:pPr>
        <w:pStyle w:val="BodyText"/>
      </w:pPr>
      <w:r>
        <w:rPr>
          <w:i/>
          <w:iCs/>
        </w:rPr>
        <w:t xml:space="preserve">All numbers here are stored outputs of the scripts named at the head of this note; each figure is</w:t>
      </w:r>
      <w:r>
        <w:rPr>
          <w:i/>
          <w:iCs/>
        </w:rPr>
        <w:t xml:space="preserve"> </w:t>
      </w:r>
      <w:r>
        <w:rPr>
          <w:i/>
          <w:iCs/>
        </w:rPr>
        <w:t xml:space="preserve">generated from the corresponding experiment’s JSON, so figures cannot drift from the experiments that</w:t>
      </w:r>
      <w:r>
        <w:rPr>
          <w:i/>
          <w:iCs/>
        </w:rPr>
        <w:t xml:space="preserve"> </w:t>
      </w:r>
      <w:r>
        <w:rPr>
          <w:i/>
          <w:iCs/>
        </w:rPr>
        <w:t xml:space="preserve">produced them.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2026-09-17T05:59:05Z</dcterms:created>
  <dcterms:modified xsi:type="dcterms:W3CDTF">2026-09-17T05:59:05Z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