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52"/>
        </w:rPr>
        <w:t>Business Health Report</w:t>
      </w:r>
    </w:p>
    <w:p>
      <w:pPr>
        <w:jc w:val="center"/>
      </w:pPr>
      <w:r>
        <w:rPr>
          <w:b w:val="0"/>
          <w:i/>
          <w:color w:val="555555"/>
          <w:sz w:val="28"/>
        </w:rPr>
        <w:t>A Mid-Size Pharmaceutical Distribution Firm In India</w:t>
      </w:r>
    </w:p>
    <w:p>
      <w:pPr>
        <w:jc w:val="center"/>
      </w:pPr>
      <w:r>
        <w:rPr>
          <w:b w:val="0"/>
          <w:i w:val="0"/>
          <w:color w:val="555555"/>
          <w:sz w:val="20"/>
        </w:rPr>
        <w:t>Prepared 27 June 2026 · covers FY 2022-23 to 2025-26</w:t>
      </w:r>
    </w:p>
    <w:p>
      <w:pPr>
        <w:jc w:val="center"/>
      </w:pPr>
      <w:r>
        <w:rPr>
          <w:b w:val="0"/>
          <w:i/>
          <w:color w:val="555555"/>
          <w:sz w:val="18"/>
        </w:rPr>
        <w:t>Portfolio version — identities anonymised, firm name withheld.</w:t>
      </w:r>
    </w:p>
    <w:p/>
    <w:p>
      <w:pPr>
        <w:pStyle w:val="Heading1"/>
      </w:pPr>
      <w:r>
        <w:rPr>
          <w:color w:val="1F3A5F"/>
        </w:rPr>
        <w:t>Executive summary</w:t>
      </w:r>
    </w:p>
    <w:p>
      <w:r>
        <w:rPr>
          <w:b/>
          <w:i w:val="0"/>
          <w:sz w:val="26"/>
        </w:rPr>
        <w:t>Business Health Index: 69.9/100 (grade D).</w:t>
      </w:r>
    </w:p>
    <w:p>
      <w:r>
        <w:rPr>
          <w:b w:val="0"/>
          <w:i w:val="0"/>
          <w:color w:val="B06A00"/>
          <w:sz w:val="22"/>
        </w:rPr>
        <w:t>Stable with clear improvement areas — solid core, specific risks to manage.</w:t>
      </w:r>
    </w:p>
    <w:p>
      <w:r>
        <w:rPr>
          <w:b w:val="0"/>
          <w:i w:val="0"/>
          <w:sz w:val="20"/>
        </w:rPr>
        <w:t>Revenue is in multi-year decline (4-year CAGR -1.9%) while gross margin is easing from recent levels — A Mid-Size Pharmaceutical Distribution Firm In India is trading at tighter volumes but better margins. Collections and cash conversion are strong (a cash-heavy, route-based model); the main pressure points are customer retention and inventory efficiency.</w:t>
      </w:r>
    </w:p>
    <w:p>
      <w:r>
        <w:rPr>
          <w:b/>
          <w:i w:val="0"/>
          <w:sz w:val="20"/>
        </w:rPr>
        <w:t>The three highest-value actions:</w:t>
      </w:r>
    </w:p>
    <w:p>
      <w:r>
        <w:rPr>
          <w:b w:val="0"/>
          <w:i w:val="0"/>
          <w:sz w:val="20"/>
        </w:rPr>
        <w:t>•  Protect the recovery: secure top-decile customers with service SLAs.  —  expected impact: high impact on sales.</w:t>
      </w:r>
    </w:p>
    <w:p>
      <w:r>
        <w:rPr>
          <w:b w:val="0"/>
          <w:i w:val="0"/>
          <w:sz w:val="20"/>
        </w:rPr>
        <w:t>•  Open annual rate/scheme negotiations with the top-3 suppliers.  —  expected impact: up to ₹459,182 (suppliers).</w:t>
      </w:r>
    </w:p>
    <w:p>
      <w:r>
        <w:rPr>
          <w:b w:val="0"/>
          <w:i w:val="0"/>
          <w:sz w:val="20"/>
        </w:rPr>
        <w:t>•  Hand route salesmen a weekly churn/at-risk call list to re-engage silent retailers.  —  expected impact: up to ₹13,776,759 (customers).</w:t>
      </w:r>
    </w:p>
    <w:p>
      <w:r>
        <w:rPr>
          <w:b w:val="0"/>
          <w:i/>
          <w:color w:val="555555"/>
          <w:sz w:val="18"/>
        </w:rPr>
        <w:t>Health Index under different strategy lenses: Balanced 70, Conservative 74, Growth 64, Cash Preservation 81, Profit Optimization 73, Custom 71.</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bhi_components.png"/>
                    <pic:cNvPicPr/>
                  </pic:nvPicPr>
                  <pic:blipFill>
                    <a:blip r:embed="rId9"/>
                    <a:stretch>
                      <a:fillRect/>
                    </a:stretch>
                  </pic:blipFill>
                  <pic:spPr>
                    <a:xfrm>
                      <a:off x="0" y="0"/>
                      <a:ext cx="5486400" cy="3135086"/>
                    </a:xfrm>
                    <a:prstGeom prst="rect"/>
                  </pic:spPr>
                </pic:pic>
              </a:graphicData>
            </a:graphic>
          </wp:inline>
        </w:drawing>
      </w:r>
    </w:p>
    <w:p>
      <w:r>
        <w:br w:type="page"/>
      </w:r>
    </w:p>
    <w:p>
      <w:pPr>
        <w:pStyle w:val="Heading1"/>
      </w:pPr>
      <w:r>
        <w:rPr>
          <w:color w:val="1F3A5F"/>
        </w:rPr>
        <w:t>Multi-year trend analysis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Measure</w:t>
            </w:r>
          </w:p>
        </w:tc>
        <w:tc>
          <w:tcPr>
            <w:tcW w:type="dxa" w:w="1234"/>
          </w:tcPr>
          <w:p>
            <w:r>
              <w:rPr>
                <w:b/>
                <w:sz w:val="18"/>
              </w:rPr>
              <w:t>22-23</w:t>
            </w:r>
          </w:p>
        </w:tc>
        <w:tc>
          <w:tcPr>
            <w:tcW w:type="dxa" w:w="1234"/>
          </w:tcPr>
          <w:p>
            <w:r>
              <w:rPr>
                <w:b/>
                <w:sz w:val="18"/>
              </w:rPr>
              <w:t>23-24</w:t>
            </w:r>
          </w:p>
        </w:tc>
        <w:tc>
          <w:tcPr>
            <w:tcW w:type="dxa" w:w="1234"/>
          </w:tcPr>
          <w:p>
            <w:r>
              <w:rPr>
                <w:b/>
                <w:sz w:val="18"/>
              </w:rPr>
              <w:t>24-25</w:t>
            </w:r>
          </w:p>
        </w:tc>
        <w:tc>
          <w:tcPr>
            <w:tcW w:type="dxa" w:w="1234"/>
          </w:tcPr>
          <w:p>
            <w:r>
              <w:rPr>
                <w:b/>
                <w:sz w:val="18"/>
              </w:rPr>
              <w:t>25-26</w:t>
            </w:r>
          </w:p>
        </w:tc>
        <w:tc>
          <w:tcPr>
            <w:tcW w:type="dxa" w:w="1234"/>
          </w:tcPr>
          <w:p>
            <w:r>
              <w:rPr>
                <w:b/>
                <w:sz w:val="18"/>
              </w:rPr>
              <w:t>CAGR</w:t>
            </w:r>
          </w:p>
        </w:tc>
        <w:tc>
          <w:tcPr>
            <w:tcW w:type="dxa" w:w="1234"/>
          </w:tcPr>
          <w:p>
            <w:r>
              <w:rPr>
                <w:b/>
                <w:sz w:val="18"/>
              </w:rPr>
              <w:t>Trend</w:t>
            </w:r>
          </w:p>
        </w:tc>
      </w:tr>
      <w:tr>
        <w:tc>
          <w:tcPr>
            <w:tcW w:type="dxa" w:w="1234"/>
          </w:tcPr>
          <w:p>
            <w:r>
              <w:rPr>
                <w:sz w:val="18"/>
              </w:rPr>
              <w:t>Revenue (₹)</w:t>
            </w:r>
          </w:p>
        </w:tc>
        <w:tc>
          <w:tcPr>
            <w:tcW w:type="dxa" w:w="1234"/>
          </w:tcPr>
          <w:p>
            <w:r>
              <w:rPr>
                <w:sz w:val="18"/>
              </w:rPr>
              <w:t>141,945,897</w:t>
            </w:r>
          </w:p>
        </w:tc>
        <w:tc>
          <w:tcPr>
            <w:tcW w:type="dxa" w:w="1234"/>
          </w:tcPr>
          <w:p>
            <w:r>
              <w:rPr>
                <w:sz w:val="18"/>
              </w:rPr>
              <w:t>128,325,029</w:t>
            </w:r>
          </w:p>
        </w:tc>
        <w:tc>
          <w:tcPr>
            <w:tcW w:type="dxa" w:w="1234"/>
          </w:tcPr>
          <w:p>
            <w:r>
              <w:rPr>
                <w:sz w:val="18"/>
              </w:rPr>
              <w:t>126,074,184</w:t>
            </w:r>
          </w:p>
        </w:tc>
        <w:tc>
          <w:tcPr>
            <w:tcW w:type="dxa" w:w="1234"/>
          </w:tcPr>
          <w:p>
            <w:r>
              <w:rPr>
                <w:sz w:val="18"/>
              </w:rPr>
              <w:t>134,159,770</w:t>
            </w:r>
          </w:p>
        </w:tc>
        <w:tc>
          <w:tcPr>
            <w:tcW w:type="dxa" w:w="1234"/>
          </w:tcPr>
          <w:p>
            <w:r>
              <w:rPr>
                <w:sz w:val="18"/>
              </w:rPr>
              <w:t>-1.9%</w:t>
            </w:r>
          </w:p>
        </w:tc>
        <w:tc>
          <w:tcPr>
            <w:tcW w:type="dxa" w:w="1234"/>
          </w:tcPr>
          <w:p>
            <w:r>
              <w:rPr>
                <w:sz w:val="18"/>
              </w:rPr>
              <w:t>falling</w:t>
            </w:r>
          </w:p>
        </w:tc>
      </w:tr>
      <w:tr>
        <w:tc>
          <w:tcPr>
            <w:tcW w:type="dxa" w:w="1234"/>
          </w:tcPr>
          <w:p>
            <w:r>
              <w:rPr>
                <w:sz w:val="18"/>
              </w:rPr>
              <w:t>Gross profit (₹)</w:t>
            </w:r>
          </w:p>
        </w:tc>
        <w:tc>
          <w:tcPr>
            <w:tcW w:type="dxa" w:w="1234"/>
          </w:tcPr>
          <w:p>
            <w:r>
              <w:rPr>
                <w:sz w:val="18"/>
              </w:rPr>
              <w:t>6,410,612</w:t>
            </w:r>
          </w:p>
        </w:tc>
        <w:tc>
          <w:tcPr>
            <w:tcW w:type="dxa" w:w="1234"/>
          </w:tcPr>
          <w:p>
            <w:r>
              <w:rPr>
                <w:sz w:val="18"/>
              </w:rPr>
              <w:t>6,335,615</w:t>
            </w:r>
          </w:p>
        </w:tc>
        <w:tc>
          <w:tcPr>
            <w:tcW w:type="dxa" w:w="1234"/>
          </w:tcPr>
          <w:p>
            <w:r>
              <w:rPr>
                <w:sz w:val="18"/>
              </w:rPr>
              <w:t>6,728,703</w:t>
            </w:r>
          </w:p>
        </w:tc>
        <w:tc>
          <w:tcPr>
            <w:tcW w:type="dxa" w:w="1234"/>
          </w:tcPr>
          <w:p>
            <w:r>
              <w:rPr>
                <w:sz w:val="18"/>
              </w:rPr>
              <w:t>7,194,207</w:t>
            </w:r>
          </w:p>
        </w:tc>
        <w:tc>
          <w:tcPr>
            <w:tcW w:type="dxa" w:w="1234"/>
          </w:tcPr>
          <w:p>
            <w:r>
              <w:rPr>
                <w:sz w:val="18"/>
              </w:rPr>
              <w:t>+3.9%</w:t>
            </w:r>
          </w:p>
        </w:tc>
        <w:tc>
          <w:tcPr>
            <w:tcW w:type="dxa" w:w="1234"/>
          </w:tcPr>
          <w:p>
            <w:r>
              <w:rPr>
                <w:sz w:val="18"/>
              </w:rPr>
              <w:t>rising</w:t>
            </w:r>
          </w:p>
        </w:tc>
      </w:tr>
      <w:tr>
        <w:tc>
          <w:tcPr>
            <w:tcW w:type="dxa" w:w="1234"/>
          </w:tcPr>
          <w:p>
            <w:r>
              <w:rPr>
                <w:sz w:val="18"/>
              </w:rPr>
              <w:t>Purchases (₹)</w:t>
            </w:r>
          </w:p>
        </w:tc>
        <w:tc>
          <w:tcPr>
            <w:tcW w:type="dxa" w:w="1234"/>
          </w:tcPr>
          <w:p>
            <w:r>
              <w:rPr>
                <w:sz w:val="18"/>
              </w:rPr>
              <w:t>136,196,507</w:t>
            </w:r>
          </w:p>
        </w:tc>
        <w:tc>
          <w:tcPr>
            <w:tcW w:type="dxa" w:w="1234"/>
          </w:tcPr>
          <w:p>
            <w:r>
              <w:rPr>
                <w:sz w:val="18"/>
              </w:rPr>
              <w:t>119,752,233</w:t>
            </w:r>
          </w:p>
        </w:tc>
        <w:tc>
          <w:tcPr>
            <w:tcW w:type="dxa" w:w="1234"/>
          </w:tcPr>
          <w:p>
            <w:r>
              <w:rPr>
                <w:sz w:val="18"/>
              </w:rPr>
              <w:t>123,314,923</w:t>
            </w:r>
          </w:p>
        </w:tc>
        <w:tc>
          <w:tcPr>
            <w:tcW w:type="dxa" w:w="1234"/>
          </w:tcPr>
          <w:p>
            <w:r>
              <w:rPr>
                <w:sz w:val="18"/>
              </w:rPr>
              <w:t>127,218,632</w:t>
            </w:r>
          </w:p>
        </w:tc>
        <w:tc>
          <w:tcPr>
            <w:tcW w:type="dxa" w:w="1234"/>
          </w:tcPr>
          <w:p>
            <w:r>
              <w:rPr>
                <w:sz w:val="18"/>
              </w:rPr>
              <w:t>-2.2%</w:t>
            </w:r>
          </w:p>
        </w:tc>
        <w:tc>
          <w:tcPr>
            <w:tcW w:type="dxa" w:w="1234"/>
          </w:tcPr>
          <w:p>
            <w:r>
              <w:rPr>
                <w:sz w:val="18"/>
              </w:rPr>
              <w:t>falling</w:t>
            </w:r>
          </w:p>
        </w:tc>
      </w:tr>
      <w:tr>
        <w:tc>
          <w:tcPr>
            <w:tcW w:type="dxa" w:w="1234"/>
          </w:tcPr>
          <w:p>
            <w:r>
              <w:rPr>
                <w:sz w:val="18"/>
              </w:rPr>
              <w:t>Bills (count)</w:t>
            </w:r>
          </w:p>
        </w:tc>
        <w:tc>
          <w:tcPr>
            <w:tcW w:type="dxa" w:w="1234"/>
          </w:tcPr>
          <w:p>
            <w:r>
              <w:rPr>
                <w:sz w:val="18"/>
              </w:rPr>
              <w:t>39,009</w:t>
            </w:r>
          </w:p>
        </w:tc>
        <w:tc>
          <w:tcPr>
            <w:tcW w:type="dxa" w:w="1234"/>
          </w:tcPr>
          <w:p>
            <w:r>
              <w:rPr>
                <w:sz w:val="18"/>
              </w:rPr>
              <w:t>40,254</w:t>
            </w:r>
          </w:p>
        </w:tc>
        <w:tc>
          <w:tcPr>
            <w:tcW w:type="dxa" w:w="1234"/>
          </w:tcPr>
          <w:p>
            <w:r>
              <w:rPr>
                <w:sz w:val="18"/>
              </w:rPr>
              <w:t>41,213</w:t>
            </w:r>
          </w:p>
        </w:tc>
        <w:tc>
          <w:tcPr>
            <w:tcW w:type="dxa" w:w="1234"/>
          </w:tcPr>
          <w:p>
            <w:r>
              <w:rPr>
                <w:sz w:val="18"/>
              </w:rPr>
              <w:t>42,846</w:t>
            </w:r>
          </w:p>
        </w:tc>
        <w:tc>
          <w:tcPr>
            <w:tcW w:type="dxa" w:w="1234"/>
          </w:tcPr>
          <w:p>
            <w:r>
              <w:rPr>
                <w:sz w:val="18"/>
              </w:rPr>
              <w:t>+3.2%</w:t>
            </w:r>
          </w:p>
        </w:tc>
        <w:tc>
          <w:tcPr>
            <w:tcW w:type="dxa" w:w="1234"/>
          </w:tcPr>
          <w:p>
            <w:r>
              <w:rPr>
                <w:sz w:val="18"/>
              </w:rPr>
              <w:t>rising</w:t>
            </w:r>
          </w:p>
        </w:tc>
      </w:tr>
      <w:tr>
        <w:tc>
          <w:tcPr>
            <w:tcW w:type="dxa" w:w="1234"/>
          </w:tcPr>
          <w:p>
            <w:r>
              <w:rPr>
                <w:sz w:val="18"/>
              </w:rPr>
              <w:t>Gross margin (%)</w:t>
            </w:r>
          </w:p>
        </w:tc>
        <w:tc>
          <w:tcPr>
            <w:tcW w:type="dxa" w:w="1234"/>
          </w:tcPr>
          <w:p>
            <w:r>
              <w:rPr>
                <w:sz w:val="18"/>
              </w:rPr>
              <w:t>4.51%</w:t>
            </w:r>
          </w:p>
        </w:tc>
        <w:tc>
          <w:tcPr>
            <w:tcW w:type="dxa" w:w="1234"/>
          </w:tcPr>
          <w:p>
            <w:r>
              <w:rPr>
                <w:sz w:val="18"/>
              </w:rPr>
              <w:t>4.90%</w:t>
            </w:r>
          </w:p>
        </w:tc>
        <w:tc>
          <w:tcPr>
            <w:tcW w:type="dxa" w:w="1234"/>
          </w:tcPr>
          <w:p>
            <w:r>
              <w:rPr>
                <w:sz w:val="18"/>
              </w:rPr>
              <w:t>5.29%</w:t>
            </w:r>
          </w:p>
        </w:tc>
        <w:tc>
          <w:tcPr>
            <w:tcW w:type="dxa" w:w="1234"/>
          </w:tcPr>
          <w:p>
            <w:r>
              <w:rPr>
                <w:sz w:val="18"/>
              </w:rPr>
              <w:t>5.15%</w:t>
            </w:r>
          </w:p>
        </w:tc>
        <w:tc>
          <w:tcPr>
            <w:tcW w:type="dxa" w:w="1234"/>
          </w:tcPr>
          <w:p>
            <w:r>
              <w:rPr>
                <w:sz w:val="18"/>
              </w:rPr>
              <w:t>+4.5%</w:t>
            </w:r>
          </w:p>
        </w:tc>
        <w:tc>
          <w:tcPr>
            <w:tcW w:type="dxa" w:w="1234"/>
          </w:tcPr>
          <w:p>
            <w:r>
              <w:rPr>
                <w:sz w:val="18"/>
              </w:rPr>
              <w:t>softening</w:t>
            </w:r>
          </w:p>
        </w:tc>
      </w:tr>
    </w:tbl>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revenue_margin_trend.png"/>
                    <pic:cNvPicPr/>
                  </pic:nvPicPr>
                  <pic:blipFill>
                    <a:blip r:embed="rId10"/>
                    <a:stretch>
                      <a:fillRect/>
                    </a:stretch>
                  </pic:blipFill>
                  <pic:spPr>
                    <a:xfrm>
                      <a:off x="0" y="0"/>
                      <a:ext cx="5486400" cy="3135086"/>
                    </a:xfrm>
                    <a:prstGeom prst="rect"/>
                  </pic:spPr>
                </pic:pic>
              </a:graphicData>
            </a:graphic>
          </wp:inline>
        </w:drawing>
      </w:r>
    </w:p>
    <w:p>
      <w:r>
        <w:rPr>
          <w:b w:val="0"/>
          <w:i/>
          <w:color w:val="555555"/>
          <w:sz w:val="20"/>
        </w:rPr>
        <w:t>So what: profit growth on softer revenue is a margin/mix gain — protect the pricing discipline that produced it.</w:t>
      </w:r>
    </w:p>
    <w:p>
      <w:pPr>
        <w:pStyle w:val="Heading1"/>
      </w:pPr>
      <w:r>
        <w:rPr>
          <w:color w:val="1F3A5F"/>
        </w:rPr>
        <w:t>Findings by domain</w:t>
      </w:r>
    </w:p>
    <w:p>
      <w:r>
        <w:rPr>
          <w:b/>
          <w:i w:val="0"/>
          <w:color w:val="1F3A5F"/>
          <w:sz w:val="22"/>
        </w:rPr>
        <w:t>Sales · scorecard 72/100 (C)</w:t>
      </w:r>
    </w:p>
    <w:p>
      <w:r>
        <w:rPr>
          <w:b w:val="0"/>
          <w:i w:val="0"/>
          <w:sz w:val="20"/>
        </w:rPr>
        <w:t>What happened: Revenue grew 6.4% YoY to ₹134,159,770 across 42,846 bills.</w:t>
      </w:r>
    </w:p>
    <w:p>
      <w:r>
        <w:rPr>
          <w:b w:val="0"/>
          <w:i w:val="0"/>
          <w:sz w:val="20"/>
        </w:rPr>
        <w:t>Why: Driven by higher bill volume and higher average bill value.</w:t>
      </w:r>
    </w:p>
    <w:p>
      <w:r>
        <w:rPr>
          <w:b w:val="0"/>
          <w:i w:val="0"/>
          <w:sz w:val="20"/>
        </w:rPr>
        <w:t>Business impact: ₹8,085,586 change in top-line revenue.</w:t>
      </w:r>
    </w:p>
    <w:p>
      <w:r>
        <w:rPr>
          <w:b/>
          <w:i w:val="0"/>
          <w:color w:val="1F3A5F"/>
          <w:sz w:val="22"/>
        </w:rPr>
        <w:t>Profitability · scorecard 73/100 (C)</w:t>
      </w:r>
    </w:p>
    <w:p>
      <w:r>
        <w:rPr>
          <w:b w:val="0"/>
          <w:i w:val="0"/>
          <w:sz w:val="20"/>
        </w:rPr>
        <w:t>What happened: Gross margin 5.15% (profit ₹7,194,207), -0.14pp YoY.</w:t>
      </w:r>
    </w:p>
    <w:p>
      <w:r>
        <w:rPr>
          <w:b w:val="0"/>
          <w:i w:val="0"/>
          <w:sz w:val="20"/>
        </w:rPr>
        <w:t>Why: Margin movement reflects pricing/mix more than volume.</w:t>
      </w:r>
    </w:p>
    <w:p>
      <w:r>
        <w:rPr>
          <w:b w:val="0"/>
          <w:i w:val="0"/>
          <w:sz w:val="20"/>
        </w:rPr>
        <w:t>Business impact: ₹465,504 change in gross profit.</w:t>
      </w:r>
    </w:p>
    <w:p>
      <w:r>
        <w:rPr>
          <w:b/>
          <w:i w:val="0"/>
          <w:color w:val="1F3A5F"/>
          <w:sz w:val="22"/>
        </w:rPr>
        <w:t>Customers · scorecard 26/100 (F)</w:t>
      </w:r>
    </w:p>
    <w:p>
      <w:r>
        <w:rPr>
          <w:b w:val="0"/>
          <w:i w:val="0"/>
          <w:sz w:val="20"/>
        </w:rPr>
        <w:t>What happened: 1,793 customers billed this year; of 1,307 established retailers, retention is 57.2% (456 churned, 104 at-risk).</w:t>
      </w:r>
    </w:p>
    <w:p>
      <w:r>
        <w:rPr>
          <w:b w:val="0"/>
          <w:i w:val="0"/>
          <w:sz w:val="20"/>
        </w:rPr>
        <w:t>Why: Churn here is repeat retailers going silent vs their own ordering cadence — a route-coverage/service issue, not walk-in attrition.</w:t>
      </w:r>
    </w:p>
    <w:p>
      <w:r>
        <w:rPr>
          <w:b w:val="0"/>
          <w:i w:val="0"/>
          <w:sz w:val="20"/>
        </w:rPr>
        <w:t>Business impact: ₹13,776,759 of prior-year billings sit with churned retailers who could be won back.</w:t>
      </w:r>
    </w:p>
    <w:p>
      <w:r>
        <w:rPr>
          <w:b/>
          <w:i w:val="0"/>
          <w:color w:val="1F3A5F"/>
          <w:sz w:val="22"/>
        </w:rPr>
        <w:t>Products · scorecard 100/100 (A)</w:t>
      </w:r>
    </w:p>
    <w:p>
      <w:r>
        <w:rPr>
          <w:b w:val="0"/>
          <w:i w:val="0"/>
          <w:sz w:val="20"/>
        </w:rPr>
        <w:t>What happened: 6,909 products sold; top-10 concentration 5.7%.</w:t>
      </w:r>
    </w:p>
    <w:p>
      <w:r>
        <w:rPr>
          <w:b w:val="0"/>
          <w:i w:val="0"/>
          <w:sz w:val="20"/>
        </w:rPr>
        <w:t>Why: Revenue rests on a core set of fast movers with a large slow tail.</w:t>
      </w:r>
    </w:p>
    <w:p>
      <w:r>
        <w:rPr>
          <w:b w:val="0"/>
          <w:i w:val="0"/>
          <w:sz w:val="20"/>
        </w:rPr>
        <w:t>Business impact: Pricing and SKU-mix decisions are the main profit levers here.</w:t>
      </w:r>
    </w:p>
    <w:p>
      <w:r>
        <w:rPr>
          <w:b/>
          <w:i w:val="0"/>
          <w:color w:val="1F3A5F"/>
          <w:sz w:val="22"/>
        </w:rPr>
        <w:t>Suppliers · scorecard 75/100 (C)</w:t>
      </w:r>
    </w:p>
    <w:p>
      <w:r>
        <w:rPr>
          <w:b w:val="0"/>
          <w:i w:val="0"/>
          <w:sz w:val="20"/>
        </w:rPr>
        <w:t>What happened: 63 active suppliers; top-5 dependency 48.7%.</w:t>
      </w:r>
    </w:p>
    <w:p>
      <w:r>
        <w:rPr>
          <w:b w:val="0"/>
          <w:i w:val="0"/>
          <w:sz w:val="20"/>
        </w:rPr>
        <w:t>Why: Procurement is concentrated among a few principals.</w:t>
      </w:r>
    </w:p>
    <w:p>
      <w:r>
        <w:rPr>
          <w:b w:val="0"/>
          <w:i w:val="0"/>
          <w:sz w:val="20"/>
        </w:rPr>
        <w:t>Business impact: Negotiation leverage and continuity risk both sit with the top suppliers.</w:t>
      </w:r>
    </w:p>
    <w:p>
      <w:r>
        <w:rPr>
          <w:b/>
          <w:i w:val="0"/>
          <w:color w:val="1F3A5F"/>
          <w:sz w:val="22"/>
        </w:rPr>
        <w:t>Inventory · scorecard 80/100 (B)</w:t>
      </w:r>
    </w:p>
    <w:p>
      <w:r>
        <w:rPr>
          <w:b w:val="0"/>
          <w:i w:val="0"/>
          <w:sz w:val="20"/>
        </w:rPr>
        <w:t>What happened: Closing inventory ₹15,052,079; turnover 7.8x (~47 days).</w:t>
      </w:r>
    </w:p>
    <w:p>
      <w:r>
        <w:rPr>
          <w:b w:val="0"/>
          <w:i w:val="0"/>
          <w:sz w:val="20"/>
        </w:rPr>
        <w:t>Why: Turnover reflects how tightly stock is matched to demand.</w:t>
      </w:r>
    </w:p>
    <w:p>
      <w:r>
        <w:rPr>
          <w:b w:val="0"/>
          <w:i w:val="0"/>
          <w:sz w:val="20"/>
        </w:rPr>
        <w:t>Business impact: Every excess day of stock is cash locked up.</w:t>
      </w:r>
    </w:p>
    <w:p>
      <w:r>
        <w:rPr>
          <w:b/>
          <w:i w:val="0"/>
          <w:color w:val="1F3A5F"/>
          <w:sz w:val="22"/>
        </w:rPr>
        <w:t>Working Capital · scorecard 90/100 (A)</w:t>
      </w:r>
    </w:p>
    <w:p>
      <w:r>
        <w:rPr>
          <w:b w:val="0"/>
          <w:i w:val="0"/>
          <w:sz w:val="20"/>
        </w:rPr>
        <w:t>What happened: Cash conversion cycle ≈28 days (down from 40).</w:t>
      </w:r>
    </w:p>
    <w:p>
      <w:r>
        <w:rPr>
          <w:b w:val="0"/>
          <w:i w:val="0"/>
          <w:sz w:val="20"/>
        </w:rPr>
        <w:t>Why: Inventory days dominate; receivables are minimal (cash-heavy model).</w:t>
      </w:r>
    </w:p>
    <w:p>
      <w:r>
        <w:rPr>
          <w:b w:val="0"/>
          <w:i w:val="0"/>
          <w:sz w:val="20"/>
        </w:rPr>
        <w:t>Business impact: The cash cycle sets how much working capital the business ties up.</w:t>
      </w:r>
    </w:p>
    <w:p>
      <w:r>
        <w:rPr>
          <w:b/>
          <w:i w:val="0"/>
          <w:color w:val="1F3A5F"/>
          <w:sz w:val="22"/>
        </w:rPr>
        <w:t>Territory · scorecard 58/100 (E)</w:t>
      </w:r>
    </w:p>
    <w:p>
      <w:r>
        <w:rPr>
          <w:b w:val="0"/>
          <w:i w:val="0"/>
          <w:sz w:val="20"/>
        </w:rPr>
        <w:t>What happened: 32 active areas; top-5 concentration 59.6%.</w:t>
      </w:r>
    </w:p>
    <w:p>
      <w:r>
        <w:rPr>
          <w:b w:val="0"/>
          <w:i w:val="0"/>
          <w:sz w:val="20"/>
        </w:rPr>
        <w:t>Why: Sales are geographically concentrated around the core market.</w:t>
      </w:r>
    </w:p>
    <w:p>
      <w:r>
        <w:rPr>
          <w:b w:val="0"/>
          <w:i w:val="0"/>
          <w:sz w:val="20"/>
        </w:rPr>
        <w:t>Business impact: Geographic diversification is a growth lever.</w:t>
      </w:r>
    </w:p>
    <w:p>
      <w:r>
        <w:rPr>
          <w:b/>
          <w:i w:val="0"/>
          <w:color w:val="1F3A5F"/>
          <w:sz w:val="22"/>
        </w:rPr>
        <w:t>Cash Flow · scorecard 100/100 (A)</w:t>
      </w:r>
    </w:p>
    <w:p>
      <w:r>
        <w:rPr>
          <w:b w:val="0"/>
          <w:i w:val="0"/>
          <w:sz w:val="20"/>
        </w:rPr>
        <w:t>What happened: Operating cash proxy ≈ ₹9,251,256.</w:t>
      </w:r>
    </w:p>
    <w:p>
      <w:r>
        <w:rPr>
          <w:b w:val="0"/>
          <w:i w:val="0"/>
          <w:sz w:val="20"/>
        </w:rPr>
        <w:t>Why: Working capital released ₹2,057,050 of the ₹7,194,207 gross profit.</w:t>
      </w:r>
    </w:p>
    <w:p>
      <w:r>
        <w:rPr>
          <w:b w:val="0"/>
          <w:i w:val="0"/>
          <w:sz w:val="20"/>
        </w:rPr>
        <w:t>Business impact: Cash generation depends on holding the working-capital line.</w:t>
      </w:r>
    </w:p>
    <w:p>
      <w:r>
        <w:br w:type="page"/>
      </w:r>
    </w:p>
    <w:p>
      <w:pPr>
        <w:pStyle w:val="Heading1"/>
      </w:pPr>
      <w:r>
        <w:rPr>
          <w:color w:val="1F3A5F"/>
        </w:rPr>
        <w:t>Key risks (ranked by severity)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tcPr>
          <w:p>
            <w:r>
              <w:rPr>
                <w:b/>
                <w:sz w:val="18"/>
              </w:rPr>
              <w:t>#</w:t>
            </w:r>
          </w:p>
        </w:tc>
        <w:tc>
          <w:tcPr>
            <w:tcW w:type="dxa" w:w="2304"/>
          </w:tcPr>
          <w:p>
            <w:r>
              <w:rPr>
                <w:b/>
                <w:sz w:val="18"/>
              </w:rPr>
              <w:t>Risk</w:t>
            </w:r>
          </w:p>
        </w:tc>
        <w:tc>
          <w:tcPr>
            <w:tcW w:type="dxa" w:w="1296"/>
          </w:tcPr>
          <w:p>
            <w:r>
              <w:rPr>
                <w:b/>
                <w:sz w:val="18"/>
              </w:rPr>
              <w:t>Severity</w:t>
            </w:r>
          </w:p>
        </w:tc>
        <w:tc>
          <w:tcPr>
            <w:tcW w:type="dxa" w:w="864"/>
          </w:tcPr>
          <w:p>
            <w:r>
              <w:rPr>
                <w:b/>
                <w:sz w:val="18"/>
              </w:rPr>
              <w:t>Score</w:t>
            </w:r>
          </w:p>
        </w:tc>
        <w:tc>
          <w:tcPr>
            <w:tcW w:type="dxa" w:w="4320"/>
          </w:tcPr>
          <w:p>
            <w:r>
              <w:rPr>
                <w:b/>
                <w:sz w:val="18"/>
              </w:rPr>
              <w:t>Description</w:t>
            </w:r>
          </w:p>
        </w:tc>
      </w:tr>
      <w:tr>
        <w:tc>
          <w:tcPr>
            <w:tcW w:type="dxa" w:w="432"/>
          </w:tcPr>
          <w:p>
            <w:r>
              <w:rPr>
                <w:sz w:val="18"/>
              </w:rPr>
              <w:t>1</w:t>
            </w:r>
          </w:p>
        </w:tc>
        <w:tc>
          <w:tcPr>
            <w:tcW w:type="dxa" w:w="2304"/>
          </w:tcPr>
          <w:p>
            <w:r>
              <w:rPr>
                <w:sz w:val="18"/>
              </w:rPr>
              <w:t>Customer churn</w:t>
            </w:r>
          </w:p>
        </w:tc>
        <w:tc>
          <w:tcPr>
            <w:tcW w:type="dxa" w:w="1296"/>
          </w:tcPr>
          <w:p>
            <w:r>
              <w:rPr>
                <w:sz w:val="18"/>
              </w:rPr>
              <w:t>warning</w:t>
            </w:r>
          </w:p>
        </w:tc>
        <w:tc>
          <w:tcPr>
            <w:tcW w:type="dxa" w:w="864"/>
          </w:tcPr>
          <w:p>
            <w:r>
              <w:rPr>
                <w:sz w:val="18"/>
              </w:rPr>
              <w:t>56</w:t>
            </w:r>
          </w:p>
        </w:tc>
        <w:tc>
          <w:tcPr>
            <w:tcW w:type="dxa" w:w="4320"/>
          </w:tcPr>
          <w:p>
            <w:r>
              <w:rPr>
                <w:sz w:val="18"/>
              </w:rPr>
              <w:t>35% of established retailers have stopped ordering relative to their own cadence.</w:t>
            </w:r>
          </w:p>
        </w:tc>
      </w:tr>
      <w:tr>
        <w:tc>
          <w:tcPr>
            <w:tcW w:type="dxa" w:w="432"/>
          </w:tcPr>
          <w:p>
            <w:r>
              <w:rPr>
                <w:sz w:val="18"/>
              </w:rPr>
              <w:t>2</w:t>
            </w:r>
          </w:p>
        </w:tc>
        <w:tc>
          <w:tcPr>
            <w:tcW w:type="dxa" w:w="2304"/>
          </w:tcPr>
          <w:p>
            <w:r>
              <w:rPr>
                <w:sz w:val="18"/>
              </w:rPr>
              <w:t>Customer concentration</w:t>
            </w:r>
          </w:p>
        </w:tc>
        <w:tc>
          <w:tcPr>
            <w:tcW w:type="dxa" w:w="1296"/>
          </w:tcPr>
          <w:p>
            <w:r>
              <w:rPr>
                <w:sz w:val="18"/>
              </w:rPr>
              <w:t>warning</w:t>
            </w:r>
          </w:p>
        </w:tc>
        <w:tc>
          <w:tcPr>
            <w:tcW w:type="dxa" w:w="864"/>
          </w:tcPr>
          <w:p>
            <w:r>
              <w:rPr>
                <w:sz w:val="18"/>
              </w:rPr>
              <w:t>49</w:t>
            </w:r>
          </w:p>
        </w:tc>
        <w:tc>
          <w:tcPr>
            <w:tcW w:type="dxa" w:w="4320"/>
          </w:tcPr>
          <w:p>
            <w:r>
              <w:rPr>
                <w:sz w:val="18"/>
              </w:rPr>
              <w:t>Top-10 customers account for 32.3% of revenue.</w:t>
            </w:r>
          </w:p>
        </w:tc>
      </w:tr>
      <w:tr>
        <w:tc>
          <w:tcPr>
            <w:tcW w:type="dxa" w:w="432"/>
          </w:tcPr>
          <w:p>
            <w:r>
              <w:rPr>
                <w:sz w:val="18"/>
              </w:rPr>
              <w:t>3</w:t>
            </w:r>
          </w:p>
        </w:tc>
        <w:tc>
          <w:tcPr>
            <w:tcW w:type="dxa" w:w="2304"/>
          </w:tcPr>
          <w:p>
            <w:r>
              <w:rPr>
                <w:sz w:val="18"/>
              </w:rPr>
              <w:t>Margin erosion</w:t>
            </w:r>
          </w:p>
        </w:tc>
        <w:tc>
          <w:tcPr>
            <w:tcW w:type="dxa" w:w="1296"/>
          </w:tcPr>
          <w:p>
            <w:r>
              <w:rPr>
                <w:sz w:val="18"/>
              </w:rPr>
              <w:t>warning</w:t>
            </w:r>
          </w:p>
        </w:tc>
        <w:tc>
          <w:tcPr>
            <w:tcW w:type="dxa" w:w="864"/>
          </w:tcPr>
          <w:p>
            <w:r>
              <w:rPr>
                <w:sz w:val="18"/>
              </w:rPr>
              <w:t>43</w:t>
            </w:r>
          </w:p>
        </w:tc>
        <w:tc>
          <w:tcPr>
            <w:tcW w:type="dxa" w:w="4320"/>
          </w:tcPr>
          <w:p>
            <w:r>
              <w:rPr>
                <w:sz w:val="18"/>
              </w:rPr>
              <w:t>Gross margin is declining year-on-year.</w:t>
            </w:r>
          </w:p>
        </w:tc>
      </w:tr>
    </w:tbl>
    <w:p/>
    <w:p>
      <w:pPr>
        <w:pStyle w:val="Heading1"/>
      </w:pPr>
      <w:r>
        <w:rPr>
          <w:color w:val="1F3A5F"/>
        </w:rPr>
        <w:t>Key opportunities (ranked by impact)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tcPr>
          <w:p>
            <w:r>
              <w:rPr>
                <w:b/>
                <w:sz w:val="18"/>
              </w:rPr>
              <w:t>#</w:t>
            </w:r>
          </w:p>
        </w:tc>
        <w:tc>
          <w:tcPr>
            <w:tcW w:type="dxa" w:w="2448"/>
          </w:tcPr>
          <w:p>
            <w:r>
              <w:rPr>
                <w:b/>
                <w:sz w:val="18"/>
              </w:rPr>
              <w:t>Opportunity</w:t>
            </w:r>
          </w:p>
        </w:tc>
        <w:tc>
          <w:tcPr>
            <w:tcW w:type="dxa" w:w="1728"/>
          </w:tcPr>
          <w:p>
            <w:r>
              <w:rPr>
                <w:b/>
                <w:sz w:val="18"/>
              </w:rPr>
              <w:t>Est. impact (₹)</w:t>
            </w:r>
          </w:p>
        </w:tc>
        <w:tc>
          <w:tcPr>
            <w:tcW w:type="dxa" w:w="1296"/>
          </w:tcPr>
          <w:p>
            <w:r>
              <w:rPr>
                <w:b/>
                <w:sz w:val="18"/>
              </w:rPr>
              <w:t>Confidence</w:t>
            </w:r>
          </w:p>
        </w:tc>
        <w:tc>
          <w:tcPr>
            <w:tcW w:type="dxa" w:w="4032"/>
          </w:tcPr>
          <w:p>
            <w:r>
              <w:rPr>
                <w:b/>
                <w:sz w:val="18"/>
              </w:rPr>
              <w:t>Detail</w:t>
            </w:r>
          </w:p>
        </w:tc>
      </w:tr>
      <w:tr>
        <w:tc>
          <w:tcPr>
            <w:tcW w:type="dxa" w:w="432"/>
          </w:tcPr>
          <w:p>
            <w:r>
              <w:rPr>
                <w:sz w:val="18"/>
              </w:rPr>
              <w:t>1</w:t>
            </w:r>
          </w:p>
        </w:tc>
        <w:tc>
          <w:tcPr>
            <w:tcW w:type="dxa" w:w="2448"/>
          </w:tcPr>
          <w:p>
            <w:r>
              <w:rPr>
                <w:sz w:val="18"/>
              </w:rPr>
              <w:t>Win back churned retailers</w:t>
            </w:r>
          </w:p>
        </w:tc>
        <w:tc>
          <w:tcPr>
            <w:tcW w:type="dxa" w:w="1728"/>
          </w:tcPr>
          <w:p>
            <w:r>
              <w:rPr>
                <w:sz w:val="18"/>
              </w:rPr>
              <w:t>13,776,759</w:t>
            </w:r>
          </w:p>
        </w:tc>
        <w:tc>
          <w:tcPr>
            <w:tcW w:type="dxa" w:w="1296"/>
          </w:tcPr>
          <w:p>
            <w:r>
              <w:rPr>
                <w:sz w:val="18"/>
              </w:rPr>
              <w:t>50%</w:t>
            </w:r>
          </w:p>
        </w:tc>
        <w:tc>
          <w:tcPr>
            <w:tcW w:type="dxa" w:w="4032"/>
          </w:tcPr>
          <w:p>
            <w:r>
              <w:rPr>
                <w:sz w:val="18"/>
              </w:rPr>
              <w:t>456 established retailers lapsed; they billed ₹13,776,759 in 24-25. Route-level win-back could recover a large share.</w:t>
            </w:r>
          </w:p>
        </w:tc>
      </w:tr>
      <w:tr>
        <w:tc>
          <w:tcPr>
            <w:tcW w:type="dxa" w:w="432"/>
          </w:tcPr>
          <w:p>
            <w:r>
              <w:rPr>
                <w:sz w:val="18"/>
              </w:rPr>
              <w:t>2</w:t>
            </w:r>
          </w:p>
        </w:tc>
        <w:tc>
          <w:tcPr>
            <w:tcW w:type="dxa" w:w="2448"/>
          </w:tcPr>
          <w:p>
            <w:r>
              <w:rPr>
                <w:sz w:val="18"/>
              </w:rPr>
              <w:t>Nurture high-growth customers</w:t>
            </w:r>
          </w:p>
        </w:tc>
        <w:tc>
          <w:tcPr>
            <w:tcW w:type="dxa" w:w="1728"/>
          </w:tcPr>
          <w:p>
            <w:r>
              <w:rPr>
                <w:sz w:val="18"/>
              </w:rPr>
              <w:t>4,866,214</w:t>
            </w:r>
          </w:p>
        </w:tc>
        <w:tc>
          <w:tcPr>
            <w:tcW w:type="dxa" w:w="1296"/>
          </w:tcPr>
          <w:p>
            <w:r>
              <w:rPr>
                <w:sz w:val="18"/>
              </w:rPr>
              <w:t>60%</w:t>
            </w:r>
          </w:p>
        </w:tc>
        <w:tc>
          <w:tcPr>
            <w:tcW w:type="dxa" w:w="4032"/>
          </w:tcPr>
          <w:p>
            <w:r>
              <w:rPr>
                <w:sz w:val="18"/>
              </w:rPr>
              <w:t>The 3 fastest-growing customers added ₹4,866,214 this year; deepen share-of-wallet with them.</w:t>
            </w:r>
          </w:p>
        </w:tc>
      </w:tr>
      <w:tr>
        <w:tc>
          <w:tcPr>
            <w:tcW w:type="dxa" w:w="432"/>
          </w:tcPr>
          <w:p>
            <w:r>
              <w:rPr>
                <w:sz w:val="18"/>
              </w:rPr>
              <w:t>3</w:t>
            </w:r>
          </w:p>
        </w:tc>
        <w:tc>
          <w:tcPr>
            <w:tcW w:type="dxa" w:w="2448"/>
          </w:tcPr>
          <w:p>
            <w:r>
              <w:rPr>
                <w:sz w:val="18"/>
              </w:rPr>
              <w:t>Release cash by trimming inventory days</w:t>
            </w:r>
          </w:p>
        </w:tc>
        <w:tc>
          <w:tcPr>
            <w:tcW w:type="dxa" w:w="1728"/>
          </w:tcPr>
          <w:p>
            <w:r>
              <w:rPr>
                <w:sz w:val="18"/>
              </w:rPr>
              <w:t>2,241,799</w:t>
            </w:r>
          </w:p>
        </w:tc>
        <w:tc>
          <w:tcPr>
            <w:tcW w:type="dxa" w:w="1296"/>
          </w:tcPr>
          <w:p>
            <w:r>
              <w:rPr>
                <w:sz w:val="18"/>
              </w:rPr>
              <w:t>50%</w:t>
            </w:r>
          </w:p>
        </w:tc>
        <w:tc>
          <w:tcPr>
            <w:tcW w:type="dxa" w:w="4032"/>
          </w:tcPr>
          <w:p>
            <w:r>
              <w:rPr>
                <w:sz w:val="18"/>
              </w:rPr>
              <w:t>Cutting days on hand from 47 to 40 would free ≈₹2,241,799 of working capital.</w:t>
            </w:r>
          </w:p>
        </w:tc>
      </w:tr>
      <w:tr>
        <w:tc>
          <w:tcPr>
            <w:tcW w:type="dxa" w:w="432"/>
          </w:tcPr>
          <w:p>
            <w:r>
              <w:rPr>
                <w:sz w:val="18"/>
              </w:rPr>
              <w:t>4</w:t>
            </w:r>
          </w:p>
        </w:tc>
        <w:tc>
          <w:tcPr>
            <w:tcW w:type="dxa" w:w="2448"/>
          </w:tcPr>
          <w:p>
            <w:r>
              <w:rPr>
                <w:sz w:val="18"/>
              </w:rPr>
              <w:t>Volume-based negotiation with largest suppliers</w:t>
            </w:r>
          </w:p>
        </w:tc>
        <w:tc>
          <w:tcPr>
            <w:tcW w:type="dxa" w:w="1728"/>
          </w:tcPr>
          <w:p>
            <w:r>
              <w:rPr>
                <w:sz w:val="18"/>
              </w:rPr>
              <w:t>459,182</w:t>
            </w:r>
          </w:p>
        </w:tc>
        <w:tc>
          <w:tcPr>
            <w:tcW w:type="dxa" w:w="1296"/>
          </w:tcPr>
          <w:p>
            <w:r>
              <w:rPr>
                <w:sz w:val="18"/>
              </w:rPr>
              <w:t>60%</w:t>
            </w:r>
          </w:p>
        </w:tc>
        <w:tc>
          <w:tcPr>
            <w:tcW w:type="dxa" w:w="4032"/>
          </w:tcPr>
          <w:p>
            <w:r>
              <w:rPr>
                <w:sz w:val="18"/>
              </w:rPr>
              <w:t>The top-3 suppliers represent ₹45,918,153 of annual spend; a 1% improvement in terms is worth ≈₹459,182.</w:t>
            </w:r>
          </w:p>
        </w:tc>
      </w:tr>
      <w:tr>
        <w:tc>
          <w:tcPr>
            <w:tcW w:type="dxa" w:w="432"/>
          </w:tcPr>
          <w:p>
            <w:r>
              <w:rPr>
                <w:sz w:val="18"/>
              </w:rPr>
              <w:t>5</w:t>
            </w:r>
          </w:p>
        </w:tc>
        <w:tc>
          <w:tcPr>
            <w:tcW w:type="dxa" w:w="2448"/>
          </w:tcPr>
          <w:p>
            <w:r>
              <w:rPr>
                <w:sz w:val="18"/>
              </w:rPr>
              <w:t>Pricing potential on high-volume, low-margin products</w:t>
            </w:r>
          </w:p>
        </w:tc>
        <w:tc>
          <w:tcPr>
            <w:tcW w:type="dxa" w:w="1728"/>
          </w:tcPr>
          <w:p>
            <w:r>
              <w:rPr>
                <w:sz w:val="18"/>
              </w:rPr>
              <w:t>106,823</w:t>
            </w:r>
          </w:p>
        </w:tc>
        <w:tc>
          <w:tcPr>
            <w:tcW w:type="dxa" w:w="1296"/>
          </w:tcPr>
          <w:p>
            <w:r>
              <w:rPr>
                <w:sz w:val="18"/>
              </w:rPr>
              <w:t>50%</w:t>
            </w:r>
          </w:p>
        </w:tc>
        <w:tc>
          <w:tcPr>
            <w:tcW w:type="dxa" w:w="4032"/>
          </w:tcPr>
          <w:p>
            <w:r>
              <w:rPr>
                <w:sz w:val="18"/>
              </w:rPr>
              <w:t>89 high-revenue SKUs run below 3% margin; a 1-point price/discount correction is worth ≈₹106,823.</w:t>
            </w:r>
          </w:p>
        </w:tc>
      </w:tr>
      <w:tr>
        <w:tc>
          <w:tcPr>
            <w:tcW w:type="dxa" w:w="432"/>
          </w:tcPr>
          <w:p>
            <w:r>
              <w:rPr>
                <w:sz w:val="18"/>
              </w:rPr>
              <w:t>6</w:t>
            </w:r>
          </w:p>
        </w:tc>
        <w:tc>
          <w:tcPr>
            <w:tcW w:type="dxa" w:w="2448"/>
          </w:tcPr>
          <w:p>
            <w:r>
              <w:rPr>
                <w:sz w:val="18"/>
              </w:rPr>
              <w:t>Develop underperforming territories</w:t>
            </w:r>
          </w:p>
        </w:tc>
        <w:tc>
          <w:tcPr>
            <w:tcW w:type="dxa" w:w="1728"/>
          </w:tcPr>
          <w:p>
            <w:r>
              <w:rPr>
                <w:sz w:val="18"/>
              </w:rPr>
              <w:t>—</w:t>
            </w:r>
          </w:p>
        </w:tc>
        <w:tc>
          <w:tcPr>
            <w:tcW w:type="dxa" w:w="1296"/>
          </w:tcPr>
          <w:p>
            <w:r>
              <w:rPr>
                <w:sz w:val="18"/>
              </w:rPr>
              <w:t>40%</w:t>
            </w:r>
          </w:p>
        </w:tc>
        <w:tc>
          <w:tcPr>
            <w:tcW w:type="dxa" w:w="4032"/>
          </w:tcPr>
          <w:p>
            <w:r>
              <w:rPr>
                <w:sz w:val="18"/>
              </w:rPr>
              <w:t>The smallest active areas (e.g. 1/1 BELHE, WAGHOLI-(N/M-Party), MR ORDER) are well below the leaders — targeted coverage could lift them.</w:t>
            </w:r>
          </w:p>
        </w:tc>
      </w:tr>
    </w:tbl>
    <w:p/>
    <w:p>
      <w:r>
        <w:br w:type="page"/>
      </w:r>
    </w:p>
    <w:p>
      <w:pPr>
        <w:pStyle w:val="Heading1"/>
      </w:pPr>
      <w:r>
        <w:rPr>
          <w:color w:val="1F3A5F"/>
        </w:rPr>
        <w:t>Prioritised recommendations (impact vs effort)</w:t>
      </w:r>
    </w:p>
    <w:p>
      <w:r>
        <w:rPr>
          <w:b w:val="0"/>
          <w:i/>
          <w:color w:val="555555"/>
          <w:sz w:val="20"/>
        </w:rPr>
        <w:t>High-impact / low-effort actions come first. Each carries an expected business impact.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1F3A5F"/>
              </w:rPr>
            </w:r>
          </w:p>
        </w:tc>
        <w:tc>
          <w:tcPr>
            <w:tcW w:type="dxa" w:w="2880"/>
          </w:tcPr>
          <w:p>
            <w:r>
              <w:rPr>
                <w:b/>
                <w:color w:val="1F3A5F"/>
              </w:rPr>
              <w:t>Low effort</w:t>
            </w:r>
          </w:p>
        </w:tc>
        <w:tc>
          <w:tcPr>
            <w:tcW w:type="dxa" w:w="2880"/>
          </w:tcPr>
          <w:p>
            <w:r>
              <w:rPr>
                <w:b/>
                <w:color w:val="1F3A5F"/>
              </w:rPr>
              <w:t>High effort</w:t>
            </w:r>
          </w:p>
        </w:tc>
      </w:tr>
      <w:tr>
        <w:tc>
          <w:tcPr>
            <w:tcW w:type="dxa" w:w="2880"/>
          </w:tcPr>
          <w:p>
            <w:r>
              <w:rPr>
                <w:b/>
                <w:color w:val="1F3A5F"/>
              </w:rPr>
              <w:t>High impact</w:t>
            </w:r>
          </w:p>
        </w:tc>
        <w:tc>
          <w:tcPr>
            <w:tcW w:type="dxa" w:w="2880"/>
          </w:tcPr>
          <w:p>
            <w:r/>
          </w:p>
          <w:p>
            <w:r>
              <w:rPr>
                <w:b/>
                <w:sz w:val="16"/>
              </w:rPr>
              <w:t>★ Protect the recovery: secure top-decile customers with service SLAs.</w:t>
            </w:r>
          </w:p>
          <w:p>
            <w:r>
              <w:rPr>
                <w:b/>
                <w:sz w:val="16"/>
              </w:rPr>
              <w:t>★ Open annual rate/scheme negotiations with the top-3 suppliers.</w:t>
            </w:r>
          </w:p>
          <w:p>
            <w:r>
              <w:rPr>
                <w:b/>
                <w:sz w:val="16"/>
              </w:rPr>
              <w:t>★ Hand route salesmen a weekly churn/at-risk call list to re-engage silent retailers.</w:t>
            </w:r>
          </w:p>
        </w:tc>
        <w:tc>
          <w:tcPr>
            <w:tcW w:type="dxa" w:w="2880"/>
          </w:tcPr>
          <w:p>
            <w:r/>
          </w:p>
          <w:p>
            <w:r>
              <w:rPr>
                <w:b w:val="0"/>
                <w:sz w:val="16"/>
              </w:rPr>
              <w:t>• Set reorder levels by SKU velocity to cut slow-mover stock.</w:t>
            </w:r>
          </w:p>
          <w:p>
            <w:r>
              <w:rPr>
                <w:b w:val="0"/>
                <w:sz w:val="16"/>
              </w:rPr>
              <w:t>• Focus cash-cycle improvement on inventory, the dominant component.</w:t>
            </w:r>
          </w:p>
          <w:p>
            <w:r>
              <w:rPr>
                <w:b w:val="0"/>
                <w:sz w:val="16"/>
              </w:rPr>
              <w:t>• Review discount policy on the high-volume, low-margin SKUs identified.</w:t>
            </w:r>
          </w:p>
        </w:tc>
      </w:tr>
      <w:tr>
        <w:tc>
          <w:tcPr>
            <w:tcW w:type="dxa" w:w="2880"/>
          </w:tcPr>
          <w:p>
            <w:r>
              <w:rPr>
                <w:b/>
                <w:color w:val="1F3A5F"/>
              </w:rPr>
              <w:t>Low/med impact</w:t>
            </w:r>
          </w:p>
        </w:tc>
        <w:tc>
          <w:tcPr>
            <w:tcW w:type="dxa" w:w="2880"/>
          </w:tcPr>
          <w:p>
            <w:r/>
          </w:p>
          <w:p>
            <w:r>
              <w:rPr>
                <w:b w:val="0"/>
                <w:sz w:val="16"/>
              </w:rPr>
              <w:t>• Track the cash conversion cycle monthly to keep working capital from outrunning profit.</w:t>
            </w:r>
          </w:p>
          <w:p>
            <w:r>
              <w:rPr>
                <w:b w:val="0"/>
                <w:sz w:val="16"/>
              </w:rPr>
              <w:t>• Negotiate longer supplier credit to extend creditor days where relationships allow.</w:t>
            </w:r>
          </w:p>
        </w:tc>
        <w:tc>
          <w:tcPr>
            <w:tcW w:type="dxa" w:w="2880"/>
          </w:tcPr>
          <w:p>
            <w:r/>
          </w:p>
          <w:p>
            <w:r>
              <w:rPr>
                <w:b w:val="0"/>
                <w:sz w:val="16"/>
              </w:rPr>
              <w:t>• Run a product-level margin review to prune chronically low-margin SKUs.</w:t>
            </w:r>
          </w:p>
          <w:p>
            <w:r>
              <w:rPr>
                <w:b w:val="0"/>
                <w:sz w:val="16"/>
              </w:rPr>
              <w:t>• Trigger proactive outreach when a retailer crosses its at-risk gap threshold.</w:t>
            </w:r>
          </w:p>
          <w:p>
            <w:r>
              <w:rPr>
                <w:b w:val="0"/>
                <w:sz w:val="16"/>
              </w:rPr>
              <w:t>• Rationalise the slow-moving long tail to cut carrying cost.</w:t>
            </w:r>
          </w:p>
          <w:p>
            <w:r>
              <w:rPr>
                <w:b w:val="0"/>
                <w:sz w:val="16"/>
              </w:rPr>
              <w:t>• Run a coverage/route review for the bottom-quartile territories.</w:t>
            </w:r>
          </w:p>
          <w:p>
            <w:r>
              <w:rPr>
                <w:b w:val="0"/>
                <w:sz w:val="16"/>
              </w:rPr>
              <w:t>• Diversify the customer base to reduce reliance on the top-10 accounts.</w:t>
            </w:r>
          </w:p>
        </w:tc>
      </w:tr>
    </w:tbl>
    <w:p/>
    <w:p>
      <w:r>
        <w:rPr>
          <w:b/>
          <w:i w:val="0"/>
          <w:sz w:val="20"/>
        </w:rPr>
        <w:t>Ranked action list with expected impact: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432"/>
          </w:tcPr>
          <w:p>
            <w:r>
              <w:rPr>
                <w:b/>
                <w:sz w:val="18"/>
              </w:rPr>
              <w:t>#</w:t>
            </w:r>
          </w:p>
        </w:tc>
        <w:tc>
          <w:tcPr>
            <w:tcW w:type="dxa" w:w="3744"/>
          </w:tcPr>
          <w:p>
            <w:r>
              <w:rPr>
                <w:b/>
                <w:sz w:val="18"/>
              </w:rPr>
              <w:t>Recommendation</w:t>
            </w:r>
          </w:p>
        </w:tc>
        <w:tc>
          <w:tcPr>
            <w:tcW w:type="dxa" w:w="1008"/>
          </w:tcPr>
          <w:p>
            <w:r>
              <w:rPr>
                <w:b/>
                <w:sz w:val="18"/>
              </w:rPr>
              <w:t>Impact</w:t>
            </w:r>
          </w:p>
        </w:tc>
        <w:tc>
          <w:tcPr>
            <w:tcW w:type="dxa" w:w="1008"/>
          </w:tcPr>
          <w:p>
            <w:r>
              <w:rPr>
                <w:b/>
                <w:sz w:val="18"/>
              </w:rPr>
              <w:t>Effort</w:t>
            </w:r>
          </w:p>
        </w:tc>
        <w:tc>
          <w:tcPr>
            <w:tcW w:type="dxa" w:w="864"/>
          </w:tcPr>
          <w:p>
            <w:r>
              <w:rPr>
                <w:b/>
                <w:sz w:val="18"/>
              </w:rPr>
              <w:t>Conf.</w:t>
            </w:r>
          </w:p>
        </w:tc>
        <w:tc>
          <w:tcPr>
            <w:tcW w:type="dxa" w:w="2736"/>
          </w:tcPr>
          <w:p>
            <w:r>
              <w:rPr>
                <w:b/>
                <w:sz w:val="18"/>
              </w:rPr>
              <w:t>Expected business impact</w:t>
            </w:r>
          </w:p>
        </w:tc>
      </w:tr>
      <w:tr>
        <w:tc>
          <w:tcPr>
            <w:tcW w:type="dxa" w:w="432"/>
          </w:tcPr>
          <w:p>
            <w:r>
              <w:rPr>
                <w:sz w:val="18"/>
              </w:rPr>
              <w:t>1</w:t>
            </w:r>
          </w:p>
        </w:tc>
        <w:tc>
          <w:tcPr>
            <w:tcW w:type="dxa" w:w="3744"/>
          </w:tcPr>
          <w:p>
            <w:r>
              <w:rPr>
                <w:sz w:val="18"/>
              </w:rPr>
              <w:t>Protect the recovery: secure top-decile customers with service SLAs.</w:t>
            </w:r>
          </w:p>
        </w:tc>
        <w:tc>
          <w:tcPr>
            <w:tcW w:type="dxa" w:w="1008"/>
          </w:tcPr>
          <w:p>
            <w:r>
              <w:rPr>
                <w:sz w:val="18"/>
              </w:rPr>
              <w:t>high</w:t>
            </w:r>
          </w:p>
        </w:tc>
        <w:tc>
          <w:tcPr>
            <w:tcW w:type="dxa" w:w="1008"/>
          </w:tcPr>
          <w:p>
            <w:r>
              <w:rPr>
                <w:sz w:val="18"/>
              </w:rPr>
              <w:t>low</w:t>
            </w:r>
          </w:p>
        </w:tc>
        <w:tc>
          <w:tcPr>
            <w:tcW w:type="dxa" w:w="864"/>
          </w:tcPr>
          <w:p>
            <w:r>
              <w:rPr>
                <w:sz w:val="18"/>
              </w:rPr>
              <w:t>65%</w:t>
            </w:r>
          </w:p>
        </w:tc>
        <w:tc>
          <w:tcPr>
            <w:tcW w:type="dxa" w:w="2736"/>
          </w:tcPr>
          <w:p>
            <w:r>
              <w:rPr>
                <w:sz w:val="18"/>
              </w:rPr>
              <w:t>high impact on sales</w:t>
            </w:r>
          </w:p>
        </w:tc>
      </w:tr>
      <w:tr>
        <w:tc>
          <w:tcPr>
            <w:tcW w:type="dxa" w:w="432"/>
          </w:tcPr>
          <w:p>
            <w:r>
              <w:rPr>
                <w:sz w:val="18"/>
              </w:rPr>
              <w:t>2</w:t>
            </w:r>
          </w:p>
        </w:tc>
        <w:tc>
          <w:tcPr>
            <w:tcW w:type="dxa" w:w="3744"/>
          </w:tcPr>
          <w:p>
            <w:r>
              <w:rPr>
                <w:sz w:val="18"/>
              </w:rPr>
              <w:t>Open annual rate/scheme negotiations with the top-3 suppliers.</w:t>
            </w:r>
          </w:p>
        </w:tc>
        <w:tc>
          <w:tcPr>
            <w:tcW w:type="dxa" w:w="1008"/>
          </w:tcPr>
          <w:p>
            <w:r>
              <w:rPr>
                <w:sz w:val="18"/>
              </w:rPr>
              <w:t>high</w:t>
            </w:r>
          </w:p>
        </w:tc>
        <w:tc>
          <w:tcPr>
            <w:tcW w:type="dxa" w:w="1008"/>
          </w:tcPr>
          <w:p>
            <w:r>
              <w:rPr>
                <w:sz w:val="18"/>
              </w:rPr>
              <w:t>low</w:t>
            </w:r>
          </w:p>
        </w:tc>
        <w:tc>
          <w:tcPr>
            <w:tcW w:type="dxa" w:w="864"/>
          </w:tcPr>
          <w:p>
            <w:r>
              <w:rPr>
                <w:sz w:val="18"/>
              </w:rPr>
              <w:t>65%</w:t>
            </w:r>
          </w:p>
        </w:tc>
        <w:tc>
          <w:tcPr>
            <w:tcW w:type="dxa" w:w="2736"/>
          </w:tcPr>
          <w:p>
            <w:r>
              <w:rPr>
                <w:sz w:val="18"/>
              </w:rPr>
              <w:t>up to ₹459,182 (suppliers)</w:t>
            </w:r>
          </w:p>
        </w:tc>
      </w:tr>
      <w:tr>
        <w:tc>
          <w:tcPr>
            <w:tcW w:type="dxa" w:w="432"/>
          </w:tcPr>
          <w:p>
            <w:r>
              <w:rPr>
                <w:sz w:val="18"/>
              </w:rPr>
              <w:t>3</w:t>
            </w:r>
          </w:p>
        </w:tc>
        <w:tc>
          <w:tcPr>
            <w:tcW w:type="dxa" w:w="3744"/>
          </w:tcPr>
          <w:p>
            <w:r>
              <w:rPr>
                <w:sz w:val="18"/>
              </w:rPr>
              <w:t>Hand route salesmen a weekly churn/at-risk call list to re-engage silent retailers.</w:t>
            </w:r>
          </w:p>
        </w:tc>
        <w:tc>
          <w:tcPr>
            <w:tcW w:type="dxa" w:w="1008"/>
          </w:tcPr>
          <w:p>
            <w:r>
              <w:rPr>
                <w:sz w:val="18"/>
              </w:rPr>
              <w:t>high</w:t>
            </w:r>
          </w:p>
        </w:tc>
        <w:tc>
          <w:tcPr>
            <w:tcW w:type="dxa" w:w="1008"/>
          </w:tcPr>
          <w:p>
            <w:r>
              <w:rPr>
                <w:sz w:val="18"/>
              </w:rPr>
              <w:t>low</w:t>
            </w:r>
          </w:p>
        </w:tc>
        <w:tc>
          <w:tcPr>
            <w:tcW w:type="dxa" w:w="864"/>
          </w:tcPr>
          <w:p>
            <w:r>
              <w:rPr>
                <w:sz w:val="18"/>
              </w:rPr>
              <w:t>60%</w:t>
            </w:r>
          </w:p>
        </w:tc>
        <w:tc>
          <w:tcPr>
            <w:tcW w:type="dxa" w:w="2736"/>
          </w:tcPr>
          <w:p>
            <w:r>
              <w:rPr>
                <w:sz w:val="18"/>
              </w:rPr>
              <w:t>up to ₹13,776,759 (customers)</w:t>
            </w:r>
          </w:p>
        </w:tc>
      </w:tr>
      <w:tr>
        <w:tc>
          <w:tcPr>
            <w:tcW w:type="dxa" w:w="432"/>
          </w:tcPr>
          <w:p>
            <w:r>
              <w:rPr>
                <w:sz w:val="18"/>
              </w:rPr>
              <w:t>4</w:t>
            </w:r>
          </w:p>
        </w:tc>
        <w:tc>
          <w:tcPr>
            <w:tcW w:type="dxa" w:w="3744"/>
          </w:tcPr>
          <w:p>
            <w:r>
              <w:rPr>
                <w:sz w:val="18"/>
              </w:rPr>
              <w:t>Track the cash conversion cycle monthly to keep working capital from outrunning profit.</w:t>
            </w:r>
          </w:p>
        </w:tc>
        <w:tc>
          <w:tcPr>
            <w:tcW w:type="dxa" w:w="1008"/>
          </w:tcPr>
          <w:p>
            <w:r>
              <w:rPr>
                <w:sz w:val="18"/>
              </w:rPr>
              <w:t>medium</w:t>
            </w:r>
          </w:p>
        </w:tc>
        <w:tc>
          <w:tcPr>
            <w:tcW w:type="dxa" w:w="1008"/>
          </w:tcPr>
          <w:p>
            <w:r>
              <w:rPr>
                <w:sz w:val="18"/>
              </w:rPr>
              <w:t>low</w:t>
            </w:r>
          </w:p>
        </w:tc>
        <w:tc>
          <w:tcPr>
            <w:tcW w:type="dxa" w:w="864"/>
          </w:tcPr>
          <w:p>
            <w:r>
              <w:rPr>
                <w:sz w:val="18"/>
              </w:rPr>
              <w:t>60%</w:t>
            </w:r>
          </w:p>
        </w:tc>
        <w:tc>
          <w:tcPr>
            <w:tcW w:type="dxa" w:w="2736"/>
          </w:tcPr>
          <w:p>
            <w:r>
              <w:rPr>
                <w:sz w:val="18"/>
              </w:rPr>
              <w:t>medium impact on cash flow</w:t>
            </w:r>
          </w:p>
        </w:tc>
      </w:tr>
      <w:tr>
        <w:tc>
          <w:tcPr>
            <w:tcW w:type="dxa" w:w="432"/>
          </w:tcPr>
          <w:p>
            <w:r>
              <w:rPr>
                <w:sz w:val="18"/>
              </w:rPr>
              <w:t>5</w:t>
            </w:r>
          </w:p>
        </w:tc>
        <w:tc>
          <w:tcPr>
            <w:tcW w:type="dxa" w:w="3744"/>
          </w:tcPr>
          <w:p>
            <w:r>
              <w:rPr>
                <w:sz w:val="18"/>
              </w:rPr>
              <w:t>Negotiate longer supplier credit to extend creditor days where relationships allow.</w:t>
            </w:r>
          </w:p>
        </w:tc>
        <w:tc>
          <w:tcPr>
            <w:tcW w:type="dxa" w:w="1008"/>
          </w:tcPr>
          <w:p>
            <w:r>
              <w:rPr>
                <w:sz w:val="18"/>
              </w:rPr>
              <w:t>medium</w:t>
            </w:r>
          </w:p>
        </w:tc>
        <w:tc>
          <w:tcPr>
            <w:tcW w:type="dxa" w:w="1008"/>
          </w:tcPr>
          <w:p>
            <w:r>
              <w:rPr>
                <w:sz w:val="18"/>
              </w:rPr>
              <w:t>low</w:t>
            </w:r>
          </w:p>
        </w:tc>
        <w:tc>
          <w:tcPr>
            <w:tcW w:type="dxa" w:w="864"/>
          </w:tcPr>
          <w:p>
            <w:r>
              <w:rPr>
                <w:sz w:val="18"/>
              </w:rPr>
              <w:t>55%</w:t>
            </w:r>
          </w:p>
        </w:tc>
        <w:tc>
          <w:tcPr>
            <w:tcW w:type="dxa" w:w="2736"/>
          </w:tcPr>
          <w:p>
            <w:r>
              <w:rPr>
                <w:sz w:val="18"/>
              </w:rPr>
              <w:t>medium impact on working capital</w:t>
            </w:r>
          </w:p>
        </w:tc>
      </w:tr>
      <w:tr>
        <w:tc>
          <w:tcPr>
            <w:tcW w:type="dxa" w:w="432"/>
          </w:tcPr>
          <w:p>
            <w:r>
              <w:rPr>
                <w:sz w:val="18"/>
              </w:rPr>
              <w:t>6</w:t>
            </w:r>
          </w:p>
        </w:tc>
        <w:tc>
          <w:tcPr>
            <w:tcW w:type="dxa" w:w="3744"/>
          </w:tcPr>
          <w:p>
            <w:r>
              <w:rPr>
                <w:sz w:val="18"/>
              </w:rPr>
              <w:t>Set reorder levels by SKU velocity to cut slow-mover stock.</w:t>
            </w:r>
          </w:p>
        </w:tc>
        <w:tc>
          <w:tcPr>
            <w:tcW w:type="dxa" w:w="1008"/>
          </w:tcPr>
          <w:p>
            <w:r>
              <w:rPr>
                <w:sz w:val="18"/>
              </w:rPr>
              <w:t>high</w:t>
            </w:r>
          </w:p>
        </w:tc>
        <w:tc>
          <w:tcPr>
            <w:tcW w:type="dxa" w:w="1008"/>
          </w:tcPr>
          <w:p>
            <w:r>
              <w:rPr>
                <w:sz w:val="18"/>
              </w:rPr>
              <w:t>medium</w:t>
            </w:r>
          </w:p>
        </w:tc>
        <w:tc>
          <w:tcPr>
            <w:tcW w:type="dxa" w:w="864"/>
          </w:tcPr>
          <w:p>
            <w:r>
              <w:rPr>
                <w:sz w:val="18"/>
              </w:rPr>
              <w:t>60%</w:t>
            </w:r>
          </w:p>
        </w:tc>
        <w:tc>
          <w:tcPr>
            <w:tcW w:type="dxa" w:w="2736"/>
          </w:tcPr>
          <w:p>
            <w:r>
              <w:rPr>
                <w:sz w:val="18"/>
              </w:rPr>
              <w:t>up to ₹2,241,799 (inventory)</w:t>
            </w:r>
          </w:p>
        </w:tc>
      </w:tr>
      <w:tr>
        <w:tc>
          <w:tcPr>
            <w:tcW w:type="dxa" w:w="432"/>
          </w:tcPr>
          <w:p>
            <w:r>
              <w:rPr>
                <w:sz w:val="18"/>
              </w:rPr>
              <w:t>7</w:t>
            </w:r>
          </w:p>
        </w:tc>
        <w:tc>
          <w:tcPr>
            <w:tcW w:type="dxa" w:w="3744"/>
          </w:tcPr>
          <w:p>
            <w:r>
              <w:rPr>
                <w:sz w:val="18"/>
              </w:rPr>
              <w:t>Focus cash-cycle improvement on inventory, the dominant component.</w:t>
            </w:r>
          </w:p>
        </w:tc>
        <w:tc>
          <w:tcPr>
            <w:tcW w:type="dxa" w:w="1008"/>
          </w:tcPr>
          <w:p>
            <w:r>
              <w:rPr>
                <w:sz w:val="18"/>
              </w:rPr>
              <w:t>high</w:t>
            </w:r>
          </w:p>
        </w:tc>
        <w:tc>
          <w:tcPr>
            <w:tcW w:type="dxa" w:w="1008"/>
          </w:tcPr>
          <w:p>
            <w:r>
              <w:rPr>
                <w:sz w:val="18"/>
              </w:rPr>
              <w:t>medium</w:t>
            </w:r>
          </w:p>
        </w:tc>
        <w:tc>
          <w:tcPr>
            <w:tcW w:type="dxa" w:w="864"/>
          </w:tcPr>
          <w:p>
            <w:r>
              <w:rPr>
                <w:sz w:val="18"/>
              </w:rPr>
              <w:t>60%</w:t>
            </w:r>
          </w:p>
        </w:tc>
        <w:tc>
          <w:tcPr>
            <w:tcW w:type="dxa" w:w="2736"/>
          </w:tcPr>
          <w:p>
            <w:r>
              <w:rPr>
                <w:sz w:val="18"/>
              </w:rPr>
              <w:t>high impact on working capital</w:t>
            </w:r>
          </w:p>
        </w:tc>
      </w:tr>
      <w:tr>
        <w:tc>
          <w:tcPr>
            <w:tcW w:type="dxa" w:w="432"/>
          </w:tcPr>
          <w:p>
            <w:r>
              <w:rPr>
                <w:sz w:val="18"/>
              </w:rPr>
              <w:t>8</w:t>
            </w:r>
          </w:p>
        </w:tc>
        <w:tc>
          <w:tcPr>
            <w:tcW w:type="dxa" w:w="3744"/>
          </w:tcPr>
          <w:p>
            <w:r>
              <w:rPr>
                <w:sz w:val="18"/>
              </w:rPr>
              <w:t>Review discount policy on the high-volume, low-margin SKUs identified.</w:t>
            </w:r>
          </w:p>
        </w:tc>
        <w:tc>
          <w:tcPr>
            <w:tcW w:type="dxa" w:w="1008"/>
          </w:tcPr>
          <w:p>
            <w:r>
              <w:rPr>
                <w:sz w:val="18"/>
              </w:rPr>
              <w:t>high</w:t>
            </w:r>
          </w:p>
        </w:tc>
        <w:tc>
          <w:tcPr>
            <w:tcW w:type="dxa" w:w="1008"/>
          </w:tcPr>
          <w:p>
            <w:r>
              <w:rPr>
                <w:sz w:val="18"/>
              </w:rPr>
              <w:t>medium</w:t>
            </w:r>
          </w:p>
        </w:tc>
        <w:tc>
          <w:tcPr>
            <w:tcW w:type="dxa" w:w="864"/>
          </w:tcPr>
          <w:p>
            <w:r>
              <w:rPr>
                <w:sz w:val="18"/>
              </w:rPr>
              <w:t>55%</w:t>
            </w:r>
          </w:p>
        </w:tc>
        <w:tc>
          <w:tcPr>
            <w:tcW w:type="dxa" w:w="2736"/>
          </w:tcPr>
          <w:p>
            <w:r>
              <w:rPr>
                <w:sz w:val="18"/>
              </w:rPr>
              <w:t>up to ₹106,823 (products)</w:t>
            </w:r>
          </w:p>
        </w:tc>
      </w:tr>
      <w:tr>
        <w:tc>
          <w:tcPr>
            <w:tcW w:type="dxa" w:w="432"/>
          </w:tcPr>
          <w:p>
            <w:r>
              <w:rPr>
                <w:sz w:val="18"/>
              </w:rPr>
              <w:t>9</w:t>
            </w:r>
          </w:p>
        </w:tc>
        <w:tc>
          <w:tcPr>
            <w:tcW w:type="dxa" w:w="3744"/>
          </w:tcPr>
          <w:p>
            <w:r>
              <w:rPr>
                <w:sz w:val="18"/>
              </w:rPr>
              <w:t>Run a product-level margin review to prune chronically low-margin SKUs.</w:t>
            </w:r>
          </w:p>
        </w:tc>
        <w:tc>
          <w:tcPr>
            <w:tcW w:type="dxa" w:w="1008"/>
          </w:tcPr>
          <w:p>
            <w:r>
              <w:rPr>
                <w:sz w:val="18"/>
              </w:rPr>
              <w:t>medium</w:t>
            </w:r>
          </w:p>
        </w:tc>
        <w:tc>
          <w:tcPr>
            <w:tcW w:type="dxa" w:w="1008"/>
          </w:tcPr>
          <w:p>
            <w:r>
              <w:rPr>
                <w:sz w:val="18"/>
              </w:rPr>
              <w:t>medium</w:t>
            </w:r>
          </w:p>
        </w:tc>
        <w:tc>
          <w:tcPr>
            <w:tcW w:type="dxa" w:w="864"/>
          </w:tcPr>
          <w:p>
            <w:r>
              <w:rPr>
                <w:sz w:val="18"/>
              </w:rPr>
              <w:t>60%</w:t>
            </w:r>
          </w:p>
        </w:tc>
        <w:tc>
          <w:tcPr>
            <w:tcW w:type="dxa" w:w="2736"/>
          </w:tcPr>
          <w:p>
            <w:r>
              <w:rPr>
                <w:sz w:val="18"/>
              </w:rPr>
              <w:t>medium impact on profitability</w:t>
            </w:r>
          </w:p>
        </w:tc>
      </w:tr>
      <w:tr>
        <w:tc>
          <w:tcPr>
            <w:tcW w:type="dxa" w:w="432"/>
          </w:tcPr>
          <w:p>
            <w:r>
              <w:rPr>
                <w:sz w:val="18"/>
              </w:rPr>
              <w:t>10</w:t>
            </w:r>
          </w:p>
        </w:tc>
        <w:tc>
          <w:tcPr>
            <w:tcW w:type="dxa" w:w="3744"/>
          </w:tcPr>
          <w:p>
            <w:r>
              <w:rPr>
                <w:sz w:val="18"/>
              </w:rPr>
              <w:t>Trigger proactive outreach when a retailer crosses its at-risk gap threshold.</w:t>
            </w:r>
          </w:p>
        </w:tc>
        <w:tc>
          <w:tcPr>
            <w:tcW w:type="dxa" w:w="1008"/>
          </w:tcPr>
          <w:p>
            <w:r>
              <w:rPr>
                <w:sz w:val="18"/>
              </w:rPr>
              <w:t>medium</w:t>
            </w:r>
          </w:p>
        </w:tc>
        <w:tc>
          <w:tcPr>
            <w:tcW w:type="dxa" w:w="1008"/>
          </w:tcPr>
          <w:p>
            <w:r>
              <w:rPr>
                <w:sz w:val="18"/>
              </w:rPr>
              <w:t>medium</w:t>
            </w:r>
          </w:p>
        </w:tc>
        <w:tc>
          <w:tcPr>
            <w:tcW w:type="dxa" w:w="864"/>
          </w:tcPr>
          <w:p>
            <w:r>
              <w:rPr>
                <w:sz w:val="18"/>
              </w:rPr>
              <w:t>55%</w:t>
            </w:r>
          </w:p>
        </w:tc>
        <w:tc>
          <w:tcPr>
            <w:tcW w:type="dxa" w:w="2736"/>
          </w:tcPr>
          <w:p>
            <w:r>
              <w:rPr>
                <w:sz w:val="18"/>
              </w:rPr>
              <w:t>up to ₹13,776,759 (customers)</w:t>
            </w:r>
          </w:p>
        </w:tc>
      </w:tr>
    </w:tbl>
    <w:p/>
    <w:p>
      <w:r>
        <w:br w:type="page"/>
      </w:r>
    </w:p>
    <w:p>
      <w:pPr>
        <w:pStyle w:val="Heading1"/>
      </w:pPr>
      <w:r>
        <w:rPr>
          <w:color w:val="1F3A5F"/>
        </w:rPr>
        <w:t>Appendix — method &amp; assumptions</w:t>
      </w:r>
    </w:p>
    <w:p>
      <w:r>
        <w:rPr>
          <w:b w:val="0"/>
          <w:i w:val="0"/>
          <w:color w:val="555555"/>
          <w:sz w:val="18"/>
        </w:rPr>
        <w:t>The Business Health Index is a weighted average of KPI health scores; thresholds and weights are documented in the codebase (KPI registry and health-index profiles) and tuned to route-based pharma distribution. Figures reconcile to the ERP totals to the rupee. Forecasts (separate strategic report) carry confidence intervals and backtested accuracy. Customer churn is measured by recency relative to each retailer's own ordering cadence.</w:t>
      </w:r>
    </w:p>
    <w:p>
      <w:r>
        <w:rPr>
          <w:b w:val="0"/>
          <w:i w:val="0"/>
          <w:color w:val="555555"/>
          <w:sz w:val="18"/>
        </w:rPr>
        <w:t>Components and scores: revenue growth +6.4% → 72 · profitability 5.15% → 72 · working capital 28 days → 86 · collections 8 days → 100 · inventory efficiency 7.8x → 76 · cash flow 6.90% → 100 · supplier dependency 48.7% → 75 · customer concentration 32.3% → 51 · customer retention 57.2% →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