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b/>
          <w:bCs/>
          <w:color w:val="1B4F7A"/>
          <w:sz w:val="44"/>
          <w:szCs w:val="44"/>
        </w:rPr>
        <w:t xml:space="preserve">THE GRAIL COLLECTOR</w:t>
      </w:r>
    </w:p>
    <w:p>
      <w:pPr>
        <w:spacing w:after="300"/>
        <w:jc w:val="center"/>
      </w:pPr>
      <w:r>
        <w:rPr>
          <w:sz w:val="32"/>
          <w:szCs w:val="32"/>
        </w:rPr>
        <w:t xml:space="preserve">Roadmap Rev I — Completion Status (updated, Rev 4.2)</w:t>
      </w:r>
    </w:p>
    <w:p>
      <w:pPr>
        <w:spacing w:after="420"/>
        <w:jc w:val="center"/>
      </w:pPr>
      <w:r>
        <w:rPr>
          <w:i/>
          <w:iCs/>
          <w:color w:val="4A4D52"/>
          <w:sz w:val="21"/>
          <w:szCs w:val="21"/>
        </w:rPr>
        <w:t xml:space="preserve">Item-by-item status of the Design and Simulation Roadmap (Rev I, corrected) after the CFD phase and Stages 3, 5, 6 and 7 (ANN, NSGA-II, system model, annual analysis). The roadmap itself is not rewritten; this document records what was done, how, and what remains.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Item</w:t>
            </w:r>
          </w:p>
        </w:tc>
        <w:tc>
          <w:tcPr>
            <w:tcW w:type="dxa" w:w="655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Roadmap version</w:t>
            </w:r>
          </w:p>
        </w:tc>
        <w:tc>
          <w:tcPr>
            <w:tcW w:type="dxa" w:w="6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Rev I (corrected), 64 pages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Phases closed</w:t>
            </w:r>
          </w:p>
        </w:tc>
        <w:tc>
          <w:tcPr>
            <w:tcW w:type="dxa" w:w="655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CFD (Sections 4–8, 12, 15); ANN (10); system model and annual analysis (11, via Python, GNU Octave, Scilab Xcos and MATLAB/Simulink, all agreeing)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Not done</w:t>
            </w:r>
          </w:p>
        </w:tc>
        <w:tc>
          <w:tcPr>
            <w:tcW w:type="dxa" w:w="6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Section 9 topology optimisation (replaced by NSGA-II parameter optimisation on the ANN surrogate)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Final dataset</w:t>
            </w:r>
          </w:p>
        </w:tc>
        <w:tc>
          <w:tcPr>
            <w:tcW w:type="dxa" w:w="655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GRAIL_CFD_dataset_FINAL_rev4.2.csv — 300 cases, audited (Rev 4.1 data, three columns renamed)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Main deviation</w:t>
            </w:r>
          </w:p>
        </w:tc>
        <w:tc>
          <w:tcPr>
            <w:tcW w:type="dxa" w:w="65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COMSOL 6.2 → OpenFOAM v1912 (3-D) + GRAIL-CHT reduced-order conjugate model</w:t>
            </w:r>
          </w:p>
        </w:tc>
      </w:tr>
      <w:tr>
        <w:trPr>
          <w:cantSplit/>
          <w:tblHeader w:val="false"/>
        </w:trPr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Experimental validation</w:t>
            </w:r>
          </w:p>
        </w:tc>
        <w:tc>
          <w:tcPr>
            <w:tcW w:type="dxa" w:w="655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None of the present collector. V5 COMPLETE (method/component level): 16 papers screened; method checks against Del Col 2013 (roll-bond: a1, a2 within uncertainty, η0 +6–8 %) and Beikircher 2015 (TIM front loss within measured range; VIP rear loss optimistic)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0"/>
      </w:pPr>
      <w:r>
        <w:t xml:space="preserve">1. Section-by-section status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2699"/>
        <w:gridCol w:w="1542"/>
        <w:gridCol w:w="5397"/>
      </w:tblGrid>
      <w:tr>
        <w:trPr>
          <w:cantSplit/>
          <w:tblHeader/>
        </w:trPr>
        <w:tc>
          <w:tcPr>
            <w:tcW w:type="dxa" w:w="2699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Roadmap section</w:t>
            </w:r>
          </w:p>
        </w:tc>
        <w:tc>
          <w:tcPr>
            <w:tcW w:type="dxa" w:w="154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Status</w:t>
            </w:r>
          </w:p>
        </w:tc>
        <w:tc>
          <w:tcPr>
            <w:tcW w:type="dxa" w:w="539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What was done / why not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1–3 Thesis, gaps, prior art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REFERENCE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Background; not a work item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4 Design parameter set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USED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Groups A, B, E sampled: G_T, T_in, T_amb, v_wind, ṁ, bridge, G, λ_G, f_interdig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 Architecture, BOM, properties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USED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Material database recorded; V6 supplier datasheets not obtained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6 Fusion 360 modelling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Grail_Collector_2.step, 129 solids; Gate A 12/12 invariants PASS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7 Fusion → COMSOL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REPLACED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Direct NURBS evaluation and structured hex meshing for OpenFOAM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8.1–8.6 CFD methodology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(deviation)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OpenFOAM simpleFoam + chtMultiRegionSimpleFoam (frozenFlow); GRAIL-CHT for the campaign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8.7 Validation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PARTIAL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Code-to-code (3-D conjugate) and code-to-correlation (H1 Nu, HWB); Gunjo 2017 rejected; Sun et al. not obtained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8.8 Campaign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300 LHS cases, 0 rejected (Rev 4.1); log fields as specified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9 Topology optimisation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DONE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Replaced by NSGA-II parameter optimisation on the ANN surrogate (Stage 5); 8 optima re-run in GRAIL-CHT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10 ANN / hybrid ANN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Stage 3: 10-seed MLP ensemble, test R² 0.9994–0.9998 (η), GPR benchmark, SHAP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11 MATLAB/Simulink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(deviation)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Stage 6/7 system model in Python, GNU Octave (PASS vs Python) and Scilab Xcos block diagram (0.04 % vs Octave); Simulink V20 run in MATLAB Online by the user: all 4 cases PASS vs Xcos (solar heat within 0.05 %)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12 Results and figures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MOSTLY DONE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See Section 3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13 Patent strategy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ACTIONED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Engineering cross-check only; V1, V10 open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14 Schedule and risk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REFERENCE</w:t>
            </w:r>
          </w:p>
        </w:tc>
        <w:tc>
          <w:tcPr>
            <w:tcW w:type="dxa" w:w="539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15 Rev H corrections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5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Converging geometry (C1) used throughout; C7, C8 open (manufacturing dimensions)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2. Verification register V1–V10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578"/>
        <w:gridCol w:w="2699"/>
        <w:gridCol w:w="2120"/>
        <w:gridCol w:w="4241"/>
      </w:tblGrid>
      <w:tr>
        <w:trPr>
          <w:cantSplit/>
          <w:tblHeader/>
        </w:trPr>
        <w:tc>
          <w:tcPr>
            <w:tcW w:type="dxa" w:w="578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#</w:t>
            </w:r>
          </w:p>
        </w:tc>
        <w:tc>
          <w:tcPr>
            <w:tcW w:type="dxa" w:w="2699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Item</w:t>
            </w:r>
          </w:p>
        </w:tc>
        <w:tc>
          <w:tcPr>
            <w:tcW w:type="dxa" w:w="212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Status</w:t>
            </w:r>
          </w:p>
        </w:tc>
        <w:tc>
          <w:tcPr>
            <w:tcW w:type="dxa" w:w="4241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Evidence / note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V1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Prior-art null results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FIRST PASS DONE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Web first pass (20_Patent_prior_art): no document found combining roll-bond + converging channels (+ TIM/PCM/VIP); inventive step weak–moderate; professional search on Espacenet/Patentscope/InPASS pending, only if filing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V2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COMSOL licence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424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COMSOL not used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V3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MATLAB licence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Section 11 in GNU Octave, Scilab Xcos and MATLAB/Simulink; the user ran GRAIL_simulink_complete.m in MATLAB Online and reported the result as matching (PASS vs Xcos); V20 printed output archived in 17_Simulink_MATLAB_model/V20_run_record.md (all 4 cases PASS)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V4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COMSOL feature names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424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OpenFOAM v1912; every solver option verified in the installed binary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V5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Baseline validation &lt; 8 %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(partial pass, method level)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16 papers screened (folder 11). Del Col 2013 method check (folder 19): heat loss within test uncertainty, η0 over-predicted 6–8 %. Beikircher 2015 component check (folder 21): TIM front loss within measured range; catalogue VIP conductivity optimistic (a1 2.1 → 2.3–2.5 W/m²K). η0 within 8 % (+6.0 / +7.8 %); curve within 8 % up to Tm* 0.02 m²K/W. No experimental validation of the present collector is claimed. Closed by the user; record: 11_Validation_V5/V5_FINAL_closure.md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V6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Supplier datasheets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OPEN</w:t>
            </w:r>
          </w:p>
        </w:tc>
        <w:tc>
          <w:tcPr>
            <w:tcW w:type="dxa" w:w="424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Literature properties used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V7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Counter-current effect on R4, matched mean T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GRAIL-CHT at matched plate mean 320/330/340 K (29_v7): Δη = −0.001 points, ΔR4 = +0.04 %, plate std +8 to +11 % for alternating; alternating needs ~15 K cooler inlet for the same plate temperature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V8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η0, a1, a2 fit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24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Stage 6 ISO 9806 fit on 22 GRAIL-CHT runs: alternating η0 0.597, a1 2.00 W/m²K; parallel η0 0.637, a1 2.10 W/m²K; held-out errors ≤ 0.24 points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V9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TO geometry re-simulated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 TO</w:t>
            </w:r>
          </w:p>
        </w:tc>
      </w:tr>
      <w:tr>
        <w:trPr>
          <w:cantSplit/>
          <w:tblHeader w:val="false"/>
        </w:trPr>
        <w:tc>
          <w:tcPr>
            <w:tcW w:type="dxa" w:w="578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V10</w:t>
            </w:r>
          </w:p>
        </w:tc>
        <w:tc>
          <w:tcPr>
            <w:tcW w:type="dxa" w:w="2699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Patent-agent review</w:t>
            </w:r>
          </w:p>
        </w:tc>
        <w:tc>
          <w:tcPr>
            <w:tcW w:type="dxa" w:w="2120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OPEN</w:t>
            </w:r>
          </w:p>
        </w:tc>
        <w:tc>
          <w:tcPr>
            <w:tcW w:type="dxa" w:w="4241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3. Figures (roadmap 12.1)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867"/>
        <w:gridCol w:w="3084"/>
        <w:gridCol w:w="1542"/>
        <w:gridCol w:w="4145"/>
      </w:tblGrid>
      <w:tr>
        <w:trPr>
          <w:cantSplit/>
          <w:tblHeader/>
        </w:trPr>
        <w:tc>
          <w:tcPr>
            <w:tcW w:type="dxa" w:w="867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Figure</w:t>
            </w:r>
          </w:p>
        </w:tc>
        <w:tc>
          <w:tcPr>
            <w:tcW w:type="dxa" w:w="154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Status</w:t>
            </w:r>
          </w:p>
        </w:tc>
        <w:tc>
          <w:tcPr>
            <w:tcW w:type="dxa" w:w="414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Delivered as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F1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Grid independence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F01 (3-D axial), F02 (cross-section Nu), F04 (ROM axial)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F2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Validation curve vs Gunjo/Sun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POSSIBLE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Reference rejected; F10 Nu envelope and F05 ROM-vs-3-D instead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F3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Efficiency curves conventional vs GRAIL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PARTIAL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GRAIL curves done (F18, Stage 6); no conventional collector modelled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F4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Geometry family incl. TO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PARTIAL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CAD report figures; no TO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F5 / F8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Temperature contours; counter-current side by side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F09 3-D rear-surface maps, same scale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F6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Velocity field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CAD/CFD report figures S3, S6; videos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F7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Plate/fluid T along flow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F08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F9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Temperature histogram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F09b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F10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R4 vs bridge width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F10b (T_R4 − T_mean vs bridge)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F11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Loss breakdown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F11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F12</w:t>
            </w:r>
          </w:p>
        </w:tc>
        <w:tc>
          <w:tcPr>
            <w:tcW w:type="dxa" w:w="30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Correlation heatmap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F12</w:t>
            </w:r>
          </w:p>
        </w:tc>
      </w:tr>
      <w:tr>
        <w:trPr>
          <w:cantSplit/>
          <w:tblHeader w:val="false"/>
        </w:trPr>
        <w:tc>
          <w:tcPr>
            <w:tcW w:type="dxa" w:w="867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F13 / F14</w:t>
            </w:r>
          </w:p>
        </w:tc>
        <w:tc>
          <w:tcPr>
            <w:tcW w:type="dxa" w:w="308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Grading result and penalty</w:t>
            </w:r>
          </w:p>
        </w:tc>
        <w:tc>
          <w:tcPr>
            <w:tcW w:type="dxa" w:w="154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</w:t>
            </w:r>
          </w:p>
        </w:tc>
        <w:tc>
          <w:tcPr>
            <w:tcW w:type="dxa" w:w="414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F13_F14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4. The three headline numbers (roadmap 12.3)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482"/>
        <w:gridCol w:w="3662"/>
        <w:gridCol w:w="5494"/>
      </w:tblGrid>
      <w:tr>
        <w:trPr>
          <w:cantSplit/>
          <w:tblHeader/>
        </w:trPr>
        <w:tc>
          <w:tcPr>
            <w:tcW w:type="dxa" w:w="48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#</w:t>
            </w:r>
          </w:p>
        </w:tc>
        <w:tc>
          <w:tcPr>
            <w:tcW w:type="dxa" w:w="3662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Roadmap sentence</w:t>
            </w:r>
          </w:p>
        </w:tc>
        <w:tc>
          <w:tcPr>
            <w:tcW w:type="dxa" w:w="5494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Answer from the closed CFD phase</w:t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Counter-current reduced R4 by __ % at unchanged mean T, raising η by __ points</w:t>
            </w:r>
          </w:p>
        </w:tc>
        <w:tc>
          <w:tcPr>
            <w:tcW w:type="dxa" w:w="54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ANSWERED (V7): at matched mean plate temperature counter-current changes R4 by +0.04 % (not a reduction) and η by −0.001 points (no change); plate std is 8–11 % higher. At unchanged inputs alternating runs +13.9 K hotter and −7.3 % less efficient because it needs a ~15 K cooler inlet to reach the same plate temperature</w:t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</w:t>
            </w:r>
          </w:p>
        </w:tc>
        <w:tc>
          <w:tcPr>
            <w:tcW w:type="dxa" w:w="3662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TO absorber delivered __ % more</w:t>
            </w:r>
          </w:p>
        </w:tc>
        <w:tc>
          <w:tcPr>
            <w:tcW w:type="dxa" w:w="5494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NOT APPLICABLE — no TO</w:t>
            </w:r>
          </w:p>
        </w:tc>
      </w:tr>
      <w:tr>
        <w:trPr>
          <w:cantSplit/>
          <w:tblHeader w:val="false"/>
        </w:trPr>
        <w:tc>
          <w:tcPr>
            <w:tcW w:type="dxa" w:w="4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Annual kWh/m²/year</w:t>
            </w:r>
          </w:p>
        </w:tc>
        <w:tc>
          <w:tcPr>
            <w:tcW w:type="dxa" w:w="54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(Stage 7, Berhampur TMY): collector yield at 40 °C inlet 1,030 (parallel) / 965 (alternating) kWh/m²/yr; POA 1,976 kWh/m²/yr</w:t>
            </w:r>
          </w:p>
        </w:tc>
      </w:tr>
    </w:tbl>
    <w:tbl>
      <w:tblPr>
        <w:tblW w:type="dxa" w:w="9638"/>
        <w:tblBorders>
          <w:top w:val="single" w:color="C0522D" w:sz="6"/>
          <w:left w:val="single" w:color="C0522D" w:sz="6"/>
          <w:bottom w:val="single" w:color="C0522D" w:sz="6"/>
          <w:right w:val="single" w:color="C0522D" w:sz="6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DF2E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Consequence for Filing 1</w:t>
            </w:r>
          </w:p>
        </w:tc>
      </w:tr>
      <w:tr>
        <w:tc>
          <w:tcPr>
            <w:tcW w:type="dxa" w:w="9638"/>
            <w:shd w:fill="FFFB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b w:val="false"/>
                <w:bCs w:val="false"/>
                <w:color w:val="1F2124"/>
                <w:sz w:val="19"/>
                <w:szCs w:val="19"/>
              </w:rPr>
              <w:t xml:space="preserve">The roadmap (15.8) warns that Filing 1 is a claim about a flatter temperature field. The corrected CFD shows a flatter field only at high flow; at matched mean plate temperature (V7) the arrangements have the same efficiency and alternating is slightly less uniform at the design flow. Claim language must match this evidence.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5. Roadmap 15.8 corrected sequence</w:t>
      </w:r>
    </w:p>
    <w:tbl>
      <w:tblPr>
        <w:tblW w:type="dxa" w:w="9638"/>
        <w:tblBorders>
          <w:top w:val="single" w:color="C9CCD1" w:sz="4"/>
          <w:left w:val="single" w:color="C9CCD1" w:sz="4"/>
          <w:bottom w:val="single" w:color="C9CCD1" w:sz="4"/>
          <w:right w:val="single" w:color="C9CCD1" w:sz="4"/>
          <w:insideH w:val="single" w:color="C9CCD1" w:sz="2"/>
          <w:insideV w:val="single" w:color="C9CCD1" w:sz="2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Step</w:t>
            </w:r>
          </w:p>
        </w:tc>
        <w:tc>
          <w:tcPr>
            <w:tcW w:type="dxa" w:w="5783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b/>
                <w:bCs/>
                <w:color w:val="1F2124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1 Re-export STEP with suppressions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(as direct geometry evaluation)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2 Isothermal mass check within 0.1 %</w:t>
            </w:r>
          </w:p>
        </w:tc>
        <w:tc>
          <w:tcPr>
            <w:tcW w:type="dxa" w:w="578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— mass imbalance ~1e-9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3 Reynolds 23.9–198.8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— Rev 4.1 Re_in 21.8–151.3 (correct non-circular definition; low end below range because ṁ bound 1.0 g/s)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4 Validation gate 8.7</w:t>
            </w:r>
          </w:p>
        </w:tc>
        <w:tc>
          <w:tcPr>
            <w:tcW w:type="dxa" w:w="578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PASSED at method level (V5); no test of the present collector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5 Variants; counter-current at matched mean T</w:t>
            </w:r>
          </w:p>
        </w:tc>
        <w:tc>
          <w:tcPr>
            <w:tcW w:type="dxa" w:w="57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DONE — see V7 (29_v7)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color w:val="1F2124"/>
                <w:sz w:val="19"/>
                <w:szCs w:val="19"/>
              </w:rPr>
              <w:t xml:space="preserve">6 w_bridge 20–60 mm with r_fillet 0.5–2.0 mm</w:t>
            </w:r>
          </w:p>
        </w:tc>
        <w:tc>
          <w:tcPr>
            <w:tcW w:type="dxa" w:w="5783"/>
            <w:shd w:fill="F7F9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 w:lineRule="auto"/>
              <w:jc w:val="right"/>
            </w:pPr>
            <w:r>
              <w:rPr>
                <w:color w:val="1F2124"/>
                <w:sz w:val="19"/>
                <w:szCs w:val="19"/>
              </w:rPr>
              <w:t xml:space="preserve">PARTIAL — 20–37 mm (geometric hard limit at 40 mm pitch); fillet not swept. DESIGN_REVIEW_REQUIRED</w:t>
            </w:r>
          </w:p>
        </w:tc>
      </w:tr>
    </w:tbl>
    <w:p>
      <w:pPr>
        <w:pStyle w:val="Heading1"/>
        <w:pageBreakBefore/>
        <w:spacing w:after="160" w:before="0"/>
      </w:pPr>
      <w:r>
        <w:t xml:space="preserve">6. Remaining open items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V5: closed at method/component level (Del Col 2013, Beikircher 2015). A prototype test would be needed for experimental validation of GRAIL itself. DESIGN_REVIEW_REQUIRED: use a measured in-collector VIP conductivity (0.010–0.018 W/m·K).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V1 professional search and V10 patent-agent review, only if a filing is planned (first-pass search in 20_Patent_prior_art).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V6: supplier datasheets (literature properties used).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C7, C8: frame wall thickness and manifold dimensions — design inputs from the user.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Bridge range above 37 mm (needs a different pitch) and the fillet sweep.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Design decisions recorded: 2 modules is the system design (4 modules stagnate above 420 K — overheating protection needed for larger arrays); the NSGA-II optimum at the flow bound with G → 1 means the converging channel is argued for plate uniformity, not efficiency.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t xml:space="preserve">Deferred by choice: PCM latent heat, radiation / optical 3-D model, full 3-D campaign.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D5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D5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D1" w:sz="4" w:space="6"/>
      </w:pBdr>
    </w:pPr>
    <w:r>
      <w:rPr>
        <w:color w:val="4A4D52"/>
        <w:sz w:val="16"/>
        <w:szCs w:val="16"/>
      </w:rPr>
      <w:t xml:space="preserve">GRAIL Collector — Roadmap Rev I Completion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124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B4F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12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4A4D5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GRAIL Collector — Roadmap Rev I Completion Status</dc:title>
  <dc:creator>GRAIL Collector project</dc:creator>
  <dc:description>Status after CFD phase and Stages 3–7 (Rev 4.2).</dc:description>
  <cp:lastModifiedBy>Un-named</cp:lastModifiedBy>
  <cp:revision>1</cp:revision>
  <dcterms:created xsi:type="dcterms:W3CDTF">2026-09-25T19:22:22.654Z</dcterms:created>
  <dcterms:modified xsi:type="dcterms:W3CDTF">2026-09-25T19:22:22.663Z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